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7"/>
          <w:szCs w:val="7"/>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165100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4060" w:right="2500" w:hanging="4039"/>
        <w:spacing w:after="0" w:line="434" w:lineRule="auto"/>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34"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1"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UNIVERSAL HEALTH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400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8"/>
                <w:szCs w:val="18"/>
                <w:b w:val="1"/>
                <w:bCs w:val="1"/>
                <w:color w:val="auto"/>
                <w:w w:val="98"/>
              </w:rPr>
              <w:t>23-2077891</w:t>
            </w:r>
          </w:p>
        </w:tc>
      </w:tr>
      <w:tr>
        <w:trPr>
          <w:trHeight w:val="151"/>
        </w:trPr>
        <w:tc>
          <w:tcPr>
            <w:tcW w:w="4000" w:type="dxa"/>
            <w:vAlign w:val="bottom"/>
          </w:tcPr>
          <w:p>
            <w:pPr>
              <w:jc w:val="center"/>
              <w:ind w:right="20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2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UNIVERSAL CORPORATE CENTER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367 SOUTH GULPH ROAD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 19406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(610) 768-3300</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14"/>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24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UHS</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6"/>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r>
        <w:trPr>
          <w:trHeight w:val="101"/>
        </w:trPr>
        <w:tc>
          <w:tcPr>
            <w:tcW w:w="4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20" w:type="dxa"/>
            <w:vAlign w:val="bottom"/>
          </w:tcPr>
          <w:p>
            <w:pPr>
              <w:spacing w:after="0"/>
              <w:rPr>
                <w:sz w:val="8"/>
                <w:szCs w:val="8"/>
                <w:color w:val="auto"/>
              </w:rPr>
            </w:pPr>
          </w:p>
        </w:tc>
      </w:tr>
    </w:tbl>
    <w:p>
      <w:pPr>
        <w:spacing w:after="0" w:line="36"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0" w:right="339" w:bottom="1440" w:gutter="0" w:footer="0" w:header="0"/>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4">
            <w:col w:w="1800" w:space="720"/>
            <w:col w:w="4880" w:space="720"/>
            <w:col w:w="2240" w:space="720"/>
            <w:col w:w="160"/>
          </w:cols>
          <w:pgMar w:left="320" w:top="890" w:right="339" w:bottom="1440" w:gutter="0" w:footer="0" w:header="0"/>
          <w:type w:val="continuous"/>
        </w:sectPr>
      </w:pP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36"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4">
            <w:col w:w="1800" w:space="720"/>
            <w:col w:w="4880" w:space="720"/>
            <w:col w:w="2740" w:space="220"/>
            <w:col w:w="160"/>
          </w:cols>
          <w:pgMar w:left="320" w:top="890" w:right="339" w:bottom="1440" w:gutter="0" w:footer="0" w:header="0"/>
          <w:type w:val="continuous"/>
        </w:sect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shares outstanding, as of July 31, 2024:</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6,577,100</w:t>
            </w:r>
          </w:p>
        </w:tc>
        <w:tc>
          <w:tcPr>
            <w:tcW w:w="2260" w:type="dxa"/>
            <w:vAlign w:val="bottom"/>
          </w:tcPr>
          <w:p>
            <w:pPr>
              <w:spacing w:after="0"/>
              <w:rPr>
                <w:sz w:val="21"/>
                <w:szCs w:val="21"/>
                <w:color w:val="auto"/>
              </w:rPr>
            </w:pPr>
          </w:p>
        </w:tc>
      </w:tr>
      <w:tr>
        <w:trPr>
          <w:trHeight w:val="238"/>
        </w:trPr>
        <w:tc>
          <w:tcPr>
            <w:tcW w:w="22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59,461,566</w:t>
            </w:r>
          </w:p>
        </w:tc>
        <w:tc>
          <w:tcPr>
            <w:tcW w:w="2260" w:type="dxa"/>
            <w:vAlign w:val="bottom"/>
          </w:tcPr>
          <w:p>
            <w:pPr>
              <w:spacing w:after="0"/>
              <w:rPr>
                <w:sz w:val="20"/>
                <w:szCs w:val="20"/>
                <w:color w:val="auto"/>
              </w:rPr>
            </w:pPr>
          </w:p>
        </w:tc>
      </w:tr>
      <w:tr>
        <w:trPr>
          <w:trHeight w:val="247"/>
        </w:trPr>
        <w:tc>
          <w:tcPr>
            <w:tcW w:w="2260" w:type="dxa"/>
            <w:vAlign w:val="bottom"/>
          </w:tcPr>
          <w:p>
            <w:pPr>
              <w:spacing w:after="0"/>
              <w:rPr>
                <w:sz w:val="21"/>
                <w:szCs w:val="2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C</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661,688</w:t>
            </w:r>
          </w:p>
        </w:tc>
        <w:tc>
          <w:tcPr>
            <w:tcW w:w="226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2260" w:type="dxa"/>
            <w:vAlign w:val="bottom"/>
          </w:tcPr>
          <w:p>
            <w:pPr>
              <w:spacing w:after="0"/>
              <w:rPr>
                <w:sz w:val="20"/>
                <w:szCs w:val="20"/>
                <w:color w:val="auto"/>
              </w:rPr>
            </w:pPr>
          </w:p>
        </w:tc>
      </w:tr>
      <w:tr>
        <w:trPr>
          <w:trHeight w:val="258"/>
        </w:trPr>
        <w:tc>
          <w:tcPr>
            <w:tcW w:w="22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r>
      <w:tr>
        <w:trPr>
          <w:trHeight w:val="1194"/>
        </w:trPr>
        <w:tc>
          <w:tcPr>
            <w:tcW w:w="2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04"/>
        </w:trPr>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 FINANCIAL INFORMATION</w:t>
            </w:r>
          </w:p>
        </w:tc>
        <w:tc>
          <w:tcPr>
            <w:tcW w:w="20" w:type="dxa"/>
            <w:vAlign w:val="bottom"/>
            <w:tcBorders>
              <w:bottom w:val="single" w:sz="8" w:color="0000EE"/>
            </w:tcBorders>
          </w:tcPr>
          <w:p>
            <w:pPr>
              <w:spacing w:after="0"/>
              <w:rPr>
                <w:sz w:val="24"/>
                <w:szCs w:val="24"/>
                <w:color w:val="auto"/>
              </w:rPr>
            </w:pPr>
          </w:p>
        </w:tc>
        <w:tc>
          <w:tcPr>
            <w:tcW w:w="752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385"/>
        </w:trPr>
        <w:tc>
          <w:tcPr>
            <w:tcW w:w="104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8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June 30,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 Three and Six Months Ended June 30,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and Six Months Ended June 30,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44"/>
        </w:trPr>
        <w:tc>
          <w:tcPr>
            <w:tcW w:w="46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700" w:type="dxa"/>
            <w:vAlign w:val="bottom"/>
            <w:tcBorders>
              <w:top w:val="single" w:sz="8" w:color="0000FF"/>
            </w:tcBorders>
            <w:gridSpan w:val="6"/>
          </w:tcPr>
          <w:p>
            <w:pPr>
              <w:spacing w:after="0"/>
              <w:rPr>
                <w:sz w:val="24"/>
                <w:szCs w:val="24"/>
                <w:color w:val="auto"/>
              </w:rPr>
            </w:pPr>
          </w:p>
        </w:tc>
        <w:tc>
          <w:tcPr>
            <w:tcW w:w="22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44"/>
        </w:trPr>
        <w:tc>
          <w:tcPr>
            <w:tcW w:w="10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44"/>
        </w:trPr>
        <w:tc>
          <w:tcPr>
            <w:tcW w:w="49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4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44"/>
        </w:trPr>
        <w:tc>
          <w:tcPr>
            <w:tcW w:w="10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44"/>
        </w:trPr>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1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46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42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44"/>
        </w:trPr>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5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3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5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4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98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8"/>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85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44"/>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66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38"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This Quarterly Report on Form 10-Q is for the quarter ended June 30, 2024. This Report modifies and supersedes documents filed prior to this Report. Information that we file with the Securities and Exchange Commission (the “SEC”) in the future will automatically update and supersede information contained in this Report.</w:t>
      </w:r>
    </w:p>
    <w:p>
      <w:pPr>
        <w:spacing w:after="0" w:line="6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this Quarterly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3,907,604</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3,548,138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7,751,186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1,856,372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1,770,271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3,698,996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3,523,606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1,043,116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380,294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791,636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3,471,206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3,268,010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6,926,026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436,398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280,128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825,160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718,092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157,940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294,330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560,152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(2,011 )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(2,751 )</w:t>
            </w:r>
          </w:p>
        </w:tc>
        <w:tc>
          <w:tcPr>
            <w:tcW w:w="0" w:type="dxa"/>
            <w:vAlign w:val="bottom"/>
          </w:tcPr>
          <w:p>
            <w:pPr>
              <w:spacing w:after="0"/>
              <w:rPr>
                <w:sz w:val="1"/>
                <w:szCs w:val="1"/>
                <w:color w:val="auto"/>
              </w:rPr>
            </w:pPr>
          </w:p>
        </w:tc>
      </w:tr>
      <w:tr>
        <w:trPr>
          <w:trHeight w:val="236"/>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289,152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171,313</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550,986</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7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2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equivalents - diluted</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-2730500</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-2730500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-2730500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-2730500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-2097405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-2097405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-2097405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-1780540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-1780540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-1780540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-1463675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-1463675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-1463675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-787400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-770255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-787400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-770255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-787400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-770255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ind w:left="340" w:right="2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UNIVERSAL HEALTH SERVICES, INC. AND SUBSIDIARIES CONDENSED CONSOLIDATED STATEMENTS OF COMPREHENSIVE INCOME </w:t>
      </w:r>
      <w:r>
        <w:rPr>
          <w:rFonts w:ascii="Times New Roman" w:cs="Times New Roman" w:eastAsia="Times New Roman" w:hAnsi="Times New Roman"/>
          <w:sz w:val="18"/>
          <w:szCs w:val="18"/>
          <w:color w:val="auto"/>
        </w:rPr>
        <w:t>(amounts in thousands,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294,330</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560,152</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items of other</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(477 )</w:t>
            </w: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295,229</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559,675</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(2,011 )</w:t>
            </w: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(2,751 )</w:t>
            </w: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UHS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290,051</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550,509</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357,525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-633095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-633095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-633095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360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2,238,265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Supplies</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218,780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216,988</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236,317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236,658</w:t>
            </w:r>
          </w:p>
        </w:tc>
        <w:tc>
          <w:tcPr>
            <w:tcW w:w="100" w:type="dxa"/>
            <w:vAlign w:val="bottom"/>
          </w:tcPr>
          <w:p>
            <w:pPr>
              <w:spacing w:after="0"/>
              <w:rPr>
                <w:sz w:val="21"/>
                <w:szCs w:val="21"/>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2,740,694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2,811,350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12,239,814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11,777,047</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(5,905,061 )</w:t>
            </w: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(5,652,518 )</w:t>
            </w:r>
          </w:p>
        </w:tc>
      </w:tr>
      <w:tr>
        <w:trPr>
          <w:trHeight w:val="232"/>
        </w:trPr>
        <w:tc>
          <w:tcPr>
            <w:tcW w:w="76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6,334,753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6,124,529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3,942,372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3,932,407</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425,407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433,962</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charges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513,381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14,071,428</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13,967,602</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127,508</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1,926,295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1,813,015</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and state taxes</w:t>
            </w: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2,149,207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2,013,347</w:t>
            </w:r>
          </w:p>
        </w:tc>
        <w:tc>
          <w:tcPr>
            <w:tcW w:w="100" w:type="dxa"/>
            <w:vAlign w:val="bottom"/>
          </w:tcPr>
          <w:p>
            <w:pPr>
              <w:spacing w:after="0"/>
              <w:rPr>
                <w:sz w:val="20"/>
                <w:szCs w:val="20"/>
                <w:color w:val="auto"/>
              </w:rPr>
            </w:pPr>
          </w:p>
        </w:tc>
      </w:tr>
      <w:tr>
        <w:trPr>
          <w:trHeight w:val="236"/>
        </w:trPr>
        <w:tc>
          <w:tcPr>
            <w:tcW w:w="7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379,580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382,559</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4,416,731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4,785,783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UHS common stockholders’ equity</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6,485,372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6,149,001</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47,714</w:t>
            </w:r>
          </w:p>
        </w:tc>
        <w:tc>
          <w:tcPr>
            <w:tcW w:w="100" w:type="dxa"/>
            <w:vAlign w:val="bottom"/>
          </w:tcPr>
          <w:p>
            <w:pPr>
              <w:spacing w:after="0"/>
              <w:rPr>
                <w:sz w:val="21"/>
                <w:szCs w:val="21"/>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6,550,805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6,196,715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14,071,428</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13,967,602</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-4897120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-4897120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-4263390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-4263390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-3329940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-2063115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UNIVERSAL HEALTH SERVICES, INC. AND SUBSIDIARIES CONDENSED CONSOLIDATED STATEMENTS OF CHANGES IN EQUITY For the Three and Six Months ended June 30, 2024 </w:t>
      </w:r>
      <w:r>
        <w:rPr>
          <w:rFonts w:ascii="Times New Roman" w:cs="Times New Roman" w:eastAsia="Times New Roman" w:hAnsi="Times New Roman"/>
          <w:sz w:val="18"/>
          <w:szCs w:val="18"/>
          <w:color w:val="auto"/>
        </w:rPr>
        <w:t>(amounts in thousands,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3"/>
                <w:szCs w:val="13"/>
                <w:color w:val="auto"/>
              </w:rPr>
            </w:pPr>
          </w:p>
        </w:tc>
        <w:tc>
          <w:tcPr>
            <w:tcW w:w="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UHS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Cumul</w:t>
            </w: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lders'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right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Dividen</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w:t>
            </w: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0"/>
              </w:rPr>
              <w:t>ds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April 1, 2024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(673,4</w:t>
            </w:r>
          </w:p>
        </w:tc>
        <w:tc>
          <w:tcPr>
            <w:tcW w:w="2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6,921,</w:t>
            </w:r>
          </w:p>
        </w:tc>
        <w:tc>
          <w:tcPr>
            <w:tcW w:w="2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7,913</w:t>
            </w:r>
          </w:p>
        </w:tc>
        <w:tc>
          <w:tcPr>
            <w:tcW w:w="2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6,256,</w:t>
            </w:r>
          </w:p>
        </w:tc>
        <w:tc>
          <w:tcPr>
            <w:tcW w:w="2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$ 49,147</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6,305,8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Issued/(converted)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Repurchased, including excise tax</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(77,84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(77,84</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Restricted share-based compensation</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and accrued</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(13,57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(13,57</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3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13,288</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(609 )</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(609 )</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Sale of ownership interests to minority</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income (loss) to UHS / noncontrolling</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289,1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289,15</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293,89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income tax</w:t>
            </w:r>
          </w:p>
        </w:tc>
        <w:tc>
          <w:tcPr>
            <w:tcW w:w="10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289,1</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290,05</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294,79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Subtotal - comprehensive income</w:t>
            </w: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(687,0</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7,162,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6,485,</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6,550,8</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2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$ 65,433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24"/>
                <w:szCs w:val="24"/>
                <w:color w:val="auto"/>
              </w:rPr>
            </w:pPr>
          </w:p>
        </w:tc>
        <w:tc>
          <w:tcPr>
            <w:tcW w:w="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UHS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Cumul</w:t>
            </w: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lders'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right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Dividen</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w:t>
            </w: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0"/>
              </w:rPr>
              <w:t>ds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January 1, 2024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4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(659,8</w:t>
            </w:r>
          </w:p>
        </w:tc>
        <w:tc>
          <w:tcPr>
            <w:tcW w:w="2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6,798,</w:t>
            </w:r>
          </w:p>
        </w:tc>
        <w:tc>
          <w:tcPr>
            <w:tcW w:w="2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2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6,149,</w:t>
            </w:r>
          </w:p>
        </w:tc>
        <w:tc>
          <w:tcPr>
            <w:tcW w:w="2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$ 47,714</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6,196,7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Issued/(converted)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Repurchased, including excise tax</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(239,9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(239,9</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Restricted share-based compensation</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17,87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17,879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and accrued</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(27,12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(27,12</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3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27,66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FF0FC"/>
          </w:tcPr>
          <w:p>
            <w:pPr>
              <w:spacing w:after="0"/>
              <w:rPr>
                <w:sz w:val="15"/>
                <w:szCs w:val="15"/>
                <w:color w:val="auto"/>
              </w:rPr>
            </w:pP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(649 )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(4,440 )</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(4,440 )</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Sale of ownership interests to minority</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income (loss) to UHS / noncontrolling</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550,9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550,98</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8,290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559,27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(494 )</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(494 )</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(494 )</w:t>
            </w:r>
          </w:p>
        </w:tc>
        <w:tc>
          <w:tcPr>
            <w:tcW w:w="0" w:type="dxa"/>
            <w:vAlign w:val="bottom"/>
          </w:tcPr>
          <w:p>
            <w:pPr>
              <w:spacing w:after="0"/>
              <w:rPr>
                <w:sz w:val="1"/>
                <w:szCs w:val="1"/>
                <w:color w:val="auto"/>
              </w:rPr>
            </w:pPr>
          </w:p>
        </w:tc>
      </w:tr>
      <w:tr>
        <w:trPr>
          <w:trHeight w:val="171"/>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income tax</w:t>
            </w:r>
          </w:p>
        </w:tc>
        <w:tc>
          <w:tcPr>
            <w:tcW w:w="10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550,9</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550,49</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558,78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Subtotal - comprehensive income</w:t>
            </w: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(477 )</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8,290</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(687,0</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7,162,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6,485,</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6,550,8</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2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$ 65,433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-3826510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-3826510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-3826510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-3826510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-3826510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-3826510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-3826510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-3826510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-3826510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-3826510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-3826510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-239395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-239395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-239395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-239395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-239395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-239395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-239395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-239395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-239395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-239395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line="258" w:lineRule="auto"/>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 CONDENSED CONSOLIDATED STATEMENTS OF CHANGES IN EQUITY For the Three and Six Months ended June 30, 2023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unaudited)</w:t>
      </w:r>
    </w:p>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3"/>
                <w:szCs w:val="13"/>
                <w:color w:val="auto"/>
              </w:rPr>
            </w:pPr>
          </w:p>
        </w:tc>
        <w:tc>
          <w:tcPr>
            <w:tcW w:w="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UHS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Cumul</w:t>
            </w: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lders'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right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Dividen</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w:t>
            </w: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0"/>
              </w:rPr>
              <w:t>ds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April 1, 2023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24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(618,3</w:t>
            </w:r>
          </w:p>
        </w:tc>
        <w:tc>
          <w:tcPr>
            <w:tcW w:w="2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6,634,</w:t>
            </w:r>
          </w:p>
        </w:tc>
        <w:tc>
          <w:tcPr>
            <w:tcW w:w="2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(5,046 )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6,012,</w:t>
            </w:r>
          </w:p>
        </w:tc>
        <w:tc>
          <w:tcPr>
            <w:tcW w:w="2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$ 40,309</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6,052,4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Issued/(converted)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Repurchased, including excise tax</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(8 )</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(125,8</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Restricted share-based compensation</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and accrued</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(14,14</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3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15,90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15,904</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Acquisition of noncontrolling interest in</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majority owned business</w:t>
            </w: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(290 )</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Sale of ownership interests to minority</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income (loss) to UHS / noncontrolling</w:t>
            </w:r>
          </w:p>
        </w:tc>
        <w:tc>
          <w:tcPr>
            <w:tcW w:w="1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171,31</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(2,256 )</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169,05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income tax</w:t>
            </w:r>
          </w:p>
        </w:tc>
        <w:tc>
          <w:tcPr>
            <w:tcW w:w="10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171,3</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189,78</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187,53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Subtotal - comprehensive income</w:t>
            </w: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(2,256 )</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(632,4</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6,705,</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6,087,</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6,128,7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2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$ 41,577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23"/>
                <w:szCs w:val="23"/>
                <w:color w:val="auto"/>
              </w:rPr>
            </w:pPr>
          </w:p>
        </w:tc>
        <w:tc>
          <w:tcPr>
            <w:tcW w:w="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UHS</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Redeema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w:t>
            </w:r>
          </w:p>
        </w:tc>
        <w:tc>
          <w:tcPr>
            <w:tcW w:w="10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2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22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Cumul</w:t>
            </w: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Noncont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olling</w:t>
            </w: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ative</w:t>
            </w: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lders'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rolling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right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2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2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Dividen</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w:t>
            </w: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0"/>
              </w:rPr>
              <w:t>ds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January 1, 2023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4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(604,1</w:t>
            </w:r>
          </w:p>
        </w:tc>
        <w:tc>
          <w:tcPr>
            <w:tcW w:w="2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6,533,</w:t>
            </w:r>
          </w:p>
        </w:tc>
        <w:tc>
          <w:tcPr>
            <w:tcW w:w="2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(9,668 )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5,920,</w:t>
            </w:r>
          </w:p>
        </w:tc>
        <w:tc>
          <w:tcPr>
            <w:tcW w:w="2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$ 44,768</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Issued/(converted)</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Repurchased, including excise tax</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(15 )</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99"/>
              </w:rPr>
              <w:t>(211,6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(211,6</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77 )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Restricted share-based compensation</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and accrued</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(28,34</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3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32,12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32,129</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Acquisition of noncontrolling interest in</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majority owned business</w:t>
            </w: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(3,685 )</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(3,685 )</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Sale of ownership interests to minority</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members</w:t>
            </w:r>
          </w:p>
        </w:tc>
        <w:tc>
          <w:tcPr>
            <w:tcW w:w="100" w:type="dxa"/>
            <w:vAlign w:val="bottom"/>
            <w:shd w:val="clear" w:color="auto" w:fill="CFF0FC"/>
          </w:tcPr>
          <w:p>
            <w:pPr>
              <w:spacing w:after="0"/>
              <w:rPr>
                <w:sz w:val="16"/>
                <w:szCs w:val="16"/>
                <w:color w:val="auto"/>
              </w:rPr>
            </w:pPr>
          </w:p>
        </w:tc>
        <w:tc>
          <w:tcPr>
            <w:tcW w:w="66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income (loss) to UHS / noncontrolling</w:t>
            </w:r>
          </w:p>
        </w:tc>
        <w:tc>
          <w:tcPr>
            <w:tcW w:w="1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334,4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334,42</w:t>
            </w:r>
          </w:p>
        </w:tc>
        <w:tc>
          <w:tcPr>
            <w:tcW w:w="2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(3,320 )</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331,10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2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income tax</w:t>
            </w:r>
          </w:p>
        </w:tc>
        <w:tc>
          <w:tcPr>
            <w:tcW w:w="100" w:type="dxa"/>
            <w:vAlign w:val="bottom"/>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334,4</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357,52</w:t>
            </w: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354,20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Subtotal - comprehensive income</w:t>
            </w: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(3,320 )</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(632,4</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6,705,</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6,087,</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6,128,7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2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$ 41,577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-3903980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-3903980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-3903980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-3903980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-3903980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-3903980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-3903980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-3903980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-3903980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-3903980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-3903980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-239395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-239395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-239395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-239395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-239395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-239395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-239395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-239395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-239395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-239395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unaudited)</w:t>
      </w:r>
    </w:p>
    <w:tbl>
      <w:tblPr>
        <w:tblLayout w:type="fixed"/>
        <w:tblInd w:w="0" w:type="dxa"/>
        <w:tblCellMar>
          <w:top w:w="0" w:type="dxa"/>
          <w:left w:w="0" w:type="dxa"/>
          <w:bottom w:w="0" w:type="dxa"/>
          <w:right w:w="0" w:type="dxa"/>
        </w:tblCellMar>
      </w:tblPr>
      <w:tr>
        <w:trPr>
          <w:trHeight w:val="146"/>
        </w:trPr>
        <w:tc>
          <w:tcPr>
            <w:tcW w:w="7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7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560,152</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331,677</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285,365</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Gains on sale of assets and businesses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(3,725 )</w:t>
            </w:r>
          </w:p>
        </w:tc>
        <w:tc>
          <w:tcPr>
            <w:tcW w:w="4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(6,250 )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43,062</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Changes in assets &amp; liabilities, net of effects from acquisitions and dispositions: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(82,078 )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deferred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(32,695 )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working capital accounts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Medicare accelerated payments and deferred CARES Act and other grants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(3,030 )</w:t>
            </w: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insurance expense, net of commercial premiums paid</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95,157</w:t>
            </w:r>
          </w:p>
        </w:tc>
        <w:tc>
          <w:tcPr>
            <w:tcW w:w="100" w:type="dxa"/>
            <w:vAlign w:val="bottom"/>
            <w:shd w:val="clear" w:color="auto" w:fill="CFF0FC"/>
          </w:tcPr>
          <w:p>
            <w:pPr>
              <w:spacing w:after="0"/>
              <w:rPr>
                <w:sz w:val="21"/>
                <w:szCs w:val="21"/>
                <w:color w:val="auto"/>
              </w:rPr>
            </w:pPr>
          </w:p>
        </w:tc>
      </w:tr>
      <w:tr>
        <w:trPr>
          <w:trHeight w:val="24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made in settlement of self-insurance claims</w:t>
            </w:r>
          </w:p>
        </w:tc>
        <w:tc>
          <w:tcPr>
            <w:tcW w:w="3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(64,994 )</w:t>
            </w: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(51,604 )</w:t>
            </w:r>
          </w:p>
        </w:tc>
      </w:tr>
      <w:tr>
        <w:trPr>
          <w:trHeight w:val="236"/>
        </w:trPr>
        <w:tc>
          <w:tcPr>
            <w:tcW w:w="7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1,075,687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653,701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69"/>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(449,933 )</w:t>
            </w: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(336,664 )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received from sales of assets and businesses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businesses and property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(3,728 )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Inflows (outflows) from foreign exchange contracts that hedge our net U.K. investment</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(31,305 )</w:t>
            </w:r>
          </w:p>
        </w:tc>
      </w:tr>
      <w:tr>
        <w:trPr>
          <w:trHeight w:val="24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capital reserves of commercial insurance subsidiary</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(437,479 )</w:t>
            </w:r>
          </w:p>
        </w:tc>
        <w:tc>
          <w:tcPr>
            <w:tcW w:w="4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(348,009 )</w:t>
            </w:r>
          </w:p>
        </w:tc>
      </w:tr>
      <w:tr>
        <w:trPr>
          <w:trHeight w:val="169"/>
        </w:trPr>
        <w:tc>
          <w:tcPr>
            <w:tcW w:w="79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(382,675 )</w:t>
            </w: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(93,557 )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borrowings, net</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costs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(237,987 )</w:t>
            </w:r>
          </w:p>
        </w:tc>
        <w:tc>
          <w:tcPr>
            <w:tcW w:w="4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(209,756 )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(27,006 )</w:t>
            </w: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(28,263 )</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Profit distributions to noncontrolling interests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(5,089 )</w:t>
            </w: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(4,735 )</w:t>
            </w:r>
          </w:p>
        </w:tc>
      </w:tr>
      <w:tr>
        <w:trPr>
          <w:trHeight w:val="247"/>
        </w:trPr>
        <w:tc>
          <w:tcPr>
            <w:tcW w:w="7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ownership interests to minority members</w:t>
            </w: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(628,467 )</w:t>
            </w: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(329,599 )</w:t>
            </w:r>
          </w:p>
        </w:tc>
      </w:tr>
      <w:tr>
        <w:trPr>
          <w:trHeight w:val="169"/>
        </w:trPr>
        <w:tc>
          <w:tcPr>
            <w:tcW w:w="79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236"/>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(392 )</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r>
      <w:tr>
        <w:trPr>
          <w:trHeight w:val="169"/>
        </w:trPr>
        <w:tc>
          <w:tcPr>
            <w:tcW w:w="79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(21,530 )</w:t>
            </w:r>
          </w:p>
        </w:tc>
      </w:tr>
      <w:tr>
        <w:trPr>
          <w:trHeight w:val="247"/>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214,470</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223,819</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179,307</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7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131,499</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133,840</w:t>
            </w:r>
          </w:p>
        </w:tc>
        <w:tc>
          <w:tcPr>
            <w:tcW w:w="10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purchases of property and equipment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108,260</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-4580255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-4580255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-3373120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-3373120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-1866265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-1583690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-992505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-384810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-367665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9"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This Quarterly Report on Form 10-Q is for the quarterly period ended June 30, 2024. In this Quarterly Report, “we,” “us,” “our” “UHS” and the “Company” refer to Universal Health Services, Inc. and its subsidiaries.</w:t>
      </w:r>
    </w:p>
    <w:p>
      <w:pPr>
        <w:spacing w:after="0" w:line="5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interim financial statements include the accounts of our majority-owned subsidiaries and partnerships and limited liability companies controlled by us, or our subsidiaries, as managing general partner or managing member. The condensed consolidated interim financial statements included herein have been prepared by us, without audit, pursuant to the rules and regulations of the Securities and Exchange Commission (“SEC”) and reflect all adjustments (consisting only of normal recurring adjustments) which, in our opinion, are necessary to fairly state results for the interim periods. Certain information and footnote disclosures normally included in audited consolidated financial statements prepared in accordance with accounting principles generally accepted in the United States of America have been condensed or omitted pursuant to such rules and regulations, although we believe that the accompanying disclosures are adequate to make the information presented not misleading. These condensed consolidated interim financial statements should be read in conjunction with the audited consolidated financial statements, significant accounting policies and the notes thereto included in our Annual Report on Form 10-K for the year ended December 31, 2023.</w:t>
      </w:r>
    </w:p>
    <w:p>
      <w:pPr>
        <w:spacing w:after="0" w:line="74" w:lineRule="exact"/>
        <w:rPr>
          <w:sz w:val="20"/>
          <w:szCs w:val="20"/>
          <w:color w:val="auto"/>
        </w:rPr>
      </w:pPr>
    </w:p>
    <w:p>
      <w:pPr>
        <w:ind w:right="36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(2) Relationship with Universal Health Realty Income Trust and Other Related Party Transactions </w:t>
      </w: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At June 30, 2024,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2024 at the same rate in place for 2023, 2022 and 2021, providing for an advisory fee computation at 0.70% of the Trust’s average invested real estate assets. We earned an advisory fee from the Trust, which is included in net revenues in the accompanying consolidated statements of income, of approximately $1.4 million and $1.3 million during the three-month periods ended June 30, 2024 and 2023, respectively, and approximately $2.7 million and $2.6 million during the six-month periods ended June 30, 2024 and 2023, respectively.</w:t>
      </w:r>
    </w:p>
    <w:p>
      <w:pPr>
        <w:spacing w:after="0" w:line="14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pre-tax share of income from the Trust was approximately $314,000 and $250,000 during the three-month periods ended June 30,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approximately $614,000 and $550,000 during the six-month periods ended June 30, 2024 and 2023, respectively, and is included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expense, net, on the accompanying consolidated statements of income for each period. We received dividends from the Trust amounting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$575,000 and $567,000 during the three-month periods ended June 30, 2024 and 2023, respectively, and $1.1 million during each of the six-month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2024 and 2023. The carrying value of our investment in the Trust was approximately $6.4 million and $7.0 million at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 and is included in other assets in the accompanying condensed consolidated balance sheets. The market value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the Trust was $30.8 million at June 30, 2024 and $34.1 million at December 31, 2023, based on the closing price of the Trust’s stock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dates.</w:t>
      </w:r>
    </w:p>
    <w:p>
      <w:pPr>
        <w:spacing w:after="0" w:line="9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properties from us and immediately leasing the properties back to our respective subsidiaries. The base rents are paid monthly and the bonus rent, which as of January 1, 2022 is applicable only to McAllen Medical Center, is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spacing w:after="0" w:line="7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transaction with the Trust as a financing arrangement and, since we did not derecognize the real property related to Aiken and Canyon Creek, we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depreciate the assets. Our condensed consolidated balance sheets as of June 30, 2024 and December 31, 2023 reflects a financial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$75.7 million and $77.5 million, respectively, which is included in debt, for the fair value of real estate assets that we exchanged as part of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monthly lease payments payable to the Trust will be recorded to interest expense and as a reduction to the outstanding financial liability.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allocated to interest expense is determined using our incremental borrowing rate and is based on the outstanding financial liability.</w:t>
      </w:r>
    </w:p>
    <w:p>
      <w:pPr>
        <w:spacing w:after="0" w:line="98"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$5 million during each of the three months ended June 30, 2024 and 2023, and approximately $11 million and $10 million during the six months ended June 30, 2024 and 2023, respectively.</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$2.8 million and $2.7 million during 2024 and 2023,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2"/>
                <w:szCs w:val="12"/>
                <w:color w:val="auto"/>
              </w:rPr>
            </w:pP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Rent</w:t>
            </w:r>
          </w:p>
        </w:tc>
        <w:tc>
          <w:tcPr>
            <w:tcW w:w="2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5,485,000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December, 2026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6,639,000</w:t>
            </w:r>
          </w:p>
        </w:tc>
        <w:tc>
          <w:tcPr>
            <w:tcW w:w="220" w:type="dxa"/>
            <w:vAlign w:val="bottom"/>
          </w:tcPr>
          <w:p>
            <w:pPr>
              <w:spacing w:after="0"/>
              <w:rPr>
                <w:sz w:val="21"/>
                <w:szCs w:val="21"/>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December, 2026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December, 2033</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Behavioral Health Services</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4,072,000</w:t>
            </w:r>
          </w:p>
        </w:tc>
        <w:tc>
          <w:tcPr>
            <w:tcW w:w="220" w:type="dxa"/>
            <w:vAlign w:val="bottom"/>
            <w:shd w:val="clear" w:color="auto" w:fill="CFF0FC"/>
          </w:tcPr>
          <w:p>
            <w:pPr>
              <w:spacing w:after="0"/>
              <w:rPr>
                <w:sz w:val="21"/>
                <w:szCs w:val="21"/>
                <w:color w:val="auto"/>
              </w:rPr>
            </w:pPr>
          </w:p>
        </w:tc>
        <w:tc>
          <w:tcPr>
            <w:tcW w:w="1580" w:type="dxa"/>
            <w:vAlign w:val="bottom"/>
            <w:vMerge w:val="continue"/>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1,841,000</w:t>
            </w:r>
          </w:p>
        </w:tc>
        <w:tc>
          <w:tcPr>
            <w:tcW w:w="220" w:type="dxa"/>
            <w:vAlign w:val="bottom"/>
          </w:tcPr>
          <w:p>
            <w:pPr>
              <w:spacing w:after="0"/>
              <w:rPr>
                <w:sz w:val="21"/>
                <w:szCs w:val="21"/>
                <w:color w:val="auto"/>
              </w:rPr>
            </w:pPr>
          </w:p>
        </w:tc>
        <w:tc>
          <w:tcPr>
            <w:tcW w:w="1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December, 2033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 Hospital</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2,775,000</w:t>
            </w: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December, 2040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7"/>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0" w:name="page11"/>
    <w:bookmarkEnd w:id="10"/>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116" w:lineRule="exact"/>
        <w:rPr>
          <w:rFonts w:ascii="Times New Roman" w:cs="Times New Roman" w:eastAsia="Times New Roman" w:hAnsi="Times New Roman"/>
          <w:sz w:val="18"/>
          <w:szCs w:val="18"/>
          <w:color w:val="auto"/>
        </w:rPr>
      </w:pPr>
    </w:p>
    <w:p>
      <w:pPr>
        <w:jc w:val="both"/>
        <w:ind w:left="520" w:hanging="512"/>
        <w:spacing w:after="0" w:line="239"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 on a cumulative and compounded basis.</w:t>
      </w:r>
    </w:p>
    <w:p>
      <w:pPr>
        <w:spacing w:after="0" w:line="98" w:lineRule="exact"/>
        <w:rPr>
          <w:rFonts w:ascii="Times New Roman" w:cs="Times New Roman" w:eastAsia="Times New Roman" w:hAnsi="Times New Roman"/>
          <w:sz w:val="18"/>
          <w:szCs w:val="18"/>
          <w:color w:val="auto"/>
        </w:rPr>
      </w:pPr>
    </w:p>
    <w:p>
      <w:pPr>
        <w:ind w:left="520" w:right="160" w:hanging="512"/>
        <w:spacing w:after="0" w:line="22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spacing w:after="0" w:line="91" w:lineRule="exact"/>
        <w:rPr>
          <w:rFonts w:ascii="Times New Roman" w:cs="Times New Roman" w:eastAsia="Times New Roman" w:hAnsi="Times New Roman"/>
          <w:sz w:val="18"/>
          <w:szCs w:val="18"/>
          <w:color w:val="auto"/>
        </w:rPr>
      </w:pPr>
    </w:p>
    <w:p>
      <w:pPr>
        <w:jc w:val="both"/>
        <w:ind w:left="520" w:hanging="512"/>
        <w:spacing w:after="0" w:line="26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w:t>
      </w:r>
    </w:p>
    <w:p>
      <w:pPr>
        <w:spacing w:after="0" w:line="7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owned by the Trust or by limited liability companies in which the Trust holds 95% to 100% of the ownership interest.</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w:t>
      </w:r>
    </w:p>
    <w:p>
      <w:pPr>
        <w:spacing w:after="0" w:line="7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the Trust substantially completed construction on a new 86,000 rentable square feet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ground lease and a master flex lease was executed between a wholly-owned subsidiary of ours and the Trust, pursuant to the terms of which our subsidiary will master lease approximately 68% of the rentable square feet of the MOB at an initial minimum rent of $1.3 million annually plus a pro-rata share of the common area maintenance expenses. The master flex lease could be reduced during the term if certain conditions are met. The ground lease and master flex lease each commenced during the first quarter of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will pay/we paid approximately $1.0 million, net, in premium payments during 2024 and 2023.</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August, 2015, Marc D. Miller, our President and Chief Executive Officer and member of our Board of Directors, was appointed to the Board of Directors of Premier, Inc. (“Premier”), a healthcare performance improvement alliance. During 2013, we entered into a new group purchasing organization agreement (“GPO”) with Premier. In conjunction with the GPO agreement, we acquired a minority interest in Premier for a nominal amount. During the fourth quarter of 2013, in connection with the completion of an initial public offering of the stock of Premier, we received cash proceeds for the sale of a portion of our ownership interest in the GPO. Also in connection with this GPO agreement, we received shares of restricted stock of Premier which vested ratably over a seven-year period (2014 through 2020), contingent upon our continued participation and minority ownership interest in the GPO.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market value of which is included in other assets on our condensed consolidated balance sheets. Based upon the closing price of Premier’s stock on each respective date, the market value of our shares of Premier was approximately $42 million and $50 million as of June 30, 2024 and December 31, 2023, respectively. The change in market value of our Premier shares since December 31, 2023 was recorded as an unrealized loss and included in “Other (income) expense, net” in our condensed consolidated statements of income for the three and six-month period ended June 30, 2024. Additionally, we received cash dividends from Premier amounting to approximately $470,000 and $500,000 for the three-month periods ended June 30, 2024 and 2023, respectively, and approximately $900,000 for each of the six-month periods ended June 30, 2024 and 2023. The dividends are included in “Other (income) expense, net” in our condensed consolidated statements of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 w:name="page12"/>
    <w:bookmarkEnd w:id="11"/>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 member of our Board of Directors and member of the Executive Committee and Finance Committee is a partner in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Noncurrent liabilities and Redeemable/Noncontrolling Interests</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Other noncurrent liabilities include the long-term portion of our professional and general liability, workers’ compensation reserves, pension and deferred compensation liabilities, and liabilities incurred in connection with split-dollar life insurance agreements on the lives of our chief executive officer and his wife.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outside owners held noncontrolling, minority ownership interests of: (i) approximately 7% in an acute care facility located in Texas;</w:t>
      </w:r>
    </w:p>
    <w:p>
      <w:pPr>
        <w:spacing w:after="0" w:line="27" w:lineRule="exact"/>
        <w:rPr>
          <w:sz w:val="20"/>
          <w:szCs w:val="20"/>
          <w:color w:val="auto"/>
        </w:rPr>
      </w:pPr>
    </w:p>
    <w:p>
      <w:pPr>
        <w:ind w:firstLine="8"/>
        <w:spacing w:after="0" w:line="252"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20%, 30%, 20%, 25%, and 48% in six behavioral health care facilities located in Arizona, Pennsylvania, Ohio, Washington, Missouri, and Iowa, respectively, (iii) 26% and 49% in two behavioral health care facilities located in Michigan (one currently under construction with an expected opening in the second quarter of 2025) and; (iv) approximately 5% in an acute care facility and 49% in a surgery center, located in Nevada. The noncontrolling interest and redeemable noncontrolling interest balances of $65 million and $5 million, respectively, as of June 30, 2024, consist primarily of the third-party ownership interests in these hospitals.</w:t>
      </w:r>
    </w:p>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connection with the two behavioral health care facilities located in Pennsylvania and Ohio, the minority ownership interests of which are reflected as redeemable noncontrolling interests on our consolidated balance sheets, the outside owners have “put options” to put their entire ownership interest to us at any time. If exercised, the put option requires us to purchase the minority member’s interest at fair market value. Accordingly, the amounts recorded as redeemable noncontrolling interests on our consolidated balance sheets reflect the estimated fair market value of these ownership interests.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our Credit Agreement provided for the following:</w:t>
      </w:r>
    </w:p>
    <w:p>
      <w:pPr>
        <w:spacing w:after="0" w:line="117" w:lineRule="exact"/>
        <w:rPr>
          <w:sz w:val="20"/>
          <w:szCs w:val="20"/>
          <w:color w:val="auto"/>
        </w:rPr>
      </w:pPr>
    </w:p>
    <w:p>
      <w:pPr>
        <w:ind w:left="1020" w:right="180" w:hanging="504"/>
        <w:spacing w:after="0" w:line="31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 billion aggregate amount revolving credit facility that is scheduled to mature in August, 2026 (which, as of June 30, 2024, had $1.02 billion of aggregate available borrowing capacity net of $177 million of outstanding borrowings and $3 million of letters of credit), and;</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$2.20 billion of outstanding borrowings as of June 30, 2024.</w:t>
      </w:r>
    </w:p>
    <w:p>
      <w:pPr>
        <w:spacing w:after="0" w:line="1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tranche A term loan facility provides for installment payments of $30.0 million per quarter through June, 2026. The unpaid principal balance at June 30, 2026 is payable on the August 24, 2026 scheduled maturity date of the Credit Agreement.</w:t>
      </w:r>
    </w:p>
    <w:p>
      <w:pPr>
        <w:spacing w:after="0" w:line="5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0.625%, or (2) the one, three or six month term SOFR rate plus 0.1% (at our election), plus an applicable margin based upon our consolidated leverage ratio at the end of each quarter ranging from 1.25% to 1.625%. As of June 30, 2024, the applicable margins were 0.375% for ABR-based loans and 1.375%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2" w:name="page13"/>
    <w:bookmarkEnd w:id="12"/>
    <w:p>
      <w:pPr>
        <w:ind w:right="20"/>
        <w:spacing w:after="0" w:line="281" w:lineRule="auto"/>
        <w:rPr>
          <w:sz w:val="20"/>
          <w:szCs w:val="20"/>
          <w:color w:val="auto"/>
        </w:rPr>
      </w:pPr>
      <w:r>
        <w:rPr>
          <w:rFonts w:ascii="Times New Roman" w:cs="Times New Roman" w:eastAsia="Times New Roman" w:hAnsi="Times New Roman"/>
          <w:sz w:val="18"/>
          <w:szCs w:val="18"/>
          <w:color w:val="auto"/>
        </w:rPr>
        <w:t>affiliates, dividends and stock repurchases; and requires compliance with financial covenants including maximum leverage. We were in compliance with all required covenants as of June 30, 2024 and December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combined aggregate principal of $2.0 billion from the following senior secured notes:</w:t>
      </w:r>
    </w:p>
    <w:p>
      <w:pPr>
        <w:spacing w:after="0" w:line="117" w:lineRule="exact"/>
        <w:rPr>
          <w:sz w:val="20"/>
          <w:szCs w:val="20"/>
          <w:color w:val="auto"/>
        </w:rPr>
      </w:pPr>
    </w:p>
    <w:p>
      <w:pPr>
        <w:ind w:left="1020" w:right="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 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2 to the Condensed Consolidated Financial Statements-Relationship with Universal Health Realty Income Trust and Other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June 30, 2024 and December 31, 2023 reflect financial liabilities, which are included in debt, of approximately $76 million and $77 million, respectively.</w:t>
      </w:r>
    </w:p>
    <w:p>
      <w:pPr>
        <w:spacing w:after="0" w:line="8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At June 30, 2024, the carrying value and fair value of our debt were approximately $4.5 billion and $4.3 billion, respectively. At December 31, 2023, the carrying value and fair value of our debt were approximately $4.9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Exchange Contracts: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inflows of $7 million during the six-month period ended June 30, 2024 and net cash outflows of $31 million during the six-month period ended June 30,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effects of our foreign currency forward exchange contracts on our results of operations for the three and six-month periods ended June 30, 2024 and 2023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Gain/(Loss) recognized in AOCI</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5"/>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3"/>
                <w:szCs w:val="23"/>
                <w:color w:val="auto"/>
              </w:rPr>
            </w:pPr>
          </w:p>
        </w:tc>
        <w:tc>
          <w:tcPr>
            <w:tcW w:w="14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55"/>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22"/>
                <w:szCs w:val="22"/>
                <w:color w:val="auto"/>
              </w:rPr>
            </w:pPr>
          </w:p>
        </w:tc>
        <w:tc>
          <w:tcPr>
            <w:tcW w:w="9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Hedge relationships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(1,696 )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(8,256 )</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8,201</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(30,400 )</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gains or losses were recognized in income related to derivatives in Subtopic 815-20.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condensed consolidated statements of cash flows are presented separately on our condensed consolidated balance sheets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128,786</w:t>
            </w:r>
          </w:p>
        </w:tc>
        <w:tc>
          <w:tcPr>
            <w:tcW w:w="9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79,451</w:t>
            </w:r>
          </w:p>
        </w:tc>
        <w:tc>
          <w:tcPr>
            <w:tcW w:w="9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119,439</w:t>
            </w:r>
          </w:p>
        </w:tc>
        <w:tc>
          <w:tcPr>
            <w:tcW w:w="100" w:type="dxa"/>
            <w:vAlign w:val="bottom"/>
            <w:shd w:val="clear" w:color="auto" w:fill="CFF0FC"/>
          </w:tcPr>
          <w:p>
            <w:pPr>
              <w:spacing w:after="0"/>
              <w:rPr>
                <w:sz w:val="20"/>
                <w:szCs w:val="20"/>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95,033</w:t>
            </w:r>
          </w:p>
        </w:tc>
        <w:tc>
          <w:tcPr>
            <w:tcW w:w="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99,856</w:t>
            </w: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0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223,819</w:t>
            </w:r>
          </w:p>
        </w:tc>
        <w:tc>
          <w:tcPr>
            <w:tcW w:w="6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179,307</w:t>
            </w:r>
          </w:p>
        </w:tc>
        <w:tc>
          <w:tcPr>
            <w:tcW w:w="6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Restricted cash is included in other noncurrent assets on the accompanying condensed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6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16"/>
                <w:szCs w:val="16"/>
                <w:color w:val="auto"/>
              </w:rPr>
            </w:pPr>
          </w:p>
        </w:tc>
        <w:tc>
          <w:tcPr>
            <w:tcW w:w="32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9"/>
                <w:szCs w:val="19"/>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111,289</w:t>
            </w:r>
          </w:p>
        </w:tc>
        <w:tc>
          <w:tcPr>
            <w:tcW w:w="12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12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2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202,927</w:t>
            </w:r>
          </w:p>
        </w:tc>
        <w:tc>
          <w:tcPr>
            <w:tcW w:w="120" w:type="dxa"/>
            <w:vAlign w:val="bottom"/>
            <w:shd w:val="clear" w:color="auto" w:fill="CFF0FC"/>
          </w:tcPr>
          <w:p>
            <w:pPr>
              <w:spacing w:after="0"/>
              <w:rPr>
                <w:sz w:val="23"/>
                <w:szCs w:val="23"/>
                <w:color w:val="auto"/>
              </w:rPr>
            </w:pPr>
          </w:p>
        </w:tc>
        <w:tc>
          <w:tcPr>
            <w:tcW w:w="316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200,726</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CFF0FC"/>
            </w:tcBorders>
          </w:tcPr>
          <w:p>
            <w:pPr>
              <w:spacing w:after="0"/>
              <w:rPr>
                <w:sz w:val="17"/>
                <w:szCs w:val="17"/>
                <w:color w:val="auto"/>
              </w:rPr>
            </w:pPr>
          </w:p>
        </w:tc>
        <w:tc>
          <w:tcPr>
            <w:tcW w:w="3020" w:type="dxa"/>
            <w:vAlign w:val="bottom"/>
            <w:tcBorders>
              <w:top w:val="single" w:sz="8" w:color="CFF0FC"/>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exchange</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2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120" w:type="dxa"/>
            <w:vAlign w:val="bottom"/>
            <w:tcBorders>
              <w:bottom w:val="single" w:sz="8" w:color="CFF0FC"/>
            </w:tcBorders>
            <w:shd w:val="clear" w:color="auto" w:fill="CFF0FC"/>
          </w:tcPr>
          <w:p>
            <w:pPr>
              <w:spacing w:after="0"/>
              <w:rPr>
                <w:sz w:val="23"/>
                <w:szCs w:val="23"/>
                <w:color w:val="auto"/>
              </w:rPr>
            </w:pPr>
          </w:p>
        </w:tc>
        <w:tc>
          <w:tcPr>
            <w:tcW w:w="3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24"/>
                <w:szCs w:val="24"/>
                <w:color w:val="auto"/>
              </w:rPr>
            </w:pPr>
          </w:p>
        </w:tc>
        <w:tc>
          <w:tcPr>
            <w:tcW w:w="32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9"/>
                <w:szCs w:val="19"/>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21"/>
                <w:szCs w:val="21"/>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206,412</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w w:val="97"/>
              </w:rPr>
              <w:t>Liabilities:</w:t>
            </w:r>
          </w:p>
        </w:tc>
        <w:tc>
          <w:tcPr>
            <w:tcW w:w="2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forward exchange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21"/>
                <w:szCs w:val="21"/>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-3056255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-3039110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-3056255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-3039110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-3056255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-3039110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-3039110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-2251075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-2233930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-2251075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-2233930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-2251075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-2233930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-992505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-992505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-992505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-187960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fair value of our money market mutual funds, certificates of deposit and equity securities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foreign currency exchange contracts is determined using quoted forward exchange rates and spot rates at the reporting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and General Liability, Workers’ Compensation Liability</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vast majority of our subsidiaries are self-insured for professional and general liability exposure up to: (i) $20 million for professional liability and $3 million for general liability per occurrence in 2024, 2023, 2022 and 2021; (ii) $10 million and $3 million per occurrence in 2020; (iii) $5 million and $3 million per occurrence, respectively, during 2019, 2018 and 2017, and; (iv) $10 million and $3 million per occurrence, respectively, prior to 2017.</w:t>
      </w:r>
    </w:p>
    <w:p>
      <w:pPr>
        <w:spacing w:after="0" w:line="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approximately $175 million in 2024; $165 million in 2023; $162 million in 2022; $155 million in 2021 and $250 million during each of 2014 through 2020. 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£18.5 million of professional liability coverage, and £25 million of general liability coverage. The commercial insurance limits indicated above for each policy year may have been reduced due to payment of covered claims or suits, subject to the policy terms and conditions.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disclosed below in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on March 28, 2024, a jury returned a verdict for compensatory damages of $60 million and punitive damages of $475 million and a related judgment was entered against The Pavilion Behavioral Health System (the “Pavilion”), an indirect subsidiary of ours. We are uncertain as to the ultimate financial exposure related to the Pavilion matter (which relates to a 2020 occurrence) and we can make no assurances regarding its outcome, or the amount of damages that may be ultimately held recoverable after post-judgment proceedings and appeal. While the Pavilion has professional liability insurance to cover a portion of these amounts, the resolution of the Pavilion matter may have a material adverse effect on the Company. As of June 30, 2024, without reduction for any potential amounts related to the Pavilion matter, the Company and its subsidiaries have aggregate insurance coverage of approximately $221 million remaining under commercial policies for matters applicable to the 2020 policy year (in excess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5" w:name="page16"/>
    <w:bookmarkEnd w:id="15"/>
    <w:p>
      <w:pPr>
        <w:jc w:val="both"/>
        <w:ind w:right="280"/>
        <w:spacing w:after="0" w:line="260" w:lineRule="auto"/>
        <w:rPr>
          <w:sz w:val="20"/>
          <w:szCs w:val="20"/>
          <w:color w:val="auto"/>
        </w:rPr>
      </w:pPr>
      <w:r>
        <w:rPr>
          <w:rFonts w:ascii="Times New Roman" w:cs="Times New Roman" w:eastAsia="Times New Roman" w:hAnsi="Times New Roman"/>
          <w:sz w:val="18"/>
          <w:szCs w:val="18"/>
          <w:color w:val="auto"/>
        </w:rPr>
        <w:t>of the applicable self-insured retention amounts of $10 million per occurrence for professional liability claims and $3 million per occurrence for general liability claims). In the event the resolution of the Pavilion matter exhausts all or a significant portion of the remaining commercial insurance coverage available to the Company and its subsidiaries related to other matters that occurred in 2020, or the Pavilion matter causes the posting of a large bond or other collateral during an appeal process, our future results of operations and capital resources could be materially adversely impacted.</w:t>
      </w:r>
    </w:p>
    <w:p>
      <w:pPr>
        <w:spacing w:after="0" w:line="7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As of June 30, 2024, the total net accrual for our professional and general liability claims was $465 million, of which $70 million was included in current liabilities. As of December 31, 2023, the total net accrual for our professional and general liability claims was $431 million, of which $70 million was included in current liabilities.</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result of unfavorable trends experienced during the past several years, included in our results of operations were increases to our reserves for self-insured professional and general liability claims amounting to approximately $7 million and $14 million during the three and six-month periods ended June 30, 2024, respectively, and $20 million during the three and six-month periods ended June 30, 2023.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 While we continuously monitor these factors, our ultimate liability for professional and general liability claims could change materially from our current estimates due to inherent uncertainties involved in making this estimate. Given our significant self-insured exposure for professional and general liability claims, there can be no assurance that a sharp increase in the number and/or severity of claims asserted against us will not have a material adverse effect on our future results of operations.</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of June 30, 2024, the total accrual for our workers’ compensation liability claims was $134 million, $58 million of which was included in current liabilities. As of December 31, 2023, the total accrual for our workers’ compensation liability claims was $130 million, $55 million of which was included in current liabilities. As a result of favorable trends experienced in prior years, included in our results of operations during the three and six-month periods ended June 30, 2023, was a pre-tax decrease to our reserves for self-insured workers' compensation liability claims of approximately $10 million.</w:t>
      </w:r>
    </w:p>
    <w:p>
      <w:pPr>
        <w:spacing w:after="0" w:line="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Insurance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commercial property insurance policies for our properties, covering the period of June 1, 2024 to June 1, 2025, providing property and business interruption coverage for losses in excess of $15 million per occurrence or per location (as applicable based upon the event) up to a $1 billion annual policy limitation for certain catastrophic events or perils. These commercial policies provide for coverage of up to $250 million of annual aggregate coverage for losses resulting from windstorm damage.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 (i) $100 million limitation for our facilities located in California, New Madrid Seismic Zone, Pacific Northwest Seismic Zone, Alaska and certain counties in Nevada; (ii) $100 million limitation for our facilities located in fault zones within the United States; (iii) $40 million limitation for our facilities located in Puerto Rico, and; (iv) $250 million limitation for many of our facilities located in other states. Our commercially insured flood coverage has a limit of $100 million annually. There is also a $10 million sublimit for one of our facilities located in Houston, Texas, and a $1 million sublimit for our facilities located in Puerto Rico. In addition, subject to the underlying policies' deductible provisions, our facilities located in California, New Madrid Seismic Zone, Pacific Northwest Seismic Zone, Alaska and certain counties in Nevada, have $50 million of excess commercial property insurance coverage for earthquake losses in excess of $100 million. Property insurance for our behavioral health facilities located in the U.K. are provided on an all risk basis up to a £1.5 billion policy limit, with coverage caps per location, that includes coverage for real and personal property as well as business interruption losses.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commercial policies are subject to a deductible of: (i) $5 million per location for damage resulting from earthquake, wind, hail and flood, and; (ii) $5 million per occurrence for all other events. For per location or per occurrence losses in excess of the applicable deductible, we are self-insured, through our wholly-owned captive, for up to $10 million of annual aggregate losses. Should the $10 million self-insured annual aggregate limitation be exhausted during the policy year, we have commercial insurance coverage for the next $30 million of annual aggregate losses in excess of the applicable deductible. In the event the $30 million of commercial coverage is also exhausted, we are self-insured for all per location or per occurrence losses up to $25 million, including the $5 million deductible.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Develop, Lease and Operate an Acute Care Hospital in Washington, D.C.</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$257 million of which was incurred as of June 30, 2024, which will be entirely funded by the District. Construction of the District Facilities is expected to be completed during 2025.</w:t>
      </w:r>
    </w:p>
    <w:p>
      <w:pPr>
        <w:spacing w:after="0" w:line="7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spacing w:after="0" w:line="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we have committed to expend no less than $75 million (approximately $6 million of which has been incurred as of June 30, 2024),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2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original Patient Protection and Affordable Care Act, as amended by the Health and Education Reconciliation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Certain legal matters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Knight v. Miller, et. al.</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2021, a shareholder derivative lawsuit was filed by plaintiff, Robin Knight, in the Chancery Court in Delaware against the members of the Board of Directors of the Company as well as certain officers (C.A. No.: 2021-0581-SG). The Company was named as a nominal defendant. The lawsuit alleges that in March 2020 stock options were awarded with exercise prices that did not reflect the Company’s fundamentals and business prospects, and in anticipation of future market rebound resulting in excessive gains. The lawsuit makes claims of breaches of fiduciary duties, waste of corporate assets, and unjust enrichment. The lawsuit seeks monetary damages allegedly incurred by the Company, disgorgement of the March 2020 stock awards as well as any proceeds derived therefrom and unspecified equitable relief. Defendants deny the allegations. We filed a motion to dismiss the complaint and the court granted part and denied part of our motion. During the third quarter of 2022, we reached a preliminary settlement, which would not have had a material impact on our consolidated financial statements. The settlement required court approval which the court declined to provide. Our Board of Directors authorized the formation of a Special Litigation Committee ("SLC") to review the matter and determine whether it is in the best interests of the Company to pursue this claim. The court stayed the litigation until April 15, 2024 while the SLC conducted their review. According to the SLC’s status letter to the Court of Chancery, dated April 15, 2024, after a thorough examination of documentary evidence, interviews with relevant persons, and a review of the applicable law, the SLC has determined that the claims asserted in the shareholder derivative lawsuit do not have merit and that pursuing them would not be in the interest of the Company. The SLC further advised the Court that the SLC has concluded that the claims should be dismissed. The parties have jointly filed a stipulation with the Court requesting dismissal of the case. After a preliminary hearing on the matter, the court requested a revised stipulation be filed which is being prepared and expected to be filed shortly. In the event that the Court approves the stipulation for dismissal, further notice of the dismissal, and of the Company’s agreement to resolve plaintiff's counsel’s fee demand in exchange for a $250,000 payment, will be provided as required by the stipulation. In the event the Court does not approve the dismissal of the case, we are uncertain as to potential liability or financial exposure, if any, which may be associated with this matter.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Disproportionate Share Hospital Payment Matter:</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late September, 2015, many hospitals in Pennsylvania, including certain of our behavioral health care hospitals located in the state, received letters from the Pennsylvania Department of Human Services (the “Department”) demanding repayment of allegedly excess Medicaid Disproportionate Share Hospital payments (“DSH”), primarily consisting of managed care payments characterized as DSH payments, for the federal fiscal year (“FFY”) 2011 amounting to approximately $4 million in the aggregate. Since that time, certain of our behavioral health care hospitals in Pennsylvania have received similar requests for repayment for alleged DSH overpayments for FFYs 2012 through 2015. For FFY 2012, the claimed overpayment amounts to approximately $4 million. For FY 2013, FY 2014 and FY 2015 the initial claimed overpayments and attempted recoupment by the Department were approximately $7 million, $8 million and $7 million, respectively. The Department has agreed to a change in methodology which, upon confirmation of the underlying data being accepted by the Department, could reduce the initial claimed overpayments for FY 2013, FY 2014 and FY 2015 to approximately $2 million, $2 million and $3 million, respectively. We filed administrative appeals for all of our facilities contesting the recoupment efforts for FFYs 2011 through 2015 as we believe the Department’s calculation methodology is inaccurate and conflicts with applicable federal and state laws and regulations. The Department agreed to postpone the recoupment of the state’s share for FFY 2011 to 2013 until all hospital appeals are resolved but recouped the federal share. For FFY 2014 and FFY 2015, the Department initiated the recoupment of the alleged overpayments (both federal and state shares). Starting in FY 2016, the first full fiscal year after the January 1, 2015 effective date of Medicaid expansion in Pennsylvania, the Department no longer characterized managed care payments received by the hospitals as DSH payments. While the administrative appeals on the disputed DSH payments remain pending, we have been in continued settlement discussions with the Department. As a part of these discussions, we have presented certain calculation errors that we believe, if corrected, could materially reduce the alleged overpayments. We have recently reached a settlement in principle with the Department that will result in a partial repayment to us of amounts previously recouped. The parties are in the process of drafting a definitive settlement agreement codifying our agreement to conclude this matter. In the event that we are unable to complete the settlement agreement, we will continue with our administrative appeals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 provide no assurance that we will ultimately be successful in our legal and administrative appeals related to the Department’s repayment demands in the event the pending settlement is not finalized and we are unable to assess liability or damages with certainty at this time. If our legal and administrative appeals are unsuccessful, our future consolidated results of operations and financial condition could be adversely impacted by these repayments.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Rachel Capriglione, as natural mother and Next Friend of A.T., a minor, Plaintiff, v. The Pavilion Foundation d/b/a The Pavilion Behavioral Health System</w:t>
      </w:r>
    </w:p>
    <w:p>
      <w:pPr>
        <w:spacing w:after="0" w:line="13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As previously reported on Form 8-K as filed on April 1, 2024, the Pavilion Behavioral Health System (the “Pavilion”), an indirect subsidiary of the Company, is the sole defendant in a lawsuit filed in Champaign County, Illinois, relating to the sexual assault of one minor patient by another minor patient in 2020. Plaintiff asserted claims of negligence and misrepresentation. The Pavilion denied any liability.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8" w:name="page19"/>
    <w:bookmarkEnd w:id="18"/>
    <w:p>
      <w:pPr>
        <w:ind w:right="20"/>
        <w:spacing w:after="0" w:line="258" w:lineRule="auto"/>
        <w:rPr>
          <w:sz w:val="20"/>
          <w:szCs w:val="20"/>
          <w:color w:val="auto"/>
        </w:rPr>
      </w:pPr>
      <w:r>
        <w:rPr>
          <w:rFonts w:ascii="Times New Roman" w:cs="Times New Roman" w:eastAsia="Times New Roman" w:hAnsi="Times New Roman"/>
          <w:sz w:val="18"/>
          <w:szCs w:val="18"/>
          <w:color w:val="auto"/>
        </w:rPr>
        <w:t>The case went to trial in March of 2024. On March 28, 2024, a jury rejected the misrepresentation claim, returned a verdict for ordinary negligence, and awarded compensatory damages of $60 million and punitive damages of $475 million. Based on a search of verdicts in comparable cases, the magnitude of this verdict was unexpected and is unprecedented for a single-plaintiff injury case of this type in Champaign County, Illinois. The Pavilion has filed post-trial motions, a portion of which were heard on August 1, 2024, with the remainder scheduled to be heard on August 23, 2024. The Pavilion will pursue an appeal as appropriate depending on the trial court's resolution of the post-trial motions.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uncertain as to the ultimate financial exposure related to the Pavilion matter and we can make no assurances regarding the timing or substance of its outcome, or the amount of damages that may be held recoverable after post-judgment proceedings and appeal. While the Pavilion has professional liability insurance to cover a portion of these amounts, in the event the resolution of the Pavilion matter exceeds the remaining commercial insurance coverage available, or the Pavilion matter causes the posting of a large bond or other collateral during an appeal process, our future results of operations and capital resources could be materially adversely impacted.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 (vii) there is a wide range of potential outcomes. It is possible that the outcome of these matters could have a material adverse impact on our future results of operations, financial position, cash flows and, potentially, our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reportable operating segments consist of acute care hospital services and behavioral health care services. The “Other” segment column below includes centralized services including, but not limited to, information technology, purchasing, reimbursement, accounting and finance, taxation, legal, advertising and design and construction. The chief operating decision making group for our acute care services and behavioral health care services is comprised of our Chief Executive Officer and the Presidents of each operating segment. The Presidents for each operating segment also manage the profitability of each respective segment’s various facilities. The operating segments are managed separately because each operating segment represents a business unit that offers different types of healthcare services or operates in different healthcare environments. The accounting policies of the operating segments are the same as those described in the summary of significant accounting policies included in our Annual Report on Form 10-K for the year ended December 31, 2023. The corporate overhead allocations, as reflected below, are utilized for internal reporting purposes and are comprised of each period’s projected corporate-level operating expenses (excluding interest expense). The overhead expenses are captured and allocated directly to each segment, to the extent possible, based upon each segment’s respective percentage of total operating expenses.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Acute Care</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Behavioral</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3"/>
                <w:szCs w:val="13"/>
                <w:b w:val="1"/>
                <w:bCs w:val="1"/>
                <w:color w:val="auto"/>
              </w:rPr>
              <w:t>Hospital</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3"/>
                <w:szCs w:val="13"/>
                <w:b w:val="1"/>
                <w:bCs w:val="1"/>
                <w:color w:val="auto"/>
              </w:rPr>
              <w:t>Health</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Services (a)</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color w:val="auto"/>
              </w:rPr>
              <w:t>(Dollar amounts in thousands)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inpatient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12,334,730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2,785,485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15,120,215</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outpatient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8,633,892</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286,550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8,920,442</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2,173,409</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1,731,309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2,886</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3,907,604</w:t>
            </w:r>
          </w:p>
        </w:tc>
        <w:tc>
          <w:tcPr>
            <w:tcW w:w="100" w:type="dxa"/>
            <w:vAlign w:val="bottom"/>
            <w:shd w:val="clear" w:color="auto" w:fill="CFF0FC"/>
          </w:tcPr>
          <w:p>
            <w:pPr>
              <w:spacing w:after="0"/>
              <w:rPr>
                <w:sz w:val="16"/>
                <w:szCs w:val="16"/>
                <w:color w:val="auto"/>
              </w:rPr>
            </w:pPr>
          </w:p>
        </w:tc>
      </w:tr>
      <w:tr>
        <w:trPr>
          <w:trHeight w:val="158"/>
        </w:trPr>
        <w:tc>
          <w:tcPr>
            <w:tcW w:w="57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before allocation of corporate overhead and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5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211,720</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360,480</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(190,194 )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382,006</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Allocation of corporate overhead</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(64,887 )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(46,975 )</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111,862</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FF0FC"/>
          </w:tcPr>
          <w:p>
            <w:pPr>
              <w:spacing w:after="0"/>
              <w:rPr>
                <w:sz w:val="16"/>
                <w:szCs w:val="16"/>
                <w:color w:val="auto"/>
              </w:rPr>
            </w:pPr>
          </w:p>
        </w:tc>
      </w:tr>
      <w:tr>
        <w:trPr>
          <w:trHeight w:val="158"/>
        </w:trPr>
        <w:tc>
          <w:tcPr>
            <w:tcW w:w="57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after allocation of corporate overhead and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5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before income taxes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146,833</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313,505</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(78,332 )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382,006</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assets as of June 30, 2024</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6,338,360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7,572,228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160,840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14,071,428</w:t>
            </w:r>
          </w:p>
        </w:tc>
        <w:tc>
          <w:tcPr>
            <w:tcW w:w="100" w:type="dxa"/>
            <w:vAlign w:val="bottom"/>
            <w:shd w:val="clear" w:color="auto" w:fill="CFF0FC"/>
          </w:tcPr>
          <w:p>
            <w:pPr>
              <w:spacing w:after="0"/>
              <w:rPr>
                <w:sz w:val="16"/>
                <w:szCs w:val="16"/>
                <w:color w:val="auto"/>
              </w:rPr>
            </w:pPr>
          </w:p>
        </w:tc>
      </w:tr>
      <w:tr>
        <w:trPr>
          <w:trHeight w:val="404"/>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Acute Care</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Behavioral</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3"/>
                <w:szCs w:val="13"/>
                <w:b w:val="1"/>
                <w:bCs w:val="1"/>
                <w:color w:val="auto"/>
              </w:rPr>
              <w:t>Hospital</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3"/>
                <w:szCs w:val="13"/>
                <w:b w:val="1"/>
                <w:bCs w:val="1"/>
                <w:color w:val="auto"/>
              </w:rPr>
              <w:t>Health</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Services (a)</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5"/>
                <w:szCs w:val="15"/>
                <w:color w:val="auto"/>
              </w:rPr>
            </w:pPr>
          </w:p>
        </w:tc>
      </w:tr>
      <w:tr>
        <w:trPr>
          <w:trHeight w:val="165"/>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color w:val="auto"/>
              </w:rPr>
              <w:t>(Dollar amounts in thousands)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inpatient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25,244,832</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5,540,169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30,785,001</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outpatient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16,980,181</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565,078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17,545,259</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4,358,490</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3,387,376</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5,320</w:t>
            </w: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7,751,186</w:t>
            </w:r>
          </w:p>
        </w:tc>
        <w:tc>
          <w:tcPr>
            <w:tcW w:w="100" w:type="dxa"/>
            <w:vAlign w:val="bottom"/>
          </w:tcPr>
          <w:p>
            <w:pPr>
              <w:spacing w:after="0"/>
              <w:rPr>
                <w:sz w:val="16"/>
                <w:szCs w:val="16"/>
                <w:color w:val="auto"/>
              </w:rPr>
            </w:pPr>
          </w:p>
        </w:tc>
      </w:tr>
      <w:tr>
        <w:trPr>
          <w:trHeight w:val="158"/>
        </w:trPr>
        <w:tc>
          <w:tcPr>
            <w:tcW w:w="57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before allocation of corporate overhead and</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417,188</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680,418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(379,514 )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718,092</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Allocation of corporate overhead</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(129,733 )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(93,910 )</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223,643</w:t>
            </w: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6"/>
                <w:szCs w:val="16"/>
                <w:color w:val="auto"/>
              </w:rPr>
            </w:pPr>
          </w:p>
        </w:tc>
      </w:tr>
      <w:tr>
        <w:trPr>
          <w:trHeight w:val="158"/>
        </w:trPr>
        <w:tc>
          <w:tcPr>
            <w:tcW w:w="57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after allocation of corporate overhead and</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before income taxes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287,455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586,508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(155,871 )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718,092</w:t>
            </w:r>
          </w:p>
        </w:tc>
        <w:tc>
          <w:tcPr>
            <w:tcW w:w="100" w:type="dxa"/>
            <w:vAlign w:val="bottom"/>
            <w:shd w:val="clear" w:color="auto" w:fill="CFF0FC"/>
          </w:tcPr>
          <w:p>
            <w:pPr>
              <w:spacing w:after="0"/>
              <w:rPr>
                <w:sz w:val="16"/>
                <w:szCs w:val="16"/>
                <w:color w:val="auto"/>
              </w:rPr>
            </w:pPr>
          </w:p>
        </w:tc>
      </w:tr>
      <w:tr>
        <w:trPr>
          <w:trHeight w:val="198"/>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 as of June 30, 2024</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6,338,360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7,572,228</w:t>
            </w:r>
          </w:p>
        </w:tc>
        <w:tc>
          <w:tcPr>
            <w:tcW w:w="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160,840</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14,071,428</w:t>
            </w:r>
          </w:p>
        </w:tc>
        <w:tc>
          <w:tcPr>
            <w:tcW w:w="100" w:type="dxa"/>
            <w:vAlign w:val="bottom"/>
          </w:tcPr>
          <w:p>
            <w:pPr>
              <w:spacing w:after="0"/>
              <w:rPr>
                <w:sz w:val="17"/>
                <w:szCs w:val="17"/>
                <w:color w:val="auto"/>
              </w:rPr>
            </w:pPr>
          </w:p>
        </w:tc>
      </w:tr>
      <w:tr>
        <w:trPr>
          <w:trHeight w:val="435"/>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Three months ended June 30,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Acute Care</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Behavioral</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3"/>
                <w:szCs w:val="13"/>
                <w:b w:val="1"/>
                <w:bCs w:val="1"/>
                <w:color w:val="auto"/>
              </w:rPr>
              <w:t>Hospital</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3"/>
                <w:szCs w:val="13"/>
                <w:b w:val="1"/>
                <w:bCs w:val="1"/>
                <w:color w:val="auto"/>
              </w:rPr>
              <w:t>Health</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Services (a)</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color w:val="auto"/>
              </w:rPr>
              <w:t>(Dollar amounts in thousands)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inpatient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10,960,845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2,670,370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13,631,215</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outpatient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7,515,780</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281,036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7,796,816</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2,003,079</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1,542,194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3,548,138</w:t>
            </w:r>
          </w:p>
        </w:tc>
        <w:tc>
          <w:tcPr>
            <w:tcW w:w="100" w:type="dxa"/>
            <w:vAlign w:val="bottom"/>
            <w:shd w:val="clear" w:color="auto" w:fill="CFF0FC"/>
          </w:tcPr>
          <w:p>
            <w:pPr>
              <w:spacing w:after="0"/>
              <w:rPr>
                <w:sz w:val="16"/>
                <w:szCs w:val="16"/>
                <w:color w:val="auto"/>
              </w:rPr>
            </w:pPr>
          </w:p>
        </w:tc>
      </w:tr>
      <w:tr>
        <w:trPr>
          <w:trHeight w:val="158"/>
        </w:trPr>
        <w:tc>
          <w:tcPr>
            <w:tcW w:w="57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before allocation of corporate overhead and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5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130,527</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263,693</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(169,525 )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224,695</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Allocation of corporate overhead</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(66,326 )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(46,679 )</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113,005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FF0FC"/>
          </w:tcPr>
          <w:p>
            <w:pPr>
              <w:spacing w:after="0"/>
              <w:rPr>
                <w:sz w:val="16"/>
                <w:szCs w:val="16"/>
                <w:color w:val="auto"/>
              </w:rPr>
            </w:pPr>
          </w:p>
        </w:tc>
      </w:tr>
      <w:tr>
        <w:trPr>
          <w:trHeight w:val="158"/>
        </w:trPr>
        <w:tc>
          <w:tcPr>
            <w:tcW w:w="57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after allocation of corporate overhead and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5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before income taxes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64,201</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217,014</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(56,520 )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224,695</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assets as of June 30, 2023</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6,108,389</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7,365,545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258,375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13,732,309</w:t>
            </w:r>
          </w:p>
        </w:tc>
        <w:tc>
          <w:tcPr>
            <w:tcW w:w="100" w:type="dxa"/>
            <w:vAlign w:val="bottom"/>
            <w:shd w:val="clear" w:color="auto" w:fill="CFF0FC"/>
          </w:tcPr>
          <w:p>
            <w:pPr>
              <w:spacing w:after="0"/>
              <w:rPr>
                <w:sz w:val="16"/>
                <w:szCs w:val="16"/>
                <w:color w:val="auto"/>
              </w:rPr>
            </w:pPr>
          </w:p>
        </w:tc>
      </w:tr>
      <w:tr>
        <w:trPr>
          <w:trHeight w:val="404"/>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Six months ended June 30,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Acute Care</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Behavioral</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3"/>
                <w:szCs w:val="13"/>
                <w:b w:val="1"/>
                <w:bCs w:val="1"/>
                <w:color w:val="auto"/>
              </w:rPr>
              <w:t>Hospital</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3"/>
                <w:szCs w:val="13"/>
                <w:b w:val="1"/>
                <w:bCs w:val="1"/>
                <w:color w:val="auto"/>
              </w:rPr>
              <w:t>Health</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Services (a)</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5"/>
                <w:szCs w:val="15"/>
                <w:color w:val="auto"/>
              </w:rPr>
            </w:pPr>
          </w:p>
        </w:tc>
      </w:tr>
      <w:tr>
        <w:trPr>
          <w:trHeight w:val="165"/>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color w:val="auto"/>
              </w:rPr>
              <w:t>(Dollar amounts in thousands)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inpatient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22,362,336</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5,298,360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27,660,696</w:t>
            </w:r>
          </w:p>
        </w:tc>
        <w:tc>
          <w:tcPr>
            <w:tcW w:w="100" w:type="dxa"/>
            <w:vAlign w:val="bottom"/>
          </w:tcPr>
          <w:p>
            <w:pPr>
              <w:spacing w:after="0"/>
              <w:rPr>
                <w:sz w:val="16"/>
                <w:szCs w:val="16"/>
                <w:color w:val="auto"/>
              </w:rPr>
            </w:pPr>
          </w:p>
        </w:tc>
      </w:tr>
      <w:tr>
        <w:trPr>
          <w:trHeight w:val="18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outpatient revenues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14,811,896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553,407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15,365,303</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3,976,611</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3,032,683</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6,362</w:t>
            </w: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7,015,656</w:t>
            </w:r>
          </w:p>
        </w:tc>
        <w:tc>
          <w:tcPr>
            <w:tcW w:w="100" w:type="dxa"/>
            <w:vAlign w:val="bottom"/>
          </w:tcPr>
          <w:p>
            <w:pPr>
              <w:spacing w:after="0"/>
              <w:rPr>
                <w:sz w:val="16"/>
                <w:szCs w:val="16"/>
                <w:color w:val="auto"/>
              </w:rPr>
            </w:pPr>
          </w:p>
        </w:tc>
      </w:tr>
      <w:tr>
        <w:trPr>
          <w:trHeight w:val="158"/>
        </w:trPr>
        <w:tc>
          <w:tcPr>
            <w:tcW w:w="57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before allocation of corporate overhead and</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263,823</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530,049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(355,076 )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438,796</w:t>
            </w:r>
          </w:p>
        </w:tc>
        <w:tc>
          <w:tcPr>
            <w:tcW w:w="100" w:type="dxa"/>
            <w:vAlign w:val="bottom"/>
            <w:shd w:val="clear" w:color="auto" w:fill="CFF0FC"/>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Allocation of corporate overhead</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(133,588 )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(93,321 )</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226,909</w:t>
            </w:r>
          </w:p>
        </w:tc>
        <w:tc>
          <w:tcPr>
            <w:tcW w:w="2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6"/>
                <w:szCs w:val="16"/>
                <w:color w:val="auto"/>
              </w:rPr>
            </w:pPr>
          </w:p>
        </w:tc>
      </w:tr>
      <w:tr>
        <w:trPr>
          <w:trHeight w:val="158"/>
        </w:trPr>
        <w:tc>
          <w:tcPr>
            <w:tcW w:w="57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5"/>
                <w:szCs w:val="15"/>
                <w:color w:val="auto"/>
              </w:rPr>
              <w:t>Income/(loss) after allocation of corporate overhead and</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before income taxes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130,235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436,728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(128,167 )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438,796</w:t>
            </w:r>
          </w:p>
        </w:tc>
        <w:tc>
          <w:tcPr>
            <w:tcW w:w="100" w:type="dxa"/>
            <w:vAlign w:val="bottom"/>
            <w:shd w:val="clear" w:color="auto" w:fill="CFF0FC"/>
          </w:tcPr>
          <w:p>
            <w:pPr>
              <w:spacing w:after="0"/>
              <w:rPr>
                <w:sz w:val="16"/>
                <w:szCs w:val="16"/>
                <w:color w:val="auto"/>
              </w:rPr>
            </w:pPr>
          </w:p>
        </w:tc>
      </w:tr>
      <w:tr>
        <w:trPr>
          <w:trHeight w:val="198"/>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 as of June 30, 2023</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6,108,389</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7,365,545</w:t>
            </w:r>
          </w:p>
        </w:tc>
        <w:tc>
          <w:tcPr>
            <w:tcW w:w="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258,375</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13,732,309</w:t>
            </w:r>
          </w:p>
        </w:tc>
        <w:tc>
          <w:tcPr>
            <w:tcW w:w="100" w:type="dxa"/>
            <w:vAlign w:val="bottom"/>
          </w:tcPr>
          <w:p>
            <w:pPr>
              <w:spacing w:after="0"/>
              <w:rPr>
                <w:sz w:val="17"/>
                <w:szCs w:val="17"/>
                <w:color w:val="auto"/>
              </w:rPr>
            </w:pPr>
          </w:p>
        </w:tc>
      </w:tr>
    </w:tbl>
    <w:p>
      <w:pPr>
        <w:spacing w:after="0" w:line="85" w:lineRule="exact"/>
        <w:rPr>
          <w:sz w:val="20"/>
          <w:szCs w:val="20"/>
          <w:color w:val="auto"/>
        </w:rPr>
      </w:pPr>
    </w:p>
    <w:p>
      <w:pPr>
        <w:ind w:left="760" w:right="20" w:hanging="378"/>
        <w:spacing w:after="0" w:line="275"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revenues generated from our behavioral health care facilities located in the U.K. amounting to approximately $213 million and $190 million for the three-month periods ended June 30, 2024 and 2023, respectively, and approximately $421 million and $358 million for the six-month periods ended June 30, 2024 and 2023, respectively. Total assets at our U.K. behavioral health care facilities were approximately $1.36 billion and $1.295 billion as of June 30, 2024 and 2023,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(8) Earnings Per Share Data and Stock Based Compensation</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during the period. Diluted earnings per share are based on the weighted average number of common shares outstanding during the period adjusted to give effect to common stock equivalents.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 (in thousands, except per share data):</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289,152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171,313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550,986</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unvested restricted share</w:t>
            </w:r>
          </w:p>
        </w:tc>
        <w:tc>
          <w:tcPr>
            <w:tcW w:w="2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Pr>
          <w:p>
            <w:pPr>
              <w:spacing w:after="0"/>
              <w:rPr>
                <w:sz w:val="18"/>
                <w:szCs w:val="18"/>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 – basic and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289,147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171,252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550,936</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334,238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dilutive stock options and grants based on the</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method</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2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2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 - diluted</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basic share attributable to UHS: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diluted share attributable to UHS: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-1275080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-1257935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-1275080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-1257935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-1275080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-1257935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-1275080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-1257935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-384810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-367665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-384810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-367665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-384810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-367665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-384810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-367665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“Net effect of dilutive stock options and grants based on the treasury stock method”, for all periods presented above, excludes certain outstanding stock options applicable to each period since the effect would have been anti-dilutive. The excluded weighted-average stock options totaled 1.1 million for the three-months ended June 30, 2024 and 1.2 million for the six-months ended June 30, 2024. The excluded weighted-average stock options totaled 5.2 million for the three and six-months ended June 30, 2023. All classes of our common stock have the same dividend rights.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three-month periods ended June 30, 2024 and 2023, pre-tax compensation costs of $13.3 million and $15.9 million, respectively, was recognized related to outstanding stock options. During the six-month periods ended June 30, 2024 and 2023, pre-tax compensation costs of $27.7 million and $32.1 million, respectively, was recognized related to outstanding stock options. In addition, during the three-month periods ended June 30, 2024 and 2023, pre-tax compensation cost of approximately $12.8 million and $5.8 million, respectively, was recognized related to restricted stock awards, restricted stock units and performance based restricted stock units. During the six-month periods ended June 30, 2024 and 2023, pre-tax compensation costs of approximately $17.9 million and $10.3 million, respectively, was recognized related to restricted stock awards, restricted stock units and performance based restricted stock units. As of June 30, 2024 there was approximately $206.8 million of unrecognized compensation cost related to unvested options, restricted stock awards, restricted stock units and performance based restricted stock units which is expected to be recognized over the remaining weighted average vesting period of 2.7 years. There were 3,000 stock options granted during the first six months of 2024 under the 2020 Stock Incentive Plan with a weighted-average grant date fair value of $44.58 per option. There were an aggregate of 535,440 restricted units, net of cancellations, granted during the first six months of 2024 under the 2020 Stock Incentive Plan, including 63,362 performance based restricted stock units, with a weighted-average grant date fair value of $180.79 per share.</w:t>
      </w:r>
    </w:p>
    <w:p>
      <w:pPr>
        <w:spacing w:after="0" w:line="7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expense associated with stock-based compensation arrangements is a non-cash charge. In the condensed consolidated statements of cash flows, stock-based compensation expense is an adjustment to reconcile net income to cash provided by operating activities and aggregated to $46.2 million and $43.1 million during the six-month periods ended June 30, 2024 and 2023, respectively.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Dispositions and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 period ended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2024, there were no acquisitions.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2024, we received $5 million from the sales of assets and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 period ended June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2023, we spent $4 million on the acquisition of businesses and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2023, we received $24 million from the sales of assets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Dividends</w:t>
      </w:r>
    </w:p>
    <w:p>
      <w:pPr>
        <w:spacing w:after="0" w:line="1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declared and paid dividends of $13.4 million, or $.20 per share, during the second quarter of 2024 and $14.2 million, or $.20 per share, during the second quarter of 2023. We declared and paid dividends of $27.0 million, or $.40 per share, during the six-month period ended June 30, 2024 and $28.4 million, or $.40 per share, during the six-month period ended June 30, 2023. Included in the amounts above were dividend equivalents applicable to unvested restricted stock units which were accrued during 2024 and 2023 and will be, or were, paid upon vesting of the restricted stock unit.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effective income tax rates were 23.0% and 24.7% during the three-month periods ended June 30, 2024 and 2023, respectively, and 22.0% and 24.4% during the six-month periods ended June 30, 2024, and 2023, respectively. The decrease in the effective tax rates during the three and six-month period ended June 30, 2024, as compared to the comparable periods of 2023, was primarily due to a $4 million and $12 million favorable change in the tax benefit from employee share-based payments, respectively.</w:t>
      </w:r>
    </w:p>
    <w:p>
      <w:pPr>
        <w:spacing w:after="0" w:line="7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As of January 1, 2024, our unrecognized tax benefits were approximately $2 million. The amount, if recognized, that would favorably affect the effective tax rate is approximately $2 million. During the six months ended June 30, 2024, changes to the estimated liabilities for uncertain tax positions (including accrued interest) relating to tax positions taken during prior and current periods did not have a material impact on our financial statements.</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accrued interest and penalties associated with uncertain tax positions as part of the tax provision. As of June 30, 2024, we have less than $1 million of accrued interest and penalties. The U.S. federal statute of limitations remains open for 2020 and subsequent years. Foreign and U.S. state and local jurisdictions have statutes of limitations generally ranging from 3 to 4 years. The statute of limitations on certain jurisdictions could expire within the next twelve months. It is reasonably possible that the amount of uncertain tax benefits will change during the next 12 months, however, it is anticipated that any such change, if it were to occur, would not have a material impact on our results of operations.</w:t>
      </w:r>
    </w:p>
    <w:p>
      <w:pPr>
        <w:spacing w:after="0" w:line="7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Revenue</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7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cs="Times New Roman" w:eastAsia="Times New Roman" w:hAnsi="Times New Roman"/>
          <w:sz w:val="18"/>
          <w:szCs w:val="18"/>
          <w:i w:val="1"/>
          <w:iCs w:val="1"/>
          <w:color w:val="auto"/>
        </w:rPr>
        <w:t>.</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the three and six-month periods ended June 30, 2024 and 2023 (in thousands):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414,408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472,692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532,968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568,997</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705,318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1,127,197</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212,706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284,295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294,341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1,731,309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840,311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942,167</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1,016,193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1,151,664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2,230,155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551,759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598,435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4,358,490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3,387,376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7,751,186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2023</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409,770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430,586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349,850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569,213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1,088,876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190,114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210,448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299,281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2,003,079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1,542,194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3,548,138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2023</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Acute Care</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815,760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849,695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666,332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1,160,462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2,134,968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357,903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453,082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577,454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3,976,611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3,032,683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7,015,656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0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(13) Lease Accounting</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 xml:space="preserve">Five of our hospital facilities are held under operating leases with Universal Health Realty Income Trust with two leases expiring in 2026, two expiring in 2033 and one expiring in 2040 (for additional disclosure, see </w:t>
      </w:r>
      <w:r>
        <w:rPr>
          <w:rFonts w:ascii="Times New Roman" w:cs="Times New Roman" w:eastAsia="Times New Roman" w:hAnsi="Times New Roman"/>
          <w:sz w:val="18"/>
          <w:szCs w:val="18"/>
          <w:i w:val="1"/>
          <w:iCs w:val="1"/>
          <w:color w:val="auto"/>
        </w:rPr>
        <w:t>Note 2 to the Consolidated Financial Statements-Relationship with Universal Health Realty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Trust and Other Related Party Transactions</w:t>
      </w:r>
      <w:r>
        <w:rPr>
          <w:rFonts w:ascii="Times New Roman" w:cs="Times New Roman" w:eastAsia="Times New Roman" w:hAnsi="Times New Roman"/>
          <w:sz w:val="18"/>
          <w:szCs w:val="18"/>
          <w:color w:val="auto"/>
        </w:rPr>
        <w:t>). We are also the lessee of the real property of certain facilities from unrelated third parties.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six-month period ended June 30, 2024 and 2023 are as follows (in thousands):</w:t>
      </w:r>
    </w:p>
    <w:p>
      <w:pPr>
        <w:spacing w:after="0" w:line="124"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65,765</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33,278</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Standards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modifies reportable segment disclosure requirements, primarily through enhanced disclosures about segment expenses categorized as significant or regularly provided to the Chief Operating Decision Maker (CODM). In addition, the amendments enhance interim disclosure requirements, clarify circumstances in which an entity can disclose multiple segment measures of profit or loss, and contain other disclosure requirements. The purpose of the amendments is to enable investors to better understand an entity’s overall performance and assess potential future cash flows. This ASU is effective for annual periods beginning after December 15, 2023, and interim periods within annual periods beginning after December 15, 2024, with early adoption permitted. We are currently evaluating the impact this new standard will have on the related disclosures in the consolidated financial statements, but do not believe there will be a material impact.</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We are currently evaluating the impact this new standard will have on the related disclosures in the consolidated financial statements.</w:t>
      </w:r>
    </w:p>
    <w:p>
      <w:pPr>
        <w:spacing w:after="0" w:line="7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the Company as of the effective date or, in some cases where early adoption is permitted, in advance of the effective date. The Company has assessed the recently issued guidance that is not yet effective and believes the new guidance will not have a material impact on our results of operations, cash flows or financial position.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5" w:name="page26"/>
    <w:bookmarkEnd w:id="25"/>
    <w:p>
      <w:pPr>
        <w:ind w:right="3700"/>
        <w:spacing w:after="0" w:line="377"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 Overview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owned and/or operated 359 inpatient facilities and 48 outpatient and other facilities, including the following, located in 39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the United Kingdom and Puerto Rico: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inpatient acute care hospitals;</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free-standing emergency departments, and;</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outpatient centers &amp; 1 surgical hospital.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(332 inpatient facilities and 10 outpatient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inpatient behavioral health care facilities, and;</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outpatient behavioral health care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inpatient behavioral health care facilities, and;</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121"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56% of our consolidated net revenues during each of the three and six-month periods ended June 30, 2024, and 57% during each of the three and six-month periods ended June 30, 2023. Net revenues from our behavioral health care facilities and commercial health insurer accounted for 44% of our consolidated net revenues during each of the three and six-month periods ended June 30, 2024, and 43% during each of the three and six-month periods ended June 30, 2023.</w:t>
      </w:r>
    </w:p>
    <w:p>
      <w:pPr>
        <w:spacing w:after="0" w:line="7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$213 million and $190 million during the three-month periods ended June 30, 2024 and 2023, respectively, and $421 million and $358 million during the six-month periods ended June 30, 2024 and 2023, respectively. Total assets at our U.K. behavioral health care facilities were approximately $1.36 billion as of June 30, 2024 and $1.327 billion as of December 31, 2023.</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Risk Factors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You should carefully review the information contained in this Quarterly Report and should particularly consider any risk factors that we set forth in our Annual Report on Form 10-K for the year ended December 31, 2023,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Operations-Forward Looking Statements and Risk Factors </w:t>
      </w:r>
      <w:r>
        <w:rPr>
          <w:rFonts w:ascii="Times New Roman" w:cs="Times New Roman" w:eastAsia="Times New Roman" w:hAnsi="Times New Roman"/>
          <w:sz w:val="18"/>
          <w:szCs w:val="18"/>
          <w:color w:val="auto"/>
        </w:rPr>
        <w:t>in our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10-K for the year ended December 31, 2023 and in </w:t>
      </w:r>
      <w:r>
        <w:rPr>
          <w:rFonts w:ascii="Times New Roman" w:cs="Times New Roman" w:eastAsia="Times New Roman" w:hAnsi="Times New Roman"/>
          <w:sz w:val="18"/>
          <w:szCs w:val="18"/>
          <w:i w:val="1"/>
          <w:iCs w:val="1"/>
          <w:color w:val="auto"/>
        </w:rPr>
        <w:t xml:space="preserve">Item 2. Management’s Discussion and Analysis of Financial Condition and Results of Operations-Forward Looking Statements and Risk Factors, </w:t>
      </w:r>
      <w:r>
        <w:rPr>
          <w:rFonts w:ascii="Times New Roman" w:cs="Times New Roman" w:eastAsia="Times New Roman" w:hAnsi="Times New Roman"/>
          <w:sz w:val="18"/>
          <w:szCs w:val="18"/>
          <w:color w:val="auto"/>
        </w:rPr>
        <w:t>as included herein. Those factors may cause our actual results to differ materially from any of our forward-looking statements.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26" w:name="page27"/>
    <w:bookmarkEnd w:id="26"/>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year ended December 31, 2023, and other important factors disclosed in this Quarterly Report, and from time to time in our other filings with the SEC, could cause actual performance or results to differ materially from those expressed in the statements. Such factors include, among other things, the following:</w:t>
      </w:r>
    </w:p>
    <w:p>
      <w:pPr>
        <w:spacing w:after="0" w:line="78" w:lineRule="exact"/>
        <w:rPr>
          <w:sz w:val="20"/>
          <w:szCs w:val="20"/>
          <w:color w:val="auto"/>
        </w:rPr>
      </w:pPr>
    </w:p>
    <w:p>
      <w:pPr>
        <w:ind w:left="1020" w:hanging="504"/>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 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85" w:lineRule="exact"/>
        <w:rPr>
          <w:rFonts w:ascii="Times New Roman" w:cs="Times New Roman" w:eastAsia="Times New Roman" w:hAnsi="Times New Roman"/>
          <w:sz w:val="18"/>
          <w:szCs w:val="18"/>
          <w:color w:val="auto"/>
        </w:rPr>
      </w:pPr>
    </w:p>
    <w:p>
      <w:pPr>
        <w:ind w:left="1020" w:right="100" w:hanging="504"/>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acute care segment, we have experienced a significant increase in hospital based physician related expenses, especially in the areas of emergency room care and anesthesiology.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spacing w:after="0" w:line="73" w:lineRule="exact"/>
        <w:rPr>
          <w:rFonts w:ascii="Times New Roman" w:cs="Times New Roman" w:eastAsia="Times New Roman" w:hAnsi="Times New Roman"/>
          <w:sz w:val="18"/>
          <w:szCs w:val="18"/>
          <w:color w:val="auto"/>
        </w:rPr>
      </w:pPr>
    </w:p>
    <w:p>
      <w:pPr>
        <w:ind w:left="1020" w:right="100" w:hanging="504"/>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w:t>
      </w:r>
    </w:p>
    <w:p>
      <w:pPr>
        <w:spacing w:after="0" w:line="73" w:lineRule="exact"/>
        <w:rPr>
          <w:rFonts w:ascii="Times New Roman" w:cs="Times New Roman" w:eastAsia="Times New Roman" w:hAnsi="Times New Roman"/>
          <w:sz w:val="18"/>
          <w:szCs w:val="18"/>
          <w:color w:val="auto"/>
        </w:rPr>
      </w:pPr>
    </w:p>
    <w:p>
      <w:pPr>
        <w:jc w:val="both"/>
        <w:ind w:left="1020" w:right="160" w:hanging="504"/>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Biden signed into law fiscal year 2024 appropriations to federal agencies for continuing projects and activities through September 30, 2024. We cannot predict whether or not there will be future legislation averting a federal government shutdown, however, our operating cash flows and results of operations could be materially unfavorably impacted by a federal government shutdown;  </w:t>
      </w:r>
    </w:p>
    <w:p>
      <w:pPr>
        <w:spacing w:after="0" w:line="69" w:lineRule="exact"/>
        <w:rPr>
          <w:rFonts w:ascii="Times New Roman" w:cs="Times New Roman" w:eastAsia="Times New Roman" w:hAnsi="Times New Roman"/>
          <w:sz w:val="18"/>
          <w:szCs w:val="18"/>
          <w:color w:val="auto"/>
        </w:rPr>
      </w:pPr>
    </w:p>
    <w:p>
      <w:pPr>
        <w:ind w:left="1020" w:right="80" w:hanging="504"/>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2022, the Consolidated Appropriations Act, 2023, was signed into law phasing out the enhanced federal medical assistance percentage rate that states received during the COVID-19 public health emergency and fully eliminated the increase on December 31, 2023. States were also permitted to begin Medicaid eligibility redeterminations on March 31, 2023, which has resulted in a decrease in Medicaid enrollment;</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existing laws and government regulations, and/or changes in laws and government regulations;</w:t>
      </w:r>
    </w:p>
    <w:p>
      <w:pPr>
        <w:spacing w:after="0" w:line="116" w:lineRule="exact"/>
        <w:rPr>
          <w:rFonts w:ascii="Times New Roman" w:cs="Times New Roman" w:eastAsia="Times New Roman" w:hAnsi="Times New Roman"/>
          <w:sz w:val="18"/>
          <w:szCs w:val="18"/>
          <w:color w:val="auto"/>
        </w:rPr>
      </w:pPr>
    </w:p>
    <w:p>
      <w:pPr>
        <w:ind w:left="1020" w:right="40" w:hanging="504"/>
        <w:spacing w:after="0" w:line="25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Patient Protection and Affordable Care Act, as amended by the Health and Education Reconciliation Act (collectively, the "Legislation") as part of the Tax Cuts and Jobs Act.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 Legislation exchange, which the IRA continued through 2025, is anticipated to increase exchange enrollment. However, if the subsidies are not extended beyond 2025, exchange enrollment may be adversely impacted;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7" w:name="page28"/>
    <w:bookmarkEnd w:id="27"/>
    <w:p>
      <w:pPr>
        <w:ind w:left="504" w:hanging="504"/>
        <w:spacing w:after="0" w:line="25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v. Becerra</w:t>
      </w:r>
      <w:r>
        <w:rPr>
          <w:rFonts w:ascii="Times New Roman" w:cs="Times New Roman" w:eastAsia="Times New Roman" w:hAnsi="Times New Roman"/>
          <w:sz w:val="18"/>
          <w:szCs w:val="18"/>
          <w:color w:val="auto"/>
        </w:rPr>
        <w:t>, ruled that a requirement that certain health plans cover services without cost sharing violates the Appointments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Clause of the U.S. Constitution 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matter is expected to be the subject of additional litigation, having been remanded in part to the District Court. The outcome and impacts of this litigation cannot be predicted. Any future efforts to challenge, replace or replace the Legislation or expand or substantially amend its provision is unknown. See below in </w:t>
      </w:r>
      <w:r>
        <w:rPr>
          <w:rFonts w:ascii="Times New Roman" w:cs="Times New Roman" w:eastAsia="Times New Roman" w:hAnsi="Times New Roman"/>
          <w:sz w:val="18"/>
          <w:szCs w:val="18"/>
          <w:i w:val="1"/>
          <w:iCs w:val="1"/>
          <w:color w:val="auto"/>
        </w:rPr>
        <w:t>Sources of Revenues and Health Care Reform</w:t>
      </w:r>
      <w:r>
        <w:rPr>
          <w:rFonts w:ascii="Times New Roman" w:cs="Times New Roman" w:eastAsia="Times New Roman" w:hAnsi="Times New Roman"/>
          <w:sz w:val="18"/>
          <w:szCs w:val="18"/>
          <w:color w:val="auto"/>
        </w:rPr>
        <w:t xml:space="preserve"> for additional disclosure;</w:t>
      </w:r>
    </w:p>
    <w:p>
      <w:pPr>
        <w:spacing w:after="0" w:line="85" w:lineRule="exact"/>
        <w:rPr>
          <w:rFonts w:ascii="Times New Roman" w:cs="Times New Roman" w:eastAsia="Times New Roman" w:hAnsi="Times New Roman"/>
          <w:sz w:val="18"/>
          <w:szCs w:val="18"/>
          <w:color w:val="auto"/>
        </w:rPr>
      </w:pPr>
    </w:p>
    <w:p>
      <w:pPr>
        <w:ind w:left="504" w:right="120" w:hanging="504"/>
        <w:spacing w:after="0" w:line="254"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w:t>
      </w:r>
    </w:p>
    <w:p>
      <w:pPr>
        <w:spacing w:after="0" w:line="79" w:lineRule="exact"/>
        <w:rPr>
          <w:rFonts w:ascii="Times New Roman" w:cs="Times New Roman" w:eastAsia="Times New Roman" w:hAnsi="Times New Roman"/>
          <w:sz w:val="18"/>
          <w:szCs w:val="18"/>
          <w:color w:val="auto"/>
        </w:rPr>
      </w:pPr>
    </w:p>
    <w:p>
      <w:pPr>
        <w:ind w:left="504" w:right="80" w:hanging="504"/>
        <w:spacing w:after="0" w:line="254"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2024, the U.S. Supreme Court issued its decision in </w:t>
      </w:r>
      <w:r>
        <w:rPr>
          <w:rFonts w:ascii="Times New Roman" w:cs="Times New Roman" w:eastAsia="Times New Roman" w:hAnsi="Times New Roman"/>
          <w:sz w:val="18"/>
          <w:szCs w:val="18"/>
          <w:i w:val="1"/>
          <w:iCs w:val="1"/>
          <w:color w:val="auto"/>
        </w:rPr>
        <w:t>Loper Bright Enters. v. Raimondo</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Relentless, Inc. v. Department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 which modified the regulatory interpretation standard established 40 years ago by</w:t>
      </w:r>
      <w:r>
        <w:rPr>
          <w:rFonts w:ascii="Times New Roman" w:cs="Times New Roman" w:eastAsia="Times New Roman" w:hAnsi="Times New Roman"/>
          <w:sz w:val="18"/>
          <w:szCs w:val="18"/>
          <w:i w:val="1"/>
          <w:iCs w:val="1"/>
          <w:color w:val="auto"/>
        </w:rPr>
        <w:t xml:space="preserve"> Chevron v. National Resources Defense Council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Chevron </w:t>
      </w:r>
      <w:r>
        <w:rPr>
          <w:rFonts w:ascii="Times New Roman" w:cs="Times New Roman" w:eastAsia="Times New Roman" w:hAnsi="Times New Roman"/>
          <w:sz w:val="18"/>
          <w:szCs w:val="18"/>
          <w:color w:val="auto"/>
        </w:rPr>
        <w:t>doctrine generally required courts to defer to federal agencies in their interpretation of federal statutes when a statute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silent or ambiguous with respect to a specific issue.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decision, particularly in the areas of Medicare reimbursement, decision making by the Food &amp; Drug Administration and health care fraud and abuse compliance, where parties may no longer be able to rely on federal agencies’ policies, rules and guidance;</w:t>
      </w:r>
    </w:p>
    <w:p>
      <w:pPr>
        <w:spacing w:after="0" w:line="83" w:lineRule="exact"/>
        <w:rPr>
          <w:rFonts w:ascii="Times New Roman" w:cs="Times New Roman" w:eastAsia="Times New Roman" w:hAnsi="Times New Roman"/>
          <w:sz w:val="18"/>
          <w:szCs w:val="18"/>
          <w:color w:val="auto"/>
        </w:rPr>
      </w:pPr>
    </w:p>
    <w:p>
      <w:pPr>
        <w:ind w:left="504" w:right="340" w:hanging="504"/>
        <w:spacing w:after="0" w:line="281"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unfavorable changes in the levels and terms of reimbursement for our charges by third party payers or government based payers, including Medicare or Medicaid in the United States, and government based payers in the United Kingdom;</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managed care provider agreements on acceptable terms and the ability of our competitors to do the same;</w:t>
      </w:r>
    </w:p>
    <w:p>
      <w:pPr>
        <w:spacing w:after="0" w:line="116" w:lineRule="exact"/>
        <w:rPr>
          <w:rFonts w:ascii="Times New Roman" w:cs="Times New Roman" w:eastAsia="Times New Roman" w:hAnsi="Times New Roman"/>
          <w:sz w:val="18"/>
          <w:szCs w:val="18"/>
          <w:color w:val="auto"/>
        </w:rPr>
      </w:pPr>
    </w:p>
    <w:p>
      <w:pPr>
        <w:ind w:left="504" w:hanging="504"/>
        <w:spacing w:after="0" w:line="25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of known and unknown litigation, government investigations, inquiries, false claims act allegations, and liabilities and other claims asserted against us and other matters, and the effects of adverse publicity relating to such matters, including, but not limited to, the March 28, 2024, jury verdict (of compensatory damages of $60 million and punitive damages of $475 million) returned against The Pavilion Behavioral Health System (the “Pavilion”), one of our indirect subsidiaries, as disclosed in </w:t>
      </w:r>
      <w:r>
        <w:rPr>
          <w:rFonts w:ascii="Times New Roman" w:cs="Times New Roman" w:eastAsia="Times New Roman" w:hAnsi="Times New Roman"/>
          <w:sz w:val="18"/>
          <w:szCs w:val="18"/>
          <w:i w:val="1"/>
          <w:iCs w:val="1"/>
          <w:color w:val="auto"/>
        </w:rPr>
        <w:t>Note 6 to the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 Commitments and Contingencies, Legal Proceedings. </w:t>
      </w:r>
      <w:r>
        <w:rPr>
          <w:rFonts w:ascii="Times New Roman" w:cs="Times New Roman" w:eastAsia="Times New Roman" w:hAnsi="Times New Roman"/>
          <w:sz w:val="18"/>
          <w:szCs w:val="18"/>
          <w:color w:val="auto"/>
        </w:rPr>
        <w:t>The Pavilion has filed post-trial motions, a portion of which were heard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 2024, with the remainder scheduled to be heard on August 23, 2024. The Pavilion will pursue an appeal as appropriate depending on the court's resolution of post-trial motions. We are uncertain as to the ultimate financial exposure related to the Pavilion matter (which relates to an occurrence in 2020) and we can make no assurances regarding timing or substance of its outcome, or the amount of damages that may be ultimately held recoverable after post-judgment proceedings and appeal. While the Pavilion has professional liability insurance to cover a portion of these amounts, the resolution of this matter may have a material adverse effect on the Company. As of June 30, 2024, without reduction for any potential amounts related to the above-mentioned Pavilion matter, the Company and its subsidiaries have aggregate insurance coverage of approximately $221 million remaining under commercial policies for matters applicable to the 2020 policy year (in excess of the applicable self-insured retention amounts of $10 million per occurrence for professional liability claims and $3 million per occurrence for general liability claims). In the event the resolution of the Pavilion matter</w:t>
      </w:r>
    </w:p>
    <w:p>
      <w:pPr>
        <w:spacing w:after="0" w:line="19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092" w:right="339" w:bottom="1440" w:gutter="0" w:footer="0" w:header="0"/>
        </w:sectPr>
      </w:pPr>
    </w:p>
    <w:bookmarkStart w:id="28" w:name="page29"/>
    <w:bookmarkEnd w:id="28"/>
    <w:p>
      <w:pPr>
        <w:jc w:val="both"/>
        <w:ind w:left="504" w:right="40"/>
        <w:spacing w:after="0" w:line="265" w:lineRule="auto"/>
        <w:rPr>
          <w:sz w:val="20"/>
          <w:szCs w:val="20"/>
          <w:color w:val="auto"/>
        </w:rPr>
      </w:pPr>
      <w:r>
        <w:rPr>
          <w:rFonts w:ascii="Times New Roman" w:cs="Times New Roman" w:eastAsia="Times New Roman" w:hAnsi="Times New Roman"/>
          <w:sz w:val="18"/>
          <w:szCs w:val="18"/>
          <w:color w:val="auto"/>
        </w:rPr>
        <w:t>exhausts all or a significant portion of the remaining commercial insurance coverage available to the Company and its subsidiaries related to other matters that occurred in 2020, or the Pavilion matter causes the posting of a large bond or other collateral during an appeal process, our future results of operations and capital resources could be materially adversely impacted;</w:t>
      </w:r>
    </w:p>
    <w:p>
      <w:pPr>
        <w:spacing w:after="0" w:line="69" w:lineRule="exact"/>
        <w:rPr>
          <w:sz w:val="20"/>
          <w:szCs w:val="20"/>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(including physician owned facilities) in certain markets;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pharmaceutical improvements that increase the cost of providing, or reduce the demand for healthcare;</w:t>
      </w:r>
    </w:p>
    <w:p>
      <w:pPr>
        <w:spacing w:after="0" w:line="116" w:lineRule="exact"/>
        <w:rPr>
          <w:rFonts w:ascii="Times New Roman" w:cs="Times New Roman" w:eastAsia="Times New Roman" w:hAnsi="Times New Roman"/>
          <w:sz w:val="18"/>
          <w:szCs w:val="18"/>
          <w:color w:val="auto"/>
        </w:rPr>
      </w:pPr>
    </w:p>
    <w:p>
      <w:pPr>
        <w:ind w:left="504" w:right="340" w:hanging="504"/>
        <w:spacing w:after="0" w:line="281"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nurses, physicians and other healthcare professionals and the impact on our labor and related expenses resulting from a shortage of nurses, physicians and other healthcare professionals;</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116" w:lineRule="exact"/>
        <w:rPr>
          <w:rFonts w:ascii="Times New Roman" w:cs="Times New Roman" w:eastAsia="Times New Roman" w:hAnsi="Times New Roman"/>
          <w:sz w:val="18"/>
          <w:szCs w:val="18"/>
          <w:color w:val="auto"/>
        </w:rPr>
      </w:pPr>
    </w:p>
    <w:p>
      <w:pPr>
        <w:ind w:left="504" w:hanging="504"/>
        <w:spacing w:after="0" w:line="254"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spacing w:after="0" w:line="78" w:lineRule="exact"/>
        <w:rPr>
          <w:rFonts w:ascii="Times New Roman" w:cs="Times New Roman" w:eastAsia="Times New Roman" w:hAnsi="Times New Roman"/>
          <w:sz w:val="18"/>
          <w:szCs w:val="18"/>
          <w:color w:val="auto"/>
        </w:rPr>
      </w:pPr>
    </w:p>
    <w:p>
      <w:pPr>
        <w:ind w:left="504" w:right="220" w:hanging="504"/>
        <w:spacing w:after="0" w:line="265"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69"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severe weather conditions, including the effects of hurricanes and climate change;</w:t>
      </w:r>
    </w:p>
    <w:p>
      <w:pPr>
        <w:spacing w:after="0" w:line="114" w:lineRule="exact"/>
        <w:rPr>
          <w:rFonts w:ascii="Times New Roman" w:cs="Times New Roman" w:eastAsia="Times New Roman" w:hAnsi="Times New Roman"/>
          <w:sz w:val="18"/>
          <w:szCs w:val="18"/>
          <w:color w:val="auto"/>
        </w:rPr>
      </w:pPr>
    </w:p>
    <w:p>
      <w:pPr>
        <w:ind w:left="504" w:right="80" w:hanging="504"/>
        <w:spacing w:after="0" w:line="277" w:lineRule="auto"/>
        <w:tabs>
          <w:tab w:leader="none" w:pos="50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discussed below in </w:t>
      </w:r>
      <w:r>
        <w:rPr>
          <w:rFonts w:ascii="Times New Roman" w:cs="Times New Roman" w:eastAsia="Times New Roman" w:hAnsi="Times New Roman"/>
          <w:sz w:val="17"/>
          <w:szCs w:val="17"/>
          <w:i w:val="1"/>
          <w:iCs w:val="1"/>
          <w:color w:val="auto"/>
        </w:rPr>
        <w:t>Sources of Revenue,</w:t>
      </w:r>
      <w:r>
        <w:rPr>
          <w:rFonts w:ascii="Times New Roman" w:cs="Times New Roman" w:eastAsia="Times New Roman" w:hAnsi="Times New Roman"/>
          <w:sz w:val="17"/>
          <w:szCs w:val="17"/>
          <w:color w:val="auto"/>
        </w:rPr>
        <w:t xml:space="preserve"> we receive revenues from various state and county-based programs, including Medicaid in all the states in which we operate. We receive annual Medicaid revenues of approximately $100 million, or greater, from each of Texas, Nevada, California, Illinois, Pennsylvania, Washington, D.C., Kentucky, Massachusetts, Mississippi, Virginia and Florida,. We also receive Medicaid DSH payments in certain states including, most significantly, Texas. We are therefore particularly sensitive to potential reductions in Medicaid and other state-based revenue programs as well as regulatory, economic, environmental and competitive changes in those states;</w:t>
      </w:r>
    </w:p>
    <w:p>
      <w:pPr>
        <w:spacing w:after="0" w:line="60" w:lineRule="exact"/>
        <w:rPr>
          <w:rFonts w:ascii="Times New Roman" w:cs="Times New Roman" w:eastAsia="Times New Roman" w:hAnsi="Times New Roman"/>
          <w:sz w:val="17"/>
          <w:szCs w:val="17"/>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the future growth of our business;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inpatient acute care and behavioral health care facilities may experience decreasing admission and length of stay trends;</w:t>
      </w:r>
    </w:p>
    <w:p>
      <w:pPr>
        <w:spacing w:after="0" w:line="116" w:lineRule="exact"/>
        <w:rPr>
          <w:rFonts w:ascii="Times New Roman" w:cs="Times New Roman" w:eastAsia="Times New Roman" w:hAnsi="Times New Roman"/>
          <w:sz w:val="18"/>
          <w:szCs w:val="18"/>
          <w:color w:val="auto"/>
        </w:rPr>
      </w:pPr>
    </w:p>
    <w:p>
      <w:pPr>
        <w:ind w:left="504" w:right="160" w:hanging="504"/>
        <w:spacing w:after="0" w:line="281"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54" w:lineRule="exact"/>
        <w:rPr>
          <w:rFonts w:ascii="Times New Roman" w:cs="Times New Roman" w:eastAsia="Times New Roman" w:hAnsi="Times New Roman"/>
          <w:sz w:val="18"/>
          <w:szCs w:val="18"/>
          <w:color w:val="auto"/>
        </w:rPr>
      </w:pPr>
    </w:p>
    <w:p>
      <w:pPr>
        <w:ind w:left="504" w:hanging="504"/>
        <w:spacing w:after="0" w:line="254"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w:t>
      </w:r>
    </w:p>
    <w:p>
      <w:pPr>
        <w:spacing w:after="0" w:line="78" w:lineRule="exact"/>
        <w:rPr>
          <w:rFonts w:ascii="Times New Roman" w:cs="Times New Roman" w:eastAsia="Times New Roman" w:hAnsi="Times New Roman"/>
          <w:sz w:val="18"/>
          <w:szCs w:val="18"/>
          <w:color w:val="auto"/>
        </w:rPr>
      </w:pPr>
    </w:p>
    <w:p>
      <w:pPr>
        <w:ind w:left="504" w:right="140" w:hanging="504"/>
        <w:spacing w:after="0" w:line="281"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and self-pay patients treated at our acute care facilities unfavorably impact our ability to satisfactorily and timely collect our self-pay patient accounts;</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or development plans;</w:t>
      </w:r>
    </w:p>
    <w:p>
      <w:pPr>
        <w:spacing w:after="0" w:line="225"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4"/>
          </w:cols>
          <w:pgMar w:left="836" w:top="1092" w:right="379" w:bottom="1440" w:gutter="0" w:footer="0" w:header="0"/>
        </w:sectPr>
      </w:pPr>
    </w:p>
    <w:bookmarkStart w:id="29" w:name="page30"/>
    <w:bookmarkEnd w:id="29"/>
    <w:p>
      <w:pPr>
        <w:ind w:left="1020" w:hanging="504"/>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w:t>
      </w:r>
    </w:p>
    <w:p>
      <w:pPr>
        <w:spacing w:after="0" w:line="77"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shift of care from inpatient to lower cost outpatient settings and controls designed to reduce inpatient services on our revenue,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from those disclosed in our 2023 Annual Report on Form 10-K.</w:t>
      </w:r>
    </w:p>
    <w:p>
      <w:pPr>
        <w:spacing w:after="0" w:line="11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Standards: </w:t>
      </w:r>
      <w:r>
        <w:rPr>
          <w:rFonts w:ascii="Times New Roman" w:cs="Times New Roman" w:eastAsia="Times New Roman" w:hAnsi="Times New Roman"/>
          <w:sz w:val="18"/>
          <w:szCs w:val="18"/>
          <w:color w:val="auto"/>
        </w:rPr>
        <w:t>For a summary of accounting standards,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14 to the Condensed Consolidated Financial Statements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Staffing, Physician Related Expenses and Effects of Inflation: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w:t>
      </w:r>
    </w:p>
    <w:p>
      <w:pPr>
        <w:spacing w:after="0" w:line="7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our acute care segment, we have experienced a significant increase in hospital-based physician related expenses, especially in the areas of emergency room care and anesthesiology.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spacing w:after="0" w:line="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our ability to pass on increased costs associated with providing healthcare to Medicare and Medicaid patients is limited, as discussed above,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three-month periods ended June 30, 2024 and 2023:</w:t>
      </w:r>
    </w:p>
    <w:p>
      <w:pPr>
        <w:spacing w:after="0" w:line="12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three-month periods ended June 30, 2024 and 2023 (dollar amounts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2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92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90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3,907,604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3,548,138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1,856,372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1,770,271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1,043,116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938,314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388,063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5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36,175</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88.8 %</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5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(loss) attributable to noncontrolling interests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(2,011 )</w:t>
            </w: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revenues increased by 10.1%, or $359 million, to $3.908 billion during the three-month period ended June 30, 2024, as compared to $3.548 billion during the second quarter of 2023. The net increase was primarily attributable to: (i) a $297 million, or 8.5%, increase in net revenues generated from our acute care hospital services and behavioral health services operated during both periods (which we refer to as “Same Facility”), and; (ii) an other combined net increase of $62 million, including a $58 million increase in provider tax assessments (which increased net revenues and other operating expenses but had no impact on income before income taxes).</w:t>
      </w:r>
    </w:p>
    <w:p>
      <w:pPr>
        <w:spacing w:after="0" w:line="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Income before income taxes (before income attributable to noncontrolling interests) increased by $157 million, or 70%, to $382 million during the three-month period ended June 30, 2024 as compared to $225 million during the second quarter of 2023. The net increase was due to:</w:t>
      </w:r>
    </w:p>
    <w:p>
      <w:pPr>
        <w:spacing w:after="0" w:line="53"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$81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$97 million at our behavioral health care facilities, as discussed below in </w:t>
      </w:r>
      <w:r>
        <w:rPr>
          <w:rFonts w:ascii="Times New Roman" w:cs="Times New Roman" w:eastAsia="Times New Roman" w:hAnsi="Times New Roman"/>
          <w:sz w:val="18"/>
          <w:szCs w:val="18"/>
          <w:i w:val="1"/>
          <w:iCs w:val="1"/>
          <w:color w:val="auto"/>
        </w:rPr>
        <w:t>Behavioral Health Care Services</w:t>
      </w:r>
      <w:r>
        <w:rPr>
          <w:rFonts w:ascii="Times New Roman" w:cs="Times New Roman" w:eastAsia="Times New Roman" w:hAnsi="Times New Roman"/>
          <w:sz w:val="18"/>
          <w:szCs w:val="18"/>
          <w:color w:val="auto"/>
        </w:rPr>
        <w:t>, and;</w:t>
      </w:r>
    </w:p>
    <w:p>
      <w:pPr>
        <w:spacing w:after="0" w:line="11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of other combined net decreases.</w:t>
      </w:r>
    </w:p>
    <w:p>
      <w:pPr>
        <w:spacing w:after="0" w:line="11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Net income attributable to UHS increased by $118 million, or 69%, to $289 million during the three-month period ended June 30, 2024 as compared to $171 million during the second quarter of 2023. This increase was attributable to:</w:t>
      </w:r>
    </w:p>
    <w:p>
      <w:pPr>
        <w:spacing w:after="0" w:line="5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$157 million increase in income before income taxes, as discussed above;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 million due to an unfavorable change in income/loss attributable to noncontrolling interests, and;</w:t>
      </w:r>
    </w:p>
    <w:p>
      <w:pPr>
        <w:spacing w:after="0" w:line="116" w:lineRule="exact"/>
        <w:rPr>
          <w:rFonts w:ascii="Times New Roman" w:cs="Times New Roman" w:eastAsia="Times New Roman" w:hAnsi="Times New Roman"/>
          <w:sz w:val="18"/>
          <w:szCs w:val="18"/>
          <w:color w:val="auto"/>
        </w:rPr>
      </w:pPr>
    </w:p>
    <w:p>
      <w:pPr>
        <w:ind w:left="760" w:right="32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$32 million resulting from an increase in the provision for income taxes resulting primarily from: (i) the increase in the provision for income taxes resulting from the $150 million increase in pre-tax income, partially offset by; (ii) a $2 million decrease in the provision for income taxes during the second quarter of 2024 from the impact of ASU 2016-09, Compensation-Stock Compensation: Improvements to Employee Share-Based Payment Accounting ("ASU 2016-09").</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six-month periods ended June 30, 2024 and 2023:</w:t>
      </w:r>
    </w:p>
    <w:p>
      <w:pPr>
        <w:spacing w:after="0" w:line="12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six-month periods ended June 30, 2024 and 2023 (dollar amounts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62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102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7,751,186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100.0 %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7,015,656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3,698,996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3,523,606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2,075,286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1,817,265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791,636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760,283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5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71,625</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6,926,026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89.4 %</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6,456,828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825,160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558,828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8"/>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438,796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560,152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(loss) attributable to noncontrolling interests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(2,751 )</w:t>
            </w:r>
          </w:p>
        </w:tc>
        <w:tc>
          <w:tcPr>
            <w:tcW w:w="3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550,986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revenues increased by 10.5%, or $736 million, to $7.751 billion during the six-month period ended June 30, 2024, as compared to $7.016 billion during the first six months of 2023. The net increase was primarily attributable to: (i) a $635 million, or 9.2%, increase in net revenues generated from our acute care hospital services and behavioral health services, on a same facility basis, and; (ii) an other combined net increase of $121 million, including a $115 million increase in provider tax assessments (which increased net revenues and other operating expenses but had no impact on income before income taxes), partially offset by a $20 million decrease in net revenues generated at Desert Springs Hospital Medical Center ("Desert Springs") located in Las Vegas, Nevada, which discontinued all inpatient operations during the first quarter of 2023.</w:t>
      </w:r>
    </w:p>
    <w:p>
      <w:pPr>
        <w:spacing w:after="0" w:line="7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Income before income taxes (before income attributable to noncontrolling interests) increased by $279 million, or 64%, to $718 million during the six-month period ended June 30, 2024 as compared to $439 million during the first six months of 2023. The net increase was due to:</w:t>
      </w:r>
    </w:p>
    <w:p>
      <w:pPr>
        <w:spacing w:after="0" w:line="53"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$153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$150 million at our behavioral health care facilities, as discussed below in </w:t>
      </w:r>
      <w:r>
        <w:rPr>
          <w:rFonts w:ascii="Times New Roman" w:cs="Times New Roman" w:eastAsia="Times New Roman" w:hAnsi="Times New Roman"/>
          <w:sz w:val="18"/>
          <w:szCs w:val="18"/>
          <w:i w:val="1"/>
          <w:iCs w:val="1"/>
          <w:color w:val="auto"/>
        </w:rPr>
        <w:t>Behavioral Health Care Services</w:t>
      </w:r>
      <w:r>
        <w:rPr>
          <w:rFonts w:ascii="Times New Roman" w:cs="Times New Roman" w:eastAsia="Times New Roman" w:hAnsi="Times New Roman"/>
          <w:sz w:val="18"/>
          <w:szCs w:val="18"/>
          <w:color w:val="auto"/>
        </w:rPr>
        <w:t>, and;</w:t>
      </w:r>
    </w:p>
    <w:p>
      <w:pPr>
        <w:spacing w:after="0" w:line="11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other combined net decreases.</w:t>
      </w:r>
    </w:p>
    <w:p>
      <w:pPr>
        <w:spacing w:after="0" w:line="11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Net income attributable to UHS increased by $217 million, or 65%, to $551 million during the six-month period ended June 30, 2024 as compared to $334 million during the first six months 2023. This increase was attributable to:</w:t>
      </w:r>
    </w:p>
    <w:p>
      <w:pPr>
        <w:spacing w:after="0" w:line="5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$279 million increase in income before income taxes, as discussed above;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due to an unfavorable change in income/loss attributable to noncontrolling interests, and;</w:t>
      </w:r>
    </w:p>
    <w:p>
      <w:pPr>
        <w:spacing w:after="0" w:line="116" w:lineRule="exact"/>
        <w:rPr>
          <w:rFonts w:ascii="Times New Roman" w:cs="Times New Roman" w:eastAsia="Times New Roman" w:hAnsi="Times New Roman"/>
          <w:sz w:val="18"/>
          <w:szCs w:val="18"/>
          <w:color w:val="auto"/>
        </w:rPr>
      </w:pPr>
    </w:p>
    <w:p>
      <w:pPr>
        <w:jc w:val="both"/>
        <w:ind w:left="760" w:right="32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$51 million resulting from an increase in the provision for income taxes resulting primarily from: (i) the increase in the provision for income taxes resulting from the $267 million increase in pre-tax income, partially offset by; (ii) a $12 million decrease in the provision for income taxes during the first six months of 2024 from the impact of ASU 2016-09.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Adjustments to self-insured professional and general liability reserves:</w:t>
      </w:r>
    </w:p>
    <w:p>
      <w:pPr>
        <w:spacing w:after="0" w:line="12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w:t>
      </w:r>
    </w:p>
    <w:p>
      <w:pPr>
        <w:spacing w:after="0" w:line="6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As a result of unfavorable trends experienced during the past several years, included in our results of operations were increases to our reserves for self-insured professional and general liability claims amounting to approximately $7 million and $14 million during the</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32" w:name="page33"/>
    <w:bookmarkEnd w:id="32"/>
    <w:p>
      <w:pPr>
        <w:ind w:right="280"/>
        <w:spacing w:after="0" w:line="265" w:lineRule="auto"/>
        <w:rPr>
          <w:sz w:val="20"/>
          <w:szCs w:val="20"/>
          <w:color w:val="auto"/>
        </w:rPr>
      </w:pPr>
      <w:r>
        <w:rPr>
          <w:rFonts w:ascii="Times New Roman" w:cs="Times New Roman" w:eastAsia="Times New Roman" w:hAnsi="Times New Roman"/>
          <w:sz w:val="18"/>
          <w:szCs w:val="18"/>
          <w:color w:val="auto"/>
        </w:rPr>
        <w:t>three and six-month periods ended June 30, 2024, respectively. Approximately $5 million and $10 million of the increase is included in our same facility basis acute care hospital services' results during the three and six-month periods ended June 30, 2024, respectively, and approximately $2 million and $4 million is included in our same facility basis behavioral health services' results during the three and six-month periods ended June 30, 2024, respectively</w:t>
      </w:r>
    </w:p>
    <w:p>
      <w:pPr>
        <w:spacing w:after="0" w:line="6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results of operations for the three and six-month periods ended June 30, 2023 included a $20 million increase to our reserves for self-insured professional and general liability claims, of which $14 million is included in our same facility basis acute care hospital services' results during each of the three and six-month periods ended June 30, 2023, and approximately $6 million is included in our same facility basis behavioral health services' results during each of the three and six-month periods ended June 30,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Hospital Services</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certain operating statistics for our acute care hospital services for the three and six-month periods ended June 30, 2024 and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10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9"/>
              </w:rPr>
              <w:t>All</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6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1820" w:type="dxa"/>
            <w:vAlign w:val="bottom"/>
          </w:tcPr>
          <w:p>
            <w:pPr>
              <w:spacing w:after="0"/>
              <w:rPr>
                <w:sz w:val="16"/>
                <w:szCs w:val="16"/>
                <w:color w:val="auto"/>
              </w:rPr>
            </w:pPr>
          </w:p>
        </w:tc>
        <w:tc>
          <w:tcPr>
            <w:tcW w:w="24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8"/>
        </w:trPr>
        <w:tc>
          <w:tcPr>
            <w:tcW w:w="1820" w:type="dxa"/>
            <w:vAlign w:val="bottom"/>
          </w:tcPr>
          <w:p>
            <w:pPr>
              <w:spacing w:after="0"/>
              <w:rPr>
                <w:sz w:val="13"/>
                <w:szCs w:val="13"/>
                <w:color w:val="auto"/>
              </w:rPr>
            </w:pPr>
          </w:p>
        </w:tc>
        <w:tc>
          <w:tcPr>
            <w:tcW w:w="1280" w:type="dxa"/>
            <w:vAlign w:val="bottom"/>
            <w:tcBorders>
              <w:top w:val="single" w:sz="8" w:color="auto"/>
            </w:tcBorders>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top w:val="single" w:sz="8" w:color="auto"/>
            </w:tcBorders>
          </w:tcPr>
          <w:p>
            <w:pPr>
              <w:jc w:val="right"/>
              <w:ind w:right="16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20" w:type="dxa"/>
            <w:vAlign w:val="bottom"/>
            <w:tcBorders>
              <w:top w:val="single" w:sz="8" w:color="auto"/>
            </w:tcBorders>
            <w:gridSpan w:val="3"/>
          </w:tcPr>
          <w:p>
            <w:pPr>
              <w:jc w:val="right"/>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top w:val="single" w:sz="8" w:color="auto"/>
            </w:tcBorders>
          </w:tcPr>
          <w:p>
            <w:pPr>
              <w:jc w:val="right"/>
              <w:ind w:right="14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40" w:type="dxa"/>
            <w:vAlign w:val="bottom"/>
            <w:tcBorders>
              <w:top w:val="single" w:sz="8" w:color="auto"/>
            </w:tcBorders>
            <w:gridSpan w:val="3"/>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top w:val="single" w:sz="8" w:color="auto"/>
            </w:tcBorders>
          </w:tcPr>
          <w:p>
            <w:pPr>
              <w:jc w:val="right"/>
              <w:ind w:right="14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80" w:type="dxa"/>
            <w:vAlign w:val="bottom"/>
            <w:tcBorders>
              <w:top w:val="single" w:sz="8" w:color="auto"/>
            </w:tcBorders>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top w:val="single" w:sz="8" w:color="auto"/>
            </w:tcBorders>
          </w:tcPr>
          <w:p>
            <w:pPr>
              <w:jc w:val="right"/>
              <w:ind w:right="16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gridSpan w:val="2"/>
          </w:tcPr>
          <w:p>
            <w:pPr>
              <w:spacing w:after="0"/>
              <w:rPr>
                <w:sz w:val="13"/>
                <w:szCs w:val="13"/>
                <w:color w:val="auto"/>
              </w:rPr>
            </w:pPr>
          </w:p>
        </w:tc>
      </w:tr>
      <w:tr>
        <w:trPr>
          <w:trHeight w:val="187"/>
        </w:trPr>
        <w:tc>
          <w:tcPr>
            <w:tcW w:w="1820" w:type="dxa"/>
            <w:vAlign w:val="bottom"/>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licensed beds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available beds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Patient days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384,373</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384,373</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805,759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782,354</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805,759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788,626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daily census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4,290.5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4,290.5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4,427.2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4,322.4</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4,427.2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Occupancy-licensed beds</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64.5 %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63.8 %</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64.5 %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63.8 %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66.5 %</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65.3 %</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66.5 %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20" w:type="dxa"/>
            <w:vAlign w:val="bottom"/>
          </w:tcPr>
          <w:p>
            <w:pPr>
              <w:spacing w:after="0"/>
              <w:rPr>
                <w:sz w:val="15"/>
                <w:szCs w:val="15"/>
                <w:color w:val="auto"/>
              </w:rPr>
            </w:pPr>
          </w:p>
        </w:tc>
      </w:tr>
      <w:tr>
        <w:trPr>
          <w:trHeight w:val="175"/>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Occupancy-available beds</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66.2 %</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65.5 %</w:t>
            </w:r>
          </w:p>
        </w:tc>
        <w:tc>
          <w:tcPr>
            <w:tcW w:w="13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66.2 %</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65.5 %</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68.3 %</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67.1 %</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68.3 %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20" w:type="dxa"/>
            <w:vAlign w:val="bottom"/>
          </w:tcPr>
          <w:p>
            <w:pPr>
              <w:spacing w:after="0"/>
              <w:rPr>
                <w:sz w:val="15"/>
                <w:szCs w:val="15"/>
                <w:color w:val="auto"/>
              </w:rPr>
            </w:pPr>
          </w:p>
        </w:tc>
      </w:tr>
      <w:tr>
        <w:trPr>
          <w:trHeight w:val="175"/>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Admissions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79,100</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158,163</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Length of stay</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Acute Care Hospital Services-Same Facility Basis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7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acute care facilities on a Same Facility basis and is used in the discussion below for the three and six-month periods ended June 30, 2024 and 2023 (dollar amounts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9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9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5"/>
                <w:szCs w:val="15"/>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3"/>
                <w:szCs w:val="13"/>
                <w:color w:val="auto"/>
              </w:rPr>
            </w:pPr>
          </w:p>
        </w:tc>
        <w:tc>
          <w:tcPr>
            <w:tcW w:w="68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2,099,912</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1,969,566</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4,207,346</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3,892,030</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charges: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855,432</w:t>
            </w:r>
          </w:p>
        </w:tc>
        <w:tc>
          <w:tcPr>
            <w:tcW w:w="2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40.7 %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835,904</w:t>
            </w: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1,716,108</w:t>
            </w:r>
          </w:p>
        </w:tc>
        <w:tc>
          <w:tcPr>
            <w:tcW w:w="2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40.8 %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1,662,879</w:t>
            </w:r>
          </w:p>
        </w:tc>
        <w:tc>
          <w:tcPr>
            <w:tcW w:w="22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42.7 %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579,082</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27.6 %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555,883</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28.2 %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1,156,158</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27.5 %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1,060,500</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Supplies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331,708</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15.8 %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327,761</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678,803</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653,132</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94,190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4.5 %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94,202</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4.8 %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184,310</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187,209</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24,313</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24,021</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48,106</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48,016</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1,884,725</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89.8 %</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1,837,771</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93.3 %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3,783,485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89.9 %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3,611,736</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215,187</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131,795</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423,861</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280,294</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(503 )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(1,080 )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(677 )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(758 )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214,878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10.2 %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132,298</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6.7 %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422,333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275,161</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-589915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-589915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-589915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-589915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-589915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-589915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-589915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92"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June 30, 2024 and 2023:</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three-month period ended June 30, 2024, as compared to the comparable prior year quarter, net revenues from our acute care hospital services, on a Same Facility basis, increased by $130 million or 6.6%. Income before income taxes (and before income attributable to noncontrolling interests) increased by $83 million, or 62%, amounting to $215 million, or 10.2% of net revenues during the second quarter of 2024, as compared to $132 million, or 6.7% of net revenues during the second quarter of 2023. Included in our Same Facility basis' net revenues and income before income taxes, during the second quarter of 2024, was approximately $38 million of net reimbursements (net of related provider taxes) recorded in connection with the Nevada state directed payment program which was approved by the Centers for Medicare and Medicaid Services in December, 2023. Please see additional disclosure below in </w:t>
      </w:r>
      <w:r>
        <w:rPr>
          <w:rFonts w:ascii="Times New Roman" w:cs="Times New Roman" w:eastAsia="Times New Roman" w:hAnsi="Times New Roman"/>
          <w:sz w:val="18"/>
          <w:szCs w:val="18"/>
          <w:i w:val="1"/>
          <w:iCs w:val="1"/>
          <w:color w:val="auto"/>
        </w:rPr>
        <w:t>Sources of Revenue-Nevada State Directed Payment Program ("SDP").</w:t>
      </w:r>
    </w:p>
    <w:p>
      <w:pPr>
        <w:spacing w:after="0" w:line="7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During the three-month period ended June 30, 2024, net revenue per adjusted admission increased by 3.5% while net revenue per adjusted patient day increased 5.3%, as compared to the comparable quarter of 2023. During the three-month period ended June 30, 2024, as compared to the comparable prior year quarter, inpatient admissions to our acute care hospitals increased by 3.5% while adjusted admissions (adjusted for outpatient activity) increased by</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3.4%. Patient days and adjusted patient days at these facilities each increased by 1.6% during the three-month period ended June 30, 2024, as compared to the comparable prior year quarter. The average length of inpatient stay at these facilities was 4.8 days and 4.9 days during the three-month periods ended June 30, 2024 and 2023, respectively. The occupancy rate, based on the average available beds at these facilities, was 66% during each of the three-month periods ended June 30, 2024 and 2023.</w:t>
      </w:r>
    </w:p>
    <w:p>
      <w:pPr>
        <w:spacing w:after="0" w:line="8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On a Same Facility basis during the three-month period ended June 30, 2024, as compared to the comparable quarter of 2023, the increase to salaries, wages and benefits expense moderated to $20 million, or 2.3%. Although our acute care facilities experienced an increase in patient volumes during the second quarter of 2024, as compared to the comparable quarter of 2023, the related incremental staffing cost increase was offset by the following: (i) a reduction in premium pay (overtime paid to employees and external temporary resources' expense) which decreased by approximately $14 million during the second quarter of 2024, as compared to the second quarter of 2023, and; (ii) a restructuring, that occurred in early 2024, at certain of our acute care hospitals that reduced the number of employees in positions that were not directly related to the delivery of patient care. As a percentage of net revenues, salaries, wages and benefits expense decreased to 40.7% during the second quarter of 2024 as compared to 42.4% during the second quarter of 2023.</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Other operating expenses increased $23 million, or 4.2%, during the second quarter of 2024, as compared to the comparable quarter of 2023. The increase during the second quarter of 2024, as compared to the comparable quarter of 2023, was due, in part, to the following: (i) a $12 million, or 8.3%, increase in physician-related expenses (as discussed above in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and; (ii) the expenses related to the increase in patient volumes. As a percentage of net revenues, other operating expenses decreased to 27.6% during the three-month period ended June 30, 2024, as compared to 28.2% during the second quarter of 2023.</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Supplies expense increased $4 million, or 1.2%, during the second quarter of 2024, as compared to the second quarter of 2023. The increase was due, in part, to the increase in patient volumes experienced during the second quarter of 2024, as compared to the comparable quarter of 2023. As a percentage of net revenues, supplies expense decreased to 15.8% during the three-month period ended June 30, 2024, as compared to 16.6% during the second quarter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Six-month periods ended June 30, 2024 and 2023:</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During the six-month period ended June 30, 2024, as compared to the comparable prior year period, net revenues from our acute care hospital services, on a Same Facility basis, increased by $315 million or 8.1%. Income before income taxes (and before income attributable to noncontrolling interests) increased by $147 million, or 54%, amounting to $422 million, or 10.0% of net revenues during the first six months of 2024, as compared to $275 million, or 7.1% of net revenues during the comparable period of 2023. Included in our Same Facility basis' net revenues and income before income taxes, during the first six months of 2024, was approximately $76 million of net reimbursements (net of related provider taxes) recorded in connection with the Nevada state directed payment program which was approved by the Centers for Medicare and Medicaid Services in December, 2023. Please see additional disclosure below in </w:t>
      </w:r>
      <w:r>
        <w:rPr>
          <w:rFonts w:ascii="Times New Roman" w:cs="Times New Roman" w:eastAsia="Times New Roman" w:hAnsi="Times New Roman"/>
          <w:sz w:val="18"/>
          <w:szCs w:val="18"/>
          <w:i w:val="1"/>
          <w:iCs w:val="1"/>
          <w:color w:val="auto"/>
        </w:rPr>
        <w:t>Sources of Revenue-Nevada State Directed Payment Program ("SDP").</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six-month period ended June 30, 2024, net revenue per adjusted admission increased by 4.0% while net revenue per adjusted patient day increased 5.5%, as compared to the comparable period of 2023. During the six-month period ended June 30, 2024, as compared to the comparable prior year period, inpatient admissions to our acute care hospitals increased by 4.6% while adjusted admissions increased by 3.9%. Patient days and adjusted patient days at these facilities increased by 3.0% and 2.5%, respectively, during the six-month period ended June 30, 2024, as compared to the comparable prior year period. The average length of inpatient stay at these facilities was 4.9 days during each of the six-month periods ended June 30, 2024 and 2023. The occupancy rate, based on the average available beds at these facilities, was 68% and 67% during the six-month periods ended June 30, 2024 and 2023, respectively.</w:t>
      </w:r>
    </w:p>
    <w:p>
      <w:pPr>
        <w:spacing w:after="0" w:line="7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On a Same Facility basis during the six-month period ended June 30, 2024, as compared to the comparable period of 2023, salaries, wages and benefits expense increased by $53 million, or 3.2%. Although our acute care facilities experienced an increase in patient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4" w:name="page35"/>
    <w:bookmarkEnd w:id="34"/>
    <w:p>
      <w:pPr>
        <w:ind w:right="100"/>
        <w:spacing w:after="0" w:line="256" w:lineRule="auto"/>
        <w:rPr>
          <w:sz w:val="20"/>
          <w:szCs w:val="20"/>
          <w:color w:val="auto"/>
        </w:rPr>
      </w:pPr>
      <w:r>
        <w:rPr>
          <w:rFonts w:ascii="Times New Roman" w:cs="Times New Roman" w:eastAsia="Times New Roman" w:hAnsi="Times New Roman"/>
          <w:sz w:val="18"/>
          <w:szCs w:val="18"/>
          <w:color w:val="auto"/>
        </w:rPr>
        <w:t>volumes during the first six months of 2024, as compared to the comparable period of 2023, the related incremental staffing cost increase was offset by the following: (i) a reduction in premium pay (overtime paid to employees and external temporary resources' expense) which decreased by approximately $32 million during the first six months of 2024, as compared to the comparable period of 2023, and; (ii) a restructuring, that occurred in early 2024, at certain of our acute care hospitals that reduced the number of employees in positions that were not directly related to the delivery of patient care. As a percentage of net revenues, salaries, wages and benefits expense decreased to 40.8% during the first six months of 2024 as compared to 42.7% during the comparable period of 2023.</w:t>
      </w:r>
    </w:p>
    <w:p>
      <w:pPr>
        <w:spacing w:after="0" w:line="7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Other operating expenses increased $96 million, or 9.0%, during the first six months of 2024, as compared to the comparable period of 2023. The increase during the first six months of 2024, as compared to the comparable period of 2023, was due, in part, to the following: (i) a $30 million, or 10.4%, increase in physician-related expenses (as discussed above in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(ii) a $15 million, or 6.8%, increase in the operating expenses incurred by our commercial health insurer, and; (iii) the expenses related to the increase in patient volumes. As a percentage of net revenues, other operating expenses increased to 27.5% during the first six months of 2024, as compared to 27.2% during the comparable period of 2023.</w:t>
      </w:r>
    </w:p>
    <w:p>
      <w:pPr>
        <w:spacing w:after="0" w:line="78"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Supplies expense increased $26 million, or 3.9%, during the first six months of 2024, as compared to the comparable period of 2023. The increase was due, in part, to the increase in patient volumes experienced during the first six months of 2024, as compared to the comparable period of 2023. As a percentage of net revenues, supplies expense decreased to 16.1% during the six-month period ended June 30, 2024, as compared to 16.8% during the comparable period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Acute Care Hospital Services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acute care operations during the three and six-month periods ended June 30, 2024 and 2023.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if applicable, the results of recently acquired/opened facilities and businesses as well as the operating results for Desert Springs which discontinued all inpatient operations during the first quarter of 2023. Dollar amounts below are reflected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Pr>
          <w:p>
            <w:pPr>
              <w:spacing w:after="0"/>
              <w:rPr>
                <w:sz w:val="16"/>
                <w:szCs w:val="16"/>
                <w:color w:val="auto"/>
              </w:rPr>
            </w:pPr>
          </w:p>
        </w:tc>
        <w:tc>
          <w:tcPr>
            <w:tcW w:w="19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9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58"/>
        </w:trPr>
        <w:tc>
          <w:tcPr>
            <w:tcW w:w="2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gridSpan w:val="2"/>
          </w:tcPr>
          <w:p>
            <w:pPr>
              <w:spacing w:after="0"/>
              <w:rPr>
                <w:sz w:val="13"/>
                <w:szCs w:val="13"/>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gridSpan w:val="2"/>
          </w:tcPr>
          <w:p>
            <w:pPr>
              <w:spacing w:after="0"/>
              <w:rPr>
                <w:sz w:val="16"/>
                <w:szCs w:val="16"/>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2,173,409</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2,003,079</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4,358,490</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3,976,611</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9"/>
                <w:szCs w:val="19"/>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charges: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2"/>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856,020</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39.4 %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836,331</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41.8 %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1,717,567</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39.4 %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1,680,291</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80" w:type="dxa"/>
            <w:vAlign w:val="bottom"/>
          </w:tcPr>
          <w:p>
            <w:pPr>
              <w:spacing w:after="0"/>
              <w:rPr>
                <w:sz w:val="21"/>
                <w:szCs w:val="2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654,931</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590,616</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1,309,914</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30.1 %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1,134,916</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28.5 %</w:t>
            </w: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Supplies expense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331,684</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15.3 %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327,650</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16.4 %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678,688</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15.6 %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655,710</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80" w:type="dxa"/>
            <w:vAlign w:val="bottom"/>
          </w:tcPr>
          <w:p>
            <w:pPr>
              <w:spacing w:after="0"/>
              <w:rPr>
                <w:sz w:val="19"/>
                <w:szCs w:val="19"/>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94,214</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94,304</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184,526</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4.2 %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187,630</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4.7 %</w:t>
            </w: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24,315</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24,035</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48,148</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48,189</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8"/>
                <w:szCs w:val="18"/>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1,961,164</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90.2 %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1,872,936</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93.5 %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3,938,843</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90.4 %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3,706,736</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93.2 %</w:t>
            </w: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212,245</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9.8 %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130,143</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419,647</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269,875</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Pr>
          <w:p>
            <w:pPr>
              <w:spacing w:after="0"/>
              <w:rPr>
                <w:sz w:val="19"/>
                <w:szCs w:val="19"/>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(503 )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(1,080 )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(461 )</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Pr>
          <w:p>
            <w:pPr>
              <w:spacing w:after="0"/>
              <w:rPr>
                <w:sz w:val="18"/>
                <w:szCs w:val="18"/>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211,720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130,527</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417,188</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263,823</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6.6 %</w:t>
            </w: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-735965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-735965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-735965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-735965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-735965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-735965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-735965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-153670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-153670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-153670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-153670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-153670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-153670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-153670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June 30, 2024 and 2023:</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During the three-month period ended June 30, 2024, as compared to the comparable prior year quarter, net revenues from our acute care hospital services increased by $170 million, or 8.5%, due to: (i) the $130 million, or 6.6% increase in Same Facility revenues, as discussed above; (ii) a $41 million increase in provider tax assessments (which had no impact on income before income taxes since the amounts offset between net revenues and other operating expenses), and; (iii) $1 million of other combined net decreases.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Income before income taxes increased by $81 million, or 62%, to $212 million, or 9.7% of net revenues during the first six months of 2024, as compared to $131 million, or 6.5% of net revenues during the first six months of 2023. The $81 million increase in income before income taxes from our acute care hospital services resulted primarily from the $83 million Same Facility basis' increase in income before income taxes from our acute care hospital services, as discussed above.</w:t>
      </w:r>
    </w:p>
    <w:p>
      <w:pPr>
        <w:spacing w:after="0" w:line="7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During the three-month period ended June 30, 2024, as compared to the comparable quarter of 2023, salaries, wages and benefits expense increased by $20 million, or 2.4%. The increase was due to the above-mentioned $20 million increase related to our acute care hospital services, on a Same Facility basis.</w:t>
      </w:r>
    </w:p>
    <w:p>
      <w:pPr>
        <w:spacing w:after="0" w:line="3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Other operating expenses increased $64 million, or 10.9%, during the second quarter of 2024, as compared to the comparable quarter of 2023. The increase was due to the $23 million above-mentioned increase related to our acute care hospital services, on a Same Facility basis, and the $41 million above-mentioned increase in provider tax assessments.</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92" w:right="259" w:bottom="1440" w:gutter="0" w:footer="0" w:header="0"/>
        </w:sectPr>
      </w:pPr>
    </w:p>
    <w:bookmarkStart w:id="35" w:name="page36"/>
    <w:bookmarkEnd w:id="35"/>
    <w:p>
      <w:pPr>
        <w:ind w:right="320"/>
        <w:spacing w:after="0" w:line="281" w:lineRule="auto"/>
        <w:rPr>
          <w:sz w:val="20"/>
          <w:szCs w:val="20"/>
          <w:color w:val="auto"/>
        </w:rPr>
      </w:pPr>
      <w:r>
        <w:rPr>
          <w:rFonts w:ascii="Times New Roman" w:cs="Times New Roman" w:eastAsia="Times New Roman" w:hAnsi="Times New Roman"/>
          <w:sz w:val="18"/>
          <w:szCs w:val="18"/>
          <w:color w:val="auto"/>
        </w:rPr>
        <w:t>Supplies expense increased by $4 million, or 1.2%, during the second quarter of 2024, as compared to the comparable quarter of 2023. The increase was due to the above-mentioned $4 million increase related to our acute care hospital services, on a Same Facility basis.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Six-month periods ended June 30, 2024 and 2023:</w:t>
      </w:r>
    </w:p>
    <w:p>
      <w:pPr>
        <w:spacing w:after="0" w:line="12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During the six-month period ended June 30, 2024, as compared to the comparable prior year period, net revenues from our acute care hospital services increased by $382 million, or 9.6%, due to: (i) the $315 million, or 8.1% increase in Same Facility revenues, as discussed above; (ii) an $88 million increase in provider tax assessments (which had no impact on income before income taxes since the amounts offset between net revenues and other operating expenses), and; (iii) $21 million of other combined net decreases consisting primarily of decreased revenues at Desert Springs.</w:t>
      </w:r>
    </w:p>
    <w:p>
      <w:pPr>
        <w:spacing w:after="0" w:line="7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Income before income taxes increased by $153 million, or 58%, to $417 million, or 9.6% of net revenues during the first six months of 2024, as compared to $264 million, or 6.6% of net revenues during the first six months of 2023. The $153 million increase in income before income taxes from our acute care hospital services resulted primarily from the $147 million Same Facility basis' increase in income before income taxes from our acute care hospital services, as discussed above, and $6 million of other combined favorable changes consisting primarily of a favorable change in the pre-tax income/loss related to Desert Springs.</w:t>
      </w:r>
    </w:p>
    <w:p>
      <w:pPr>
        <w:spacing w:after="0" w:line="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During the six-month period ended June 30, 2024, as compared to the comparable period of 2023, salaries, wages and benefits expense increased by $37 million, or 2.2%. The increase was due primarily to the above-mentioned $53 million increase related to our acute care hospital services, on a Same Facility basis, offset by the decreased salaries, wages and benefits expense incurred at Desert Springs.</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Other operating expenses increased $175 million, or 15.4%, during the first six months of 2024, as compared to the comparable period of 2023. The increase was due primarily to the $96 million above-mentioned increase related to our acute care hospital services, on a Same Facility basis, the $88 million above-mentioned increase in provider tax assessments, partially offset by decreased operating expenses incurred at Desert Springs.</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Supplies expense increased by $23 million, or 3.5%, during the first six months of 2024, as compared to the comparable period of 2023. The increase was due primarily to the above-mentioned $26 million increase related to our acute care hospital services, on a Same Facility basis, partially offset by decreased supplies expense incurred at Desert Springs.</w:t>
      </w:r>
    </w:p>
    <w:p>
      <w:pPr>
        <w:spacing w:after="0" w:line="67"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8"/>
          <w:szCs w:val="18"/>
          <w:color w:val="auto"/>
        </w:rPr>
        <w:t xml:space="preserve">Please see above in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for additional disclosure regarding the factors impacting our operating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Charity Care and Uninsured Discounts: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tables show the amounts recorded at our acute care hospitals for charity care and uninsured discounts, based on charges at established rates, for the three and six-month periods ended June 30, 2024 and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Uncompensated care: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2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1"/>
                <w:szCs w:val="21"/>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1"/>
                <w:szCs w:val="21"/>
                <w:color w:val="auto"/>
              </w:rPr>
            </w:pPr>
          </w:p>
        </w:tc>
      </w:tr>
      <w:tr>
        <w:trPr>
          <w:trHeight w:val="23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5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2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cost of providing uncompensated care:</w:t>
      </w:r>
    </w:p>
    <w:p>
      <w:pPr>
        <w:spacing w:after="0" w:line="119"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The estimated costs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5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2"/>
        </w:trPr>
        <w:tc>
          <w:tcPr>
            <w:tcW w:w="534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r>
      <w:tr>
        <w:trPr>
          <w:trHeight w:val="27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4"/>
                <w:szCs w:val="24"/>
                <w:color w:val="auto"/>
              </w:rPr>
            </w:pPr>
          </w:p>
        </w:tc>
      </w:tr>
      <w:tr>
        <w:trPr>
          <w:trHeight w:val="628"/>
        </w:trPr>
        <w:tc>
          <w:tcPr>
            <w:tcW w:w="53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5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-932815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-915670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-932815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-915670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-932815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-915670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Health Care Services</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following table sets forth certain operating statistics for our behavioral health care services for the three and six-month periods ended June 30,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All</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130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All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24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3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8"/>
        </w:trPr>
        <w:tc>
          <w:tcPr>
            <w:tcW w:w="1700" w:type="dxa"/>
            <w:vAlign w:val="bottom"/>
          </w:tcPr>
          <w:p>
            <w:pPr>
              <w:spacing w:after="0"/>
              <w:rPr>
                <w:sz w:val="13"/>
                <w:szCs w:val="13"/>
                <w:color w:val="auto"/>
              </w:rPr>
            </w:pPr>
          </w:p>
        </w:tc>
        <w:tc>
          <w:tcPr>
            <w:tcW w:w="1320" w:type="dxa"/>
            <w:vAlign w:val="bottom"/>
            <w:tcBorders>
              <w:top w:val="single" w:sz="8" w:color="auto"/>
            </w:tcBorders>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top w:val="single" w:sz="8" w:color="auto"/>
            </w:tcBorders>
          </w:tcPr>
          <w:p>
            <w:pPr>
              <w:jc w:val="right"/>
              <w:ind w:right="20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gridSpan w:val="3"/>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top w:val="single" w:sz="8" w:color="auto"/>
            </w:tcBorders>
          </w:tcPr>
          <w:p>
            <w:pPr>
              <w:jc w:val="right"/>
              <w:ind w:right="18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80" w:type="dxa"/>
            <w:vAlign w:val="bottom"/>
            <w:tcBorders>
              <w:top w:val="single" w:sz="8" w:color="auto"/>
            </w:tcBorders>
            <w:gridSpan w:val="3"/>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top w:val="single" w:sz="8" w:color="auto"/>
            </w:tcBorders>
          </w:tcPr>
          <w:p>
            <w:pPr>
              <w:jc w:val="right"/>
              <w:ind w:right="18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Borders>
              <w:top w:val="single" w:sz="8" w:color="auto"/>
            </w:tcBorders>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top w:val="single" w:sz="8" w:color="auto"/>
            </w:tcBorders>
          </w:tcPr>
          <w:p>
            <w:pPr>
              <w:jc w:val="right"/>
              <w:ind w:right="208"/>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gridSpan w:val="2"/>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licensed beds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available beds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24,065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24,319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24,089</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23,984</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Patient days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1,604,758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1,578,277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1,619,085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1,588,575</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3,201,198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3,140,422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3,228,077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3,161,147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daily census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17,634.7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17,343.7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17,792.1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17,456.9</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17,589.0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17,350.4</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17,736.7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17,464.9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Occupancy-licensed beds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73.0 %</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72.1 %</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72.9 %</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72.2 %</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72.8 %</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72.0 %</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72.7 %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20" w:type="dxa"/>
            <w:vAlign w:val="bottom"/>
          </w:tcPr>
          <w:p>
            <w:pPr>
              <w:spacing w:after="0"/>
              <w:rPr>
                <w:sz w:val="15"/>
                <w:szCs w:val="15"/>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Occupancy-available beds</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73.3 %</w:t>
            </w: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72.4 %</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73.2 %</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72.5 %</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73.2 %</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72.3 %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73.0 %</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72.4 %</w:t>
            </w:r>
          </w:p>
        </w:tc>
        <w:tc>
          <w:tcPr>
            <w:tcW w:w="20" w:type="dxa"/>
            <w:vAlign w:val="bottom"/>
          </w:tcPr>
          <w:p>
            <w:pPr>
              <w:spacing w:after="0"/>
              <w:rPr>
                <w:sz w:val="15"/>
                <w:szCs w:val="15"/>
                <w:color w:val="auto"/>
              </w:rPr>
            </w:pPr>
          </w:p>
        </w:tc>
      </w:tr>
      <w:tr>
        <w:trPr>
          <w:trHeight w:val="175"/>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Admissions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238,393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Length of stay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Behavioral Health Care Services-Same Facility Basis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excludes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Behavioral 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7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behavioral health care facilities, on a Same Facility basis, and is used in the discussions below for the three and six-month periods ended June 30, 2024 and 2023 (dollar amounts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9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9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5"/>
                <w:szCs w:val="15"/>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Pr>
          <w:p>
            <w:pPr>
              <w:spacing w:after="0"/>
              <w:rPr>
                <w:sz w:val="13"/>
                <w:szCs w:val="1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Times New Roman" w:cs="Times New Roman" w:eastAsia="Times New Roman" w:hAnsi="Times New Roman"/>
                <w:sz w:val="13"/>
                <w:szCs w:val="13"/>
                <w:b w:val="1"/>
                <w:bCs w:val="1"/>
                <w:color w:val="auto"/>
                <w:w w:val="99"/>
              </w:rPr>
              <w:t xml:space="preserve">% </w:t>
            </w:r>
            <w:r>
              <w:rPr>
                <w:rFonts w:ascii="Times New Roman" w:cs="Times New Roman" w:eastAsia="Times New Roman" w:hAnsi="Times New Roman"/>
                <w:sz w:val="14"/>
                <w:szCs w:val="14"/>
                <w:b w:val="1"/>
                <w:bCs w:val="1"/>
                <w:color w:val="auto"/>
                <w:w w:val="99"/>
              </w:rPr>
              <w:t>of Net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1,683,847</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1,517,051</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3,300,159</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2,980,774</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charges: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894,627</w:t>
            </w:r>
          </w:p>
        </w:tc>
        <w:tc>
          <w:tcPr>
            <w:tcW w:w="2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53.1 %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843,229</w:t>
            </w: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55.6 %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1,763,503</w:t>
            </w:r>
          </w:p>
        </w:tc>
        <w:tc>
          <w:tcPr>
            <w:tcW w:w="2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53.4 %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1,652,167</w:t>
            </w:r>
          </w:p>
        </w:tc>
        <w:tc>
          <w:tcPr>
            <w:tcW w:w="22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55.4 %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308,420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18.3 %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296,261</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19.5 %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620,705</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18.8 %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574,983</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Supplies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57,105</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53,774</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113,871</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106,259</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49,911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46,554</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97,019</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91,886</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11,656</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11,203</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21,801</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1,321,719</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78.5 %</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1,251,021</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82.5 %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2,618,200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79.3 %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2,447,096</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362,128</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266,030</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681,959</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533,678</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(733 )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(1,309 )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361,991</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21.5 %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265,770</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17.5 %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681,471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20.6 %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532,784</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-589915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-589915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-589915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-589915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-589915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-589915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-589915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-7620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June 30, 2024 and 2023:</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During the three-month period ended June 30, 2024, as compared to the comparable prior year quarter, net revenues from our behavioral health services, on a Same Facility basis, increased by $167 million or 11.0%. Income before income taxes increased by $96 million, or 36%, amounting to $362 million or 21.5% of net revenues during the second quarter of 2024, as compared to $266 million or 17.5% of net revenues during the second quarter of 2023.</w:t>
      </w:r>
    </w:p>
    <w:p>
      <w:pPr>
        <w:spacing w:after="0" w:line="6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During the three-month period ended June 30, 2024, net revenue per adjusted admission increased by 11.2% while net revenue per adjusted patient day increased by 9.3%, as compared to the comparable quarter of 2023. During the three-month period ended June 30,</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88" w:right="25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t>2024, as compared to the comparable prior year quarter, inpatient admissions and adjusted admissions to our behavioral health care hospitals decreased by -0.1% and -0.4%, respectively. Patient days at these facilities increased by 1.7% and adjusted patient days increased by 1.4% during the three-month period ended June 30, 2024, as compared to the comparable prior year quarter. The average length of inpatient stay at these facilities was 13.5 days and 13.3 days during the three-month periods ended June 30, 2024 and 2023, respectively. The occupancy rate, based on the average available beds at these facilities, was 73% and 72% during the three-month periods ended June 30, 2024 and 2023.</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 Same Facility basis during the three-month period ended June 30, 2024, as compared to the comparable quarter of 2023, salaries, wages and benefits expense increased $51 million or 6.1%. The increase during the second quarter of 2024, as compared to the comparable quarter of 2023, was due to a 2.4% increase in salaries, wages and benefits expense per average full time equivalent employee, as well as a 3.6% increase in the average number of full-time equivalent employees. The increased staffing was due, in part, to increased patient days. As a percentage of net revenues during each quarter, salaries, wages and benefits expense decreased to 53.1% during the second quarter of 2024 as compared to 55.6% during the second quarter of 2023.</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Other operating expenses increased $12 million, or 4.1%, during the second quarter of 2024, as compared to the comparable quarter of 2023. The increase during the second quarter of 2024, as compared to the comparable quarter of 2023, was due, in part, to a 1.4% increase in adjusted patient days. As a percentage of net revenues during each quarter, other operating expenses decreased to 18.3% during the second quarter of 2024 as compared to 19.5% during the second quarter of 2023.</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Supplies expense increased $3 million, or 6.2%, during the second quarter of 2024, as compared to the comparable quarter of 2023. As a percentage of net revenues during each quarter, supplies expense decreased to 3.4% during the second quarter of 2024, as compared to 3.5% during the comparable quarter of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Six-month periods ended June 30, 2024 and 2023:</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six-month period ended June 30, 2024, as compared to the comparable prior year period, net revenues from our behavioral health services, on a Same Facility basis, increased by $319 million or 10.7%. Income before income taxes increased by $149 million, or 28%, amounting to $681 million or 20.6% of net revenues during the first six months of 2024, as compared to $533 million or 17.9% of net revenues during the comparable period of 2023.</w:t>
      </w:r>
    </w:p>
    <w:p>
      <w:pPr>
        <w:spacing w:after="0" w:line="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six-month period ended June 30, 2024, net revenue per adjusted admission increased by 11.2% while net revenue per adjusted patient day increased by 8.7%, as compared to the comparable period of 2023. During the six-month period ended June 30, 2024, as compared to the comparable prior year period, inpatient admissions and adjusted admissions to our behavioral health care hospitals decreased by -0.3% and -0.6%, respectively. Patient days at these facilities increased by 1.9% and adjusted patient days increased by 1.7% during the six-month period ended June 30, 2024, as compared to the comparable prior year period. The average length of inpatient stay at these facilities was 13.5 days and 13.2 days during the six-month periods ended June 30, 2024 and 2023, respectively. The occupancy rate, based on the average available beds at these facilities, was 73% and 72% during the six-month periods ended June 30, 2024 and 2023.</w:t>
      </w:r>
    </w:p>
    <w:p>
      <w:pPr>
        <w:spacing w:after="0" w:line="79"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On a Same Facility basis during the six-month period ended June 30, 2024, as compared to the comparable period of 2023, salaries, wages and benefits expense increased $111 million or 6.7%. The increase during the first six months of 2024, as compared to the comparable period of 2023, was due to a</w:t>
      </w: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2.9% increase in salaries, wages and benefits expense per average full time equivalent employee, as well as a 3.7% increase in the average number of full-time equivalent employees. The increased staffing was due, in part, to increased patient days. As a percentage of net revenues, salaries, wages and benefits expense decreased to 53.4% during the first six months of 2024 as compared to 55.4% during the first six months of 2023.</w:t>
      </w:r>
    </w:p>
    <w:p>
      <w:pPr>
        <w:spacing w:after="0" w:line="7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Other operating expenses increased $46 million, or 8.0%, during the first six months of 2024, as compared to the comparable period of 2023. The increase during the first six months of 2024, as compared to the comparable period of 2023, was due, in part, to increased patient days. As a percentage of net revenues during each period, other operating expenses decreased to 18.8% during the first six months of 2024 as compared to 19.3% during the first six months of 2023.</w:t>
      </w:r>
    </w:p>
    <w:p>
      <w:pPr>
        <w:spacing w:after="0" w:line="7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Supplies expense increased $8 million, or 7.2%, during the first six months of 2024, as compared to the comparable period of 2023. As a percentage of net revenues during each period, supplies expense decreased to 3.5% during the first six months of 2024, as compared to 3.6% during the comparable period of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Behavioral Health Care Services</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behavioral health care services during the three and six-month periods ended June 30, 2024 and 2023. These amounts include: (i) our behavioral health care results on a Same Facility basis, as indicated above; (ii) the impact of provider tax assessments which increased net revenues and other operating expenses but had no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8" w:name="page39"/>
    <w:bookmarkEnd w:id="38"/>
    <w:p>
      <w:pPr>
        <w:ind w:right="420"/>
        <w:spacing w:after="0" w:line="281" w:lineRule="auto"/>
        <w:rPr>
          <w:sz w:val="20"/>
          <w:szCs w:val="20"/>
          <w:color w:val="auto"/>
        </w:rPr>
      </w:pPr>
      <w:r>
        <w:rPr>
          <w:rFonts w:ascii="Times New Roman" w:cs="Times New Roman" w:eastAsia="Times New Roman" w:hAnsi="Times New Roman"/>
          <w:sz w:val="18"/>
          <w:szCs w:val="18"/>
          <w:color w:val="auto"/>
        </w:rPr>
        <w:t>impact on income before income taxes, and; (iii) certain other amounts including the results of facilities acquired or opened during the past year. Dollar amounts below are reflected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Pr>
          <w:p>
            <w:pPr>
              <w:spacing w:after="0"/>
              <w:rPr>
                <w:sz w:val="16"/>
                <w:szCs w:val="16"/>
                <w:color w:val="auto"/>
              </w:rPr>
            </w:pPr>
          </w:p>
        </w:tc>
        <w:tc>
          <w:tcPr>
            <w:tcW w:w="19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9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
              <w:spacing w:after="0" w:line="15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1,731,309</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1,542,194</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3,387,376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3,032,683</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charges: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898,621</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51.9 %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844,308</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54.7 %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1,770,817</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52.3 %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1,654,094</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352,408</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20.4 %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322,518</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20.9 %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699,676</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627,750</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Supplies expense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57,277</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3.3 %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53,837</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114,201</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3.4 %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106,325</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46,778</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98,497</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92,397</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and rental expense</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11,761</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0.7 %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21,923</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1,370,692</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79.2 %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1,278,696</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2,706,470</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2,502,489</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82.5 %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360,617</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20.8 %</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263,498</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680,906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530,194</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2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(1,188 )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(2,059 )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vMerge w:val="continue"/>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360,480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263,693</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17.1 %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680,418</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530,049</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-735965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-735965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-735965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-735965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-735965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-735965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-735965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June 30, 2024 and 2023:</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During the three-month period ended June 30, 2024, as compared to the comparable prior year quarter, net revenues generated from our behavioral health services increased by $189 million, or 12.3%. The increase was primarily attributable to the above-mentioned $167 million, or 11.0%, increase in net revenues at our behavioral health facilities, on a Same Facility basis, as well as a $17 million increase in provider tax assessments (which had no impact on income before income taxes since the amounts offset between net revenues and other operating expenses).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Income before income taxes increased by $97 million, or 37%, to $360 million or 20.8% of net revenues during the second quarter of 2024, as compared to $264 million or 17.1% of net revenues during the second quarter of 2023. The increase in income before income taxes at our behavioral health facilities during the second quarter of 2024, as compared to the comparable quarter of 2023, was primarily attributable to the $96 million, or 36% increase in income before income taxes generated at our behavioral health facilities, on a Same Facility basis, as discussed above.</w:t>
      </w:r>
    </w:p>
    <w:p>
      <w:pPr>
        <w:spacing w:after="0" w:line="7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During the three-month period ended June 30, 2024, as compared to the comparable quarter of 2023, salaries, wages and benefits expense increased by $54 million or 6.4%. The increase was due primarily to the above-mentioned $51 million increase related to our behavioral health facilities, on a Same Facility basis.</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Other operating expenses increased by $30 million, or 9.3%, during the second quarter of 2024, as compared to the comparable quarter of 2023. The increase was due primarily to the above-mentioned $12 million increase related to our behavioral health facilities, on a Same Facility basis, as well as a $17 million increase in provider tax assessments.</w:t>
      </w:r>
    </w:p>
    <w:p>
      <w:pPr>
        <w:spacing w:after="0" w:line="6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Supplies expense increased $3 million, or 6.4%, during the second quarter of 2024, as compared to the comparable quarter of 2023. As a percentage of net revenues during, supplies expense decreased to 3.3% during the second quarter of 2024, as compared to 3.5% during the comparable quarter of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Six-month periods ended June 30, 2024 and 2023:</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During the six-month period ended June 30, 2024, as compared to the comparable prior year period, net revenues generated from our behavioral health services increased by $355 million, or 11.7%. The increase was primarily attributable to the above-mentioned $319 million, or 10.7%, increase in net revenues at our behavioral health facilities, on a Same Facility basis, as well as a $27 million increase in provider tax assessments (which had no impact on income before income taxes since the amounts offset between net revenues and other operating expenses).</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Income before income taxes increased by $150 million, or 28%, to $680 million or 20.1% of net revenues during the first six months of 2024, as compared to $530 million or 17.5% of net revenues during the first six months of 2023. The increase in income before income taxes at our behavioral health facilities during the first six months of 2024, as compared to the comparable period of 2023, was primarily attributable to the $149 million, or 28% increase in income before income taxes generated at our behavioral health facilities, on a Same Facility basis, as discussed above.</w:t>
      </w:r>
    </w:p>
    <w:p>
      <w:pPr>
        <w:spacing w:after="0" w:line="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During the six-month period ended June 30, 2024, as compared to the comparable period of 2023, salaries, wages and benefits expense increased by $117 million or 7.1%. The increase was due primarily to the above-mentioned $111 million increase related to our behavioral health facilities, on a Same Facility basis.</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92" w:right="259" w:bottom="1440" w:gutter="0" w:footer="0" w:header="0"/>
        </w:sectPr>
      </w:pPr>
    </w:p>
    <w:bookmarkStart w:id="39" w:name="page40"/>
    <w:bookmarkEnd w:id="39"/>
    <w:p>
      <w:pPr>
        <w:spacing w:after="0" w:line="265" w:lineRule="auto"/>
        <w:rPr>
          <w:sz w:val="20"/>
          <w:szCs w:val="20"/>
          <w:color w:val="auto"/>
        </w:rPr>
      </w:pPr>
      <w:r>
        <w:rPr>
          <w:rFonts w:ascii="Times New Roman" w:cs="Times New Roman" w:eastAsia="Times New Roman" w:hAnsi="Times New Roman"/>
          <w:sz w:val="18"/>
          <w:szCs w:val="18"/>
          <w:color w:val="auto"/>
        </w:rPr>
        <w:t>Other operating expenses increased by $72 million, or 11.5%, during the first six months of 2024, as compared to the comparable period of 2023. The increase was due primarily to the above-mentioned $46 million increase related to our behavioral health facilities, on a Same Facility basis, as well as a $27 million increase in provider tax assessments.</w:t>
      </w:r>
    </w:p>
    <w:p>
      <w:pPr>
        <w:spacing w:after="0" w:line="6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Supplies expense increased by $8 million, or 7.4%, during the first six months of 2024, as compared to the comparable period of the 2023. As a percentage of net revenues, supplies expense decreased to 3.4% during the first six months of 2024, as compared to 3.5% during the comparable period of 2023.</w:t>
      </w:r>
    </w:p>
    <w:p>
      <w:pPr>
        <w:spacing w:after="0" w:line="29"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Clinical Staffing, Physician Related Expenses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of Revenue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We receive payments for services rendered from private insurers, including managed care plans, the federal government under the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state governments under their respective Medicaid programs and directly from patients.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7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Sources of Revenues and Health Care Reform: </w:t>
      </w:r>
      <w:r>
        <w:rPr>
          <w:rFonts w:ascii="Times New Roman" w:cs="Times New Roman" w:eastAsia="Times New Roman" w:hAnsi="Times New Roman"/>
          <w:sz w:val="18"/>
          <w:szCs w:val="18"/>
          <w:color w:val="auto"/>
        </w:rPr>
        <w:t>Given increasing budget deficits, the federal government and many states are currently considering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ways to limit increases in levels of Medicare and Medicaid funding, which could also adversely affect future payments received by our hospitals. In addition, the uncertainty and fiscal pressures placed upon the federal government as a result of, among other things, impacts on state revenue and expenses resulting from the COVID-19 pandemic, economic recovery stimulus packages, responses to natural disasters, and the federal and state budget deficits in general may affect the availability of government funds to provide additional relief in the future. We are unable to predict the effect of future policy changes on our operations.</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2010, the Patient Protection and Affordable Care Act, as amended by the Health and Education Reconciliation Act (collectively, the “Legislation”) was enacted and its two primary goals were to provide for increased access to coverage for healthcare and to reduce healthcare-related expenses. The Legislation revised reimbursement under the Medicare and Medicaid programs to emphasize the efficient delivery of high-quality care and contains a number of incentives and penalties under these programs to achieve these goals. The Legislation provides for reductions to Medicaid DSH payments which are scheduled to begin in 2025.</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If additional section 1115 demonstrations that include work and community requirements are implemented, we anticipate that they would lead to reductions in coverage and likely increases in uncompensated care in those states where these demonstration waivers are granted.</w:t>
      </w:r>
    </w:p>
    <w:p>
      <w:pPr>
        <w:spacing w:after="0" w:line="8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December 14, 2018, a Texas Federal District Court deemed the Legislation to be unconstitutional in its entirety. The Court concluded that the Individual Mandate is no longer permissible under Congress’s taxing power as a result of the Tax Cut and Jobs Act of 2017 reducing the individual mandate’s tax to $0 (i.e., it no longer produces revenue, which is an essential feature of a tax),</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0" w:name="page41"/>
    <w:bookmarkEnd w:id="40"/>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 xml:space="preserve">California v. Texas </w:t>
      </w:r>
      <w:r>
        <w:rPr>
          <w:rFonts w:ascii="Times New Roman" w:cs="Times New Roman" w:eastAsia="Times New Roman" w:hAnsi="Times New Roman"/>
          <w:sz w:val="18"/>
          <w:szCs w:val="18"/>
          <w:color w:val="auto"/>
        </w:rPr>
        <w:t>that the plaintiffs in the matter lacked standing to bring their constitutionality claims. The Court did not reach the plaintiffs’ merits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arguments, which specifically challenged the constitutionality of the Legislation’s individual mandate and the entirety of the Legislation itself. As a result, the Legislation will continue to be law, and Health and Human Services ("HHS") and its respective agencies will continue to enforce regulations implementing the law. However,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a requirement that certain health plans cover services without cost sharing violates the Appointments Clause of the U.S. Constitution 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matter is expected to be the subject of additional litigation, having been remanded in part to the District Court. The outcome and impacts of this litigation cannot be predicted.</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In December, 2022, CMS proposed to change the standard for identification of an overpayment and would require the report and return of an overpayment if a provider or supplier has actual knowledge of the existence of an overpayment or acts in reckless disregard or deliberate ignorance of an overpayment. The Legislation also expands the Recovery Audit Contractor program to Medicaid. These amendments also make it easier for severe fines and penalties to be imposed on healthcare providers that violate applicable laws and regulations.</w:t>
      </w:r>
    </w:p>
    <w:p>
      <w:pPr>
        <w:spacing w:after="0" w:line="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legislative changes, the Legislation can be significantly impacted by executive branch actions. The Biden administration had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IRA’s extension of the subsidies through 2025 is expected to increase exchange enrollment in future years.</w:t>
      </w:r>
    </w:p>
    <w:p>
      <w:pPr>
        <w:spacing w:after="0" w:line="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4"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 xml:space="preserve">For additional disclosure related to our revenues including a disaggregation of our consolidated net revenues by major source for each of the periods presented herein, please see </w:t>
      </w:r>
      <w:r>
        <w:rPr>
          <w:rFonts w:ascii="Times New Roman" w:cs="Times New Roman" w:eastAsia="Times New Roman" w:hAnsi="Times New Roman"/>
          <w:sz w:val="18"/>
          <w:szCs w:val="18"/>
          <w:i w:val="1"/>
          <w:iCs w:val="1"/>
          <w:color w:val="auto"/>
        </w:rPr>
        <w:t>Note 12 to the Condensed Consolidated Financial Statements-Revenue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Medicare: </w:t>
      </w:r>
      <w:r>
        <w:rPr>
          <w:rFonts w:ascii="Times New Roman" w:cs="Times New Roman" w:eastAsia="Times New Roman" w:hAnsi="Times New Roman"/>
          <w:sz w:val="18"/>
          <w:szCs w:val="18"/>
          <w:color w:val="auto"/>
        </w:rPr>
        <w:t>Medicare is a federal program that provides certain hospital and medical insurance benefits to persons aged 65 and over, some disabled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Under the Medicare program, for inpatient services, our general acute care hospitals receive reimbursement under the inpatient prospective payment system (“IPPS”). Under the IPPS, hospitals are paid a predetermined fixed payment amount for each hospital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ind w:right="80"/>
        <w:spacing w:after="0" w:line="253" w:lineRule="auto"/>
        <w:rPr>
          <w:sz w:val="20"/>
          <w:szCs w:val="20"/>
          <w:color w:val="auto"/>
        </w:rPr>
      </w:pPr>
      <w:r>
        <w:rPr>
          <w:rFonts w:ascii="Times New Roman" w:cs="Times New Roman" w:eastAsia="Times New Roman" w:hAnsi="Times New Roman"/>
          <w:sz w:val="18"/>
          <w:szCs w:val="18"/>
          <w:color w:val="auto"/>
        </w:rPr>
        <w:t>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8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August, 2024, CMS published its IPPS 2025 final payment rule which provides for a 2.9%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1.8%. Including DSH payments, an increase to the Medicare Outlier threshold and certain other adjustments, we estimate our overall increase from the final IPPS 2025 rule (covering the period of October 1, 2024 through September 30, 2025) will approximate 1.2%.</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August, 2023, CMS published its IPPS 2024 final payment rule which provides for a 3.1% market basket increase to the base Medicare MS-DRG blended rate. When statutorily mandated budget neutrality factors, annual geographic wage index updates (including a change in the Medicare Rural Floor calculation), documenting and coding adjustments, and adjustments mandated by the Legislation are considered, without consideration for the required Medicare DSH payments changes and increase to the Medicare Outlier threshold, the overall increase in IPPS payments is approximately 6.6%. Including DSH payments, an increase to the Medicare Outlier threshold and certain other adjustments, we estimate our overall increase from the final IPPS 2024 rule (covering the period of October 1, 2023 through September 30, 2024) will approximate 5.4%.</w:t>
      </w:r>
    </w:p>
    <w:p>
      <w:pPr>
        <w:spacing w:after="0" w:line="7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August, 2022, CMS published its IPPS 2023 final payment rule which provides for a 4.1%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4.6.%. Including DSH payments, an increase to the Medicare Outlier threshold and certain other adjustments, we estimate our overall increase from the final IPPS 2023 rule (covering the period of October 1, 2022 through September 30, 2023) will approximate 4.4%. This projected impact from the IPPS 2023 final rule includes an increase of approximately 0.5% to partially restore cuts made as a result of the American Taxpayer Relief Act of 2012, as required by the 21st Century Cures Act, but excludes the impact of the sequestration reductions related to the 2011 Act, Bipartisan Budget Act of 2015, and Bipartisan Budget Act of 2018.</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2019, the Supreme Court of the United States issued a decision favorable to hospitals impacting prior year Medicare DSH payments (</w:t>
      </w:r>
      <w:r>
        <w:rPr>
          <w:rFonts w:ascii="Times New Roman" w:cs="Times New Roman" w:eastAsia="Times New Roman" w:hAnsi="Times New Roman"/>
          <w:sz w:val="18"/>
          <w:szCs w:val="18"/>
          <w:i w:val="1"/>
          <w:iCs w:val="1"/>
          <w:color w:val="auto"/>
        </w:rPr>
        <w:t>Azar v. Allina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 Services</w:t>
      </w:r>
      <w:r>
        <w:rPr>
          <w:rFonts w:ascii="Times New Roman" w:cs="Times New Roman" w:eastAsia="Times New Roman" w:hAnsi="Times New Roman"/>
          <w:sz w:val="18"/>
          <w:szCs w:val="18"/>
          <w:color w:val="auto"/>
        </w:rPr>
        <w:t>, No. 17-1484 (U.S. Jun. 3, 2019)). In</w:t>
      </w:r>
      <w:r>
        <w:rPr>
          <w:rFonts w:ascii="Times New Roman" w:cs="Times New Roman" w:eastAsia="Times New Roman" w:hAnsi="Times New Roman"/>
          <w:sz w:val="18"/>
          <w:szCs w:val="18"/>
          <w:i w:val="1"/>
          <w:iCs w:val="1"/>
          <w:color w:val="auto"/>
        </w:rPr>
        <w:t xml:space="preserve"> Allina</w:t>
      </w:r>
      <w:r>
        <w:rPr>
          <w:rFonts w:ascii="Times New Roman" w:cs="Times New Roman" w:eastAsia="Times New Roman" w:hAnsi="Times New Roman"/>
          <w:sz w:val="18"/>
          <w:szCs w:val="18"/>
          <w:color w:val="auto"/>
        </w:rPr>
        <w:t>, the hospitals challenged the Medicare DSH adjustments for federal fiscal year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42" w:name="page43"/>
    <w:bookmarkEnd w:id="42"/>
    <w:p>
      <w:pPr>
        <w:ind w:right="100"/>
        <w:spacing w:after="0" w:line="260" w:lineRule="auto"/>
        <w:rPr>
          <w:sz w:val="20"/>
          <w:szCs w:val="20"/>
          <w:color w:val="auto"/>
        </w:rPr>
      </w:pPr>
      <w:r>
        <w:rPr>
          <w:rFonts w:ascii="Times New Roman" w:cs="Times New Roman" w:eastAsia="Times New Roman" w:hAnsi="Times New Roman"/>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July, 2024, CMS published its Psych PPS final rule for the federal fiscal year 2025. Under this final rule, payments to our behavioral health care hospitals and units from the market basket update are estimated to increase by 2.8% compared to federal fiscal year 2024. This amount includes the effect of the 3.3% net market basket update which reflects the offset of a 0.5% productivity adjustment. When all of the final patient level adjustments described below as well as proposed wage index values are considered, we estimate that Psych PPS payments will increase by 2.1% in FFY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market basket update noted above, CMS will make the following changes:</w:t>
      </w:r>
    </w:p>
    <w:p>
      <w:pPr>
        <w:spacing w:after="0" w:line="27" w:lineRule="exact"/>
        <w:rPr>
          <w:sz w:val="20"/>
          <w:szCs w:val="20"/>
          <w:color w:val="auto"/>
        </w:rPr>
      </w:pPr>
    </w:p>
    <w:p>
      <w:pPr>
        <w:jc w:val="both"/>
        <w:ind w:left="1020" w:hanging="504"/>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methodology for determining the payment rates under the Inpatient Psychiatric Facility ("IPF") PPS for psychiatric hospitals and psychiatric units based on a review of the data and information collected in prior years in accordance with section 1886(s)(5)(A) of the Social Security Act, as added by the Consolidated Appropriations Act of 2023 ("CAA of 2023"). CMS finalized revisions to the IPF patient-level adjustment factors. The patient-level adjustments include Medicare Severity Diagnosis Related Groups (MS–DRGs) assignment of the patient’s principal diagnosis, selected comorbidities, patient age, and the variable per diem adjustments, and;</w:t>
      </w:r>
    </w:p>
    <w:p>
      <w:pPr>
        <w:spacing w:after="0" w:line="8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these revisions in a budget-neutral manner (that is, estimated payments to IPFs for FFY 2025 would be the same with or without the final revisions).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Clarified the criteria regarding all-inclusive cost reporting. This clarification will require our behavioral health care hospitals, which are currently utilizing an all-inclusive charging practice, to modify both their billing practices and information technology applications to ensure compliance with future regulations.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final rule also includes two requests for information on future revisions to the IPF PPS facility-level adjustment factors and development of the new standardized IPF Patient Assessment Instrument, required by the CAA of 2023, which IPFs participating in the IPF Quality Reporting Program will be required to report for Rate Year 2028.</w:t>
      </w:r>
    </w:p>
    <w:p>
      <w:pPr>
        <w:spacing w:after="0" w:line="6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July, 2023, CMS published its Psych PPS final rule for the federal fiscal year 2024. Under this final rule, payments to our behavioral health care hospitals and units are estimated to increase by 3.3% compared to federal fiscal year 2023. This amount includes the effect of the 3.5% net market basket update which reflects the offset of a 0.2% productivity adjustment.</w:t>
      </w:r>
    </w:p>
    <w:p>
      <w:pPr>
        <w:spacing w:after="0" w:line="6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July, 2022, CMS published its Psych PPS final rule for the federal fiscal year 2023. Under this final rule, payments to our behavioral health care hospitals and units are estimated to increase by 3.8% compared to federal fiscal year 2022. This amount includes the effect of the 4.1% net market basket update which reflects the offset of a 0.3% productivity adjustment.</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November 2, 2023, in light of the Supreme Court’s decision in </w:t>
      </w:r>
      <w:r>
        <w:rPr>
          <w:rFonts w:ascii="Times New Roman" w:cs="Times New Roman" w:eastAsia="Times New Roman" w:hAnsi="Times New Roman"/>
          <w:sz w:val="18"/>
          <w:szCs w:val="18"/>
          <w:i w:val="1"/>
          <w:iCs w:val="1"/>
          <w:color w:val="auto"/>
        </w:rPr>
        <w:t>American Hospital Association v. Becerra</w:t>
      </w:r>
      <w:r>
        <w:rPr>
          <w:rFonts w:ascii="Times New Roman" w:cs="Times New Roman" w:eastAsia="Times New Roman" w:hAnsi="Times New Roman"/>
          <w:sz w:val="18"/>
          <w:szCs w:val="18"/>
          <w:color w:val="auto"/>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16 years. The impact of this 0.5% reduction on our 2026 results of operations is approximately $4 million.</w:t>
      </w:r>
    </w:p>
    <w:p>
      <w:pPr>
        <w:spacing w:after="0" w:line="8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July, 2024, CMS issued its OPPS proposed rule for 2025. The hospital market basket increase is 3.0% and the productivity adjustment reduction is 0.4% for a net market basket increase of 2.6%. When other statutorily required adjustments and hospital patient service mix are considered, we estimate that our overall Medicare OPPS update for 2025 will aggregate to a net increase of 3.2%.</w:t>
      </w:r>
    </w:p>
    <w:p>
      <w:pPr>
        <w:spacing w:after="0" w:line="6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3" w:name="page44"/>
    <w:bookmarkEnd w:id="43"/>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2022, CMS issued its OPPS final rule for 2023. The hospital market basket increase is 4.1% and the productivity adjustment reduction is -0.3% for a net market basket increase of 3.8%. The final rule provides that in light of the Supreme Court decision in </w:t>
      </w:r>
      <w:r>
        <w:rPr>
          <w:rFonts w:ascii="Times New Roman" w:cs="Times New Roman" w:eastAsia="Times New Roman" w:hAnsi="Times New Roman"/>
          <w:sz w:val="18"/>
          <w:szCs w:val="18"/>
          <w:i w:val="1"/>
          <w:iCs w:val="1"/>
          <w:color w:val="auto"/>
        </w:rPr>
        <w:t>American Hospital Association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Becerra</w:t>
      </w:r>
      <w:r>
        <w:rPr>
          <w:rFonts w:ascii="Times New Roman" w:cs="Times New Roman" w:eastAsia="Times New Roman" w:hAnsi="Times New Roman"/>
          <w:sz w:val="18"/>
          <w:szCs w:val="18"/>
          <w:color w:val="auto"/>
        </w:rPr>
        <w:t>, CMS is applying the default rate, generally average sales price plus 6%, to 340B acquired drugs and biologicals for 2023. During the 2018-2022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 we recorded an aggregate of approximately $45 million to $50 million of Medicare revenues related to the prior 340B payment policy. When other statutorily required adjustments and hospital patient service mix are considered as well as impact of the aforementioned 340B Program policy change, we estimate that our overall Medicare OPPS update for 2023 will aggregate to a net increase of 0.9% which includes a 0.3% increase to behavioral health division partial hospitalization rates.</w:t>
      </w:r>
    </w:p>
    <w:p>
      <w:pPr>
        <w:spacing w:after="0" w:line="79"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On November 2, 2021, CMS issued its OPPS final rule for 2022. The hospital market basket increase is 2.7% and the productivity adjustment reduction is -0.7% for a net market basket increase of 2.0%. When other statutorily required adjustments and hospital patient service mix are considered, we estimate that our overall Medicare OPPS update for 2022 will aggregate to a net increase of 2.4% which includes a 3.0% increase to behavioral health division partial hospitalization rates.</w:t>
      </w:r>
    </w:p>
    <w:p>
      <w:pPr>
        <w:spacing w:after="0" w:line="7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(1) hospitals make public their standard changes (both gross charges and payer-specific negotiated charges) for all items and services online in a machine-readable format, and; (2) hospitals to make public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November, 2023, CMS finalized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the Departments of Labor, Health and Human Services and the Treasury announced proposed rules that would:</w:t>
      </w:r>
    </w:p>
    <w:p>
      <w:pPr>
        <w:spacing w:after="0" w:line="117" w:lineRule="exact"/>
        <w:rPr>
          <w:sz w:val="20"/>
          <w:szCs w:val="20"/>
          <w:color w:val="auto"/>
        </w:rPr>
      </w:pPr>
    </w:p>
    <w:p>
      <w:pPr>
        <w:ind w:left="1020" w:right="34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that insurers analyze the outcomes of their coverage to ensure there's equivalent access to mental health care, including provider networks, prior authorization rates and payment for out-of-network providers, and take action to get in compliance;</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when health plans can’t use prior authorization or other tactics to make it more difficult to access mental health and substance use treatment;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insurers to comply with the 2008 Mental Health Parity and Addiction Equity Act.</w:t>
      </w:r>
    </w:p>
    <w:p>
      <w:pPr>
        <w:spacing w:after="0" w:line="11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While these proposed rules, if adopted, would likely improve patient access to inpatient and outpatient mental health services, we are unable to estimate the related potential impact on our results of operations.</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Medicaid: </w:t>
      </w:r>
      <w:r>
        <w:rPr>
          <w:rFonts w:ascii="Times New Roman" w:cs="Times New Roman" w:eastAsia="Times New Roman" w:hAnsi="Times New Roman"/>
          <w:sz w:val="18"/>
          <w:szCs w:val="18"/>
          <w:color w:val="auto"/>
        </w:rPr>
        <w:t>Medicaid is a joint federal-state funded health care benefit program that is administered by the states to provide benefits to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receive revenues from various state and county-based programs, including Medicaid in all the states in which we operate. We receive annual Medicaid revenues of approximately $100 million, or greater, from each of Texas, Nevada, California, Illinois, Pennsylvania, Washington, D.C., Kentucky, Massachusetts, Mississippi, Virginia and Florida. We also receive Medicaid disproportionate share hospital payments in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Legislation may 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4" w:name="page45"/>
    <w:bookmarkEnd w:id="44"/>
    <w:p>
      <w:pPr>
        <w:spacing w:after="0" w:line="265" w:lineRule="auto"/>
        <w:rPr>
          <w:sz w:val="20"/>
          <w:szCs w:val="20"/>
          <w:color w:val="auto"/>
        </w:rPr>
      </w:pPr>
      <w:r>
        <w:rPr>
          <w:rFonts w:ascii="Times New Roman" w:cs="Times New Roman" w:eastAsia="Times New Roman" w:hAnsi="Times New Roman"/>
          <w:sz w:val="18"/>
          <w:szCs w:val="18"/>
          <w:color w:val="auto"/>
        </w:rPr>
        <w:t>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Various State Medicaid Supplemental Payment Programs:</w:t>
      </w:r>
    </w:p>
    <w:p>
      <w:pPr>
        <w:spacing w:after="0" w:line="12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revenues, taxes imposed by states in the form of a licensing fee, assessment or other mandatory payment ("Provider Taxes") and net benefit related to each of the below-mentioned Medicaid supplemental programs for three and six-month periods ended June 30, 2024 and 2023. The Provider Taxes are recorded in other operating expenses on the condensed consolidated statements of income as included herein.</w:t>
      </w:r>
    </w:p>
    <w:p>
      <w:pPr>
        <w:spacing w:after="0" w:line="13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1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7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Texas Supplemental Payment</w:t>
            </w:r>
          </w:p>
        </w:tc>
        <w:tc>
          <w:tcPr>
            <w:tcW w:w="6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Nevada SDP:</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Various Other State Programs: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Subtotal-Provider Tax Programs: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4"/>
        </w:trPr>
        <w:tc>
          <w:tcPr>
            <w:tcW w:w="2920" w:type="dxa"/>
            <w:vAlign w:val="bottom"/>
            <w:gridSpan w:val="7"/>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Aggregate net benefit from Provider</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Programs</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Texas DSH and Nevada SPA</w:t>
            </w:r>
          </w:p>
        </w:tc>
        <w:tc>
          <w:tcPr>
            <w:tcW w:w="7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FF0FC"/>
            </w:tcBorders>
            <w:gridSpan w:val="7"/>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benefit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Supplemental Medicaid</w:t>
            </w:r>
          </w:p>
        </w:tc>
        <w:tc>
          <w:tcPr>
            <w:tcW w:w="6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gridSpan w:val="7"/>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Provider Taxes</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4"/>
        </w:trPr>
        <w:tc>
          <w:tcPr>
            <w:tcW w:w="2920" w:type="dxa"/>
            <w:vAlign w:val="bottom"/>
            <w:gridSpan w:val="7"/>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Aggregate net benefit from all</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9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Programs</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-4477385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-4477385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-4477385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-4477385</wp:posOffset>
            </wp:positionV>
            <wp:extent cx="425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-4477385</wp:posOffset>
            </wp:positionV>
            <wp:extent cx="425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-3689985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-3689985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-3689985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-3689985</wp:posOffset>
            </wp:positionV>
            <wp:extent cx="425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-3689985</wp:posOffset>
            </wp:positionV>
            <wp:extent cx="425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-2901950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-2901950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-2901950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-2901950</wp:posOffset>
            </wp:positionV>
            <wp:extent cx="425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-2901950</wp:posOffset>
            </wp:positionV>
            <wp:extent cx="425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-1985645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-1985645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-1985645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-1985645</wp:posOffset>
            </wp:positionV>
            <wp:extent cx="425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-1985645</wp:posOffset>
            </wp:positionV>
            <wp:extent cx="425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-1061085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-1061085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-1061085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-1061085</wp:posOffset>
            </wp:positionV>
            <wp:extent cx="425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-1061085</wp:posOffset>
            </wp:positionV>
            <wp:extent cx="425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-24765</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-7620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425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425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Supplemental Payment Programs: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5" w:name="page46"/>
    <w:bookmarkEnd w:id="45"/>
    <w:p>
      <w:pPr>
        <w:ind w:right="40"/>
        <w:spacing w:after="0" w:line="281" w:lineRule="auto"/>
        <w:rPr>
          <w:sz w:val="20"/>
          <w:szCs w:val="20"/>
          <w:color w:val="auto"/>
        </w:rPr>
      </w:pPr>
      <w:r>
        <w:rPr>
          <w:rFonts w:ascii="Times New Roman" w:cs="Times New Roman" w:eastAsia="Times New Roman" w:hAnsi="Times New Roman"/>
          <w:sz w:val="18"/>
          <w:szCs w:val="18"/>
          <w:color w:val="auto"/>
        </w:rPr>
        <w:t>applicable affiliated hospitals. However, the county or hospital district is prohibited from entering into an agreement to condition any IGT on the amount of any private hospital’s indigent care obligation.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CHIRP (including QIF)</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August 1, 2022, CMS approved the Comprehensive Hospital Increase Reimbursement Program ("CHIRP"), with a pool of $5.2 billion, for the rate period effective September 1, 2022 to August 31, 2023. On July 31, 2023, CMS approved the CHIRP program, with a pool of $6.5 billion, for the rate period of September 1, 2023 to August 31, 2024.</w:t>
      </w:r>
    </w:p>
    <w:p>
      <w:pPr>
        <w:spacing w:after="0" w:line="6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On January 26, 2024, the Texas Health and Human Services Commission ("THHSC") issued a final rule that will modify the CHIRP payments beginning with the State Fiscal Year (SFY) 2025 rate period to promote the advancement of the quality goals and strategies the program is designed to advance.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modifications include:</w:t>
      </w:r>
    </w:p>
    <w:p>
      <w:pPr>
        <w:spacing w:after="0" w:line="225" w:lineRule="exact"/>
        <w:rPr>
          <w:sz w:val="20"/>
          <w:szCs w:val="20"/>
          <w:color w:val="auto"/>
        </w:rPr>
      </w:pPr>
    </w:p>
    <w:p>
      <w:pPr>
        <w:ind w:left="1020" w:right="26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new pay-for-performance incentive payment through a third component in CHIRP, the Alternate Participating Hospital Reimbursement for Improving Quality Award ("APHRIQA"). For state fiscal years beginning with SFY 2025, THHSC does not anticipate that behavioral health hospitals or rural hospitals will be included in a pay-for-performance program.</w:t>
      </w:r>
    </w:p>
    <w:p>
      <w:pPr>
        <w:spacing w:after="0" w:line="69"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funds for payment of the APHRIQA component will be transitioned from the existing uniform rate increase components of the Uniform Hospital Rate Increase Percentage and the Average Commercial Incentive Award and will be paid using a scorecard that directs managed care organizations to pay providers for performance achievements on quality outcome measures. Payments will be distributed under APHRIQA on a monthly, quarterly, semi-annual, or annual basis that aligns with the measurement period determined for quality metrics reporting.</w:t>
      </w:r>
    </w:p>
    <w:p>
      <w:pPr>
        <w:spacing w:after="0" w:line="27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cannot determine the impact of this final rule. However, CHIRP payment levels could be reduced materially if: (1) the pool size of the new APHRIQA component is materially less than THHSC carve-out of the current CHIRP pool, or; (2) if our hospitals are not able meet the required APHRIQA pay-for-performance metrics.</w:t>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of our acute care hospitals located in Texas recorded an aggregate of $33 million in Quality Incentive Fund (“QIF”) revenues during 2023 with no QIF revenue recorded in the three and six-month periods ending June 30, 2024 and 2023. The amounts recorded during 2023 were applicable to the period of September 1, 2021 to August 31, 2022. This revenue was earned pursuant to contract terms with various Medicaid managed care plans which requires the annual payout of QIF funds when a managed care service delivery area’s actual claims-based CHIRP payments are less than targeted CHIRP payments for a specific rate year. We also anticipate these hospitals may be entitled to a comparable amount of aggregate QIF revenue during the third and fourth quarters of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w:t>
      </w:r>
    </w:p>
    <w:p>
      <w:pPr>
        <w:spacing w:after="0" w:line="121" w:lineRule="exact"/>
        <w:rPr>
          <w:sz w:val="20"/>
          <w:szCs w:val="20"/>
          <w:color w:val="auto"/>
        </w:rPr>
      </w:pPr>
    </w:p>
    <w:p>
      <w:pPr>
        <w:ind w:right="300" w:firstLine="45"/>
        <w:spacing w:after="0" w:line="265" w:lineRule="auto"/>
        <w:rPr>
          <w:sz w:val="20"/>
          <w:szCs w:val="20"/>
          <w:color w:val="auto"/>
        </w:rPr>
      </w:pPr>
      <w:r>
        <w:rPr>
          <w:rFonts w:ascii="Times New Roman" w:cs="Times New Roman" w:eastAsia="Times New Roman" w:hAnsi="Times New Roman"/>
          <w:sz w:val="18"/>
          <w:szCs w:val="18"/>
          <w:color w:val="auto"/>
        </w:rPr>
        <w:t>Included in these provider tax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HARP</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24, 2021, THHSC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which was approved by CMS on August 15, 2023, will provide additional funding to hospitals to help offset the cost hospitals incur while providing Medicaid services. HARP is technically a Medicaid Upper Payment Limit as payment under this program is based on a reasonable estimate of the amount that would be paid for the services under Medicare payment principles but is referred to as HARP by THHSC.</w:t>
      </w:r>
    </w:p>
    <w:p>
      <w:pPr>
        <w:spacing w:after="0" w:line="7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Included in our results of operations during the full year of 2023 was approximately $20 million recorded in connection with this program (approximately $13 million of which is applicable to the period of October 1, 2021 through September 30, 2022). There was no impact from this program included in our results of operations during the three and six-month periods ended June 30, 2023.</w:t>
      </w:r>
    </w:p>
    <w:p>
      <w:pPr>
        <w:spacing w:after="0" w:line="69"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Our results of operations for the three and six-month periods ended June 30, 2024, included approximately $7 million and $14 million, respectively, recorded in connection with this program. We expect our net reimbursements pursuant to HARP to approximate $28 million during the year ended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Nevada State Directed Payment Program ("SDP"):</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previously reported, in February, 2023, the Nevada Division of Health Care Financing and Policy (“DHCFP”) outlined a new provider fee on private hospitals located in Nevada that would effectively capture new Medicaid federal share for certain categories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spacing w:after="0" w:line="255" w:lineRule="auto"/>
        <w:rPr>
          <w:sz w:val="20"/>
          <w:szCs w:val="20"/>
          <w:color w:val="auto"/>
        </w:rPr>
      </w:pPr>
      <w:r>
        <w:rPr>
          <w:rFonts w:ascii="Times New Roman" w:cs="Times New Roman" w:eastAsia="Times New Roman" w:hAnsi="Times New Roman"/>
          <w:sz w:val="18"/>
          <w:szCs w:val="18"/>
          <w:color w:val="auto"/>
        </w:rPr>
        <w:t>services eligible for the new payment program. In late December, 2023, the Centers for Medicare and Medicaid Services (“CMS”) approved the Medicaid managed care component of the Nevada SDP program, with an effective date of January 1, 2024. Based upon financial data provided by the DHCFP for our facilities located in Nevada, we estimate that our aggregate net reimbursements pursuant to the Medicaid managed care component of the Nevada SDP program (net of related provider taxes) will approximate $140 million during the year ended December 31, 2024. Payments made pursuant to this component of the Nevada SDP program, which requires annual approval by CMS, are subject to reconciliation by DHCFP based on actual Medicaid managed care utilization during 2024. There can be no assurance that the Medicaid managed care component of the Nevada SDP will continue for any period after December 31, 2024, or that it will not be modified.</w:t>
      </w:r>
    </w:p>
    <w:p>
      <w:pPr>
        <w:spacing w:after="0" w:line="7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There were no impact from this program included in our results of operations during the three and six-month periods ended June 30, 2023. Our results of operations for the three and six-month periods ended June 30, 2024 included approximately $40 million and $79 million, respectively, recorded in connection with this program.</w:t>
      </w:r>
    </w:p>
    <w:p>
      <w:pPr>
        <w:spacing w:after="0" w:line="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Including the impact of the Medicaid fee for service upper payment limit component of the Nevada SDP program (estimated net reimbursements of $18 million attributable to our Nevada facilities during the year ended December 31, 2024), which was approved by CMS in November and December of 2023, we estimate that our aggregate net reimbursements pursuant to both components of the Nevada SDP program (net of related provider taxes) will approximate $158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Various Other State Programs:</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receive substantial reimbursement from multiple states in connection with various supplemental Medicaid payment programs. The states include, but are not limited to, the state programs listed below from which we receive significant reimbursements.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Kentucky Hospital Rate Increase Program (“HRIP”)</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2021, CMS approved the Kentucky Medicaid Managed Care Hospital Rate Increase Program. In connection with this program, included in our results of operations was approximately $20 million and $23 million during the three-month periods ended June 30, 2024 and 2023, respectively, and approximately $41 million and $42 million during the six-month periods ended June 30, 2024 and 2023, respectively. In January, 2024, CMS approved the program for the period of January 1, 2024 through December 31, 2024 at rates comparable to the prior year. We estimate that our net reimbursements pursuant to HRIP will approximate $77 million during the year ended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Supplemental Payments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Hospital Fee Program CMS Approval Status</w:t>
      </w:r>
      <w:r>
        <w:rPr>
          <w:rFonts w:ascii="Times New Roman" w:cs="Times New Roman" w:eastAsia="Times New Roman" w:hAnsi="Times New Roman"/>
          <w:sz w:val="18"/>
          <w:szCs w:val="18"/>
          <w:color w:val="auto"/>
        </w:rPr>
        <w:t>:</w:t>
      </w:r>
    </w:p>
    <w:p>
      <w:pPr>
        <w:spacing w:after="0" w:line="117" w:lineRule="exact"/>
        <w:rPr>
          <w:sz w:val="20"/>
          <w:szCs w:val="20"/>
          <w:color w:val="auto"/>
        </w:rPr>
      </w:pPr>
    </w:p>
    <w:tbl>
      <w:tblPr>
        <w:tblLayout w:type="fixed"/>
        <w:tblInd w:w="790" w:type="dxa"/>
        <w:tblCellMar>
          <w:top w:w="0" w:type="dxa"/>
          <w:left w:w="0" w:type="dxa"/>
          <w:bottom w:w="0" w:type="dxa"/>
          <w:right w:w="0" w:type="dxa"/>
        </w:tblCellMar>
      </w:tblPr>
      <w:tr>
        <w:trPr>
          <w:trHeight w:val="252"/>
        </w:trPr>
        <w:tc>
          <w:tcPr>
            <w:tcW w:w="34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Hospital Fee Program Component</w:t>
            </w:r>
          </w:p>
        </w:tc>
        <w:tc>
          <w:tcPr>
            <w:tcW w:w="31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CMS Methodology Approval</w:t>
            </w:r>
          </w:p>
        </w:tc>
        <w:tc>
          <w:tcPr>
            <w:tcW w:w="3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CMS Rate Setting Approval Status</w:t>
            </w:r>
          </w:p>
        </w:tc>
      </w:tr>
      <w:tr>
        <w:trPr>
          <w:trHeight w:val="254"/>
        </w:trPr>
        <w:tc>
          <w:tcPr>
            <w:tcW w:w="3480" w:type="dxa"/>
            <w:vAlign w:val="bottom"/>
            <w:tcBorders>
              <w:left w:val="single" w:sz="8" w:color="auto"/>
              <w:bottom w:val="single" w:sz="8" w:color="auto"/>
              <w:right w:val="single" w:sz="8" w:color="auto"/>
            </w:tcBorders>
          </w:tcPr>
          <w:p>
            <w:pPr>
              <w:spacing w:after="0"/>
              <w:rPr>
                <w:sz w:val="22"/>
                <w:szCs w:val="22"/>
                <w:color w:val="auto"/>
              </w:rPr>
            </w:pPr>
          </w:p>
        </w:tc>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3820" w:type="dxa"/>
            <w:vAlign w:val="bottom"/>
            <w:tcBorders>
              <w:bottom w:val="single" w:sz="8" w:color="auto"/>
              <w:right w:val="single" w:sz="8" w:color="auto"/>
            </w:tcBorders>
          </w:tcPr>
          <w:p>
            <w:pPr>
              <w:spacing w:after="0"/>
              <w:rPr>
                <w:sz w:val="22"/>
                <w:szCs w:val="22"/>
                <w:color w:val="auto"/>
              </w:rPr>
            </w:pPr>
          </w:p>
        </w:tc>
      </w:tr>
      <w:tr>
        <w:trPr>
          <w:trHeight w:val="211"/>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 For Service Payment</w:t>
            </w: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Approved through December 31, 2024</w:t>
            </w: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Approved through December 31, 2024; Paid</w:t>
            </w:r>
          </w:p>
        </w:tc>
      </w:tr>
      <w:tr>
        <w:trPr>
          <w:trHeight w:val="234"/>
        </w:trPr>
        <w:tc>
          <w:tcPr>
            <w:tcW w:w="3480" w:type="dxa"/>
            <w:vAlign w:val="bottom"/>
            <w:tcBorders>
              <w:left w:val="single" w:sz="8" w:color="auto"/>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through September 30, 2023</w:t>
            </w:r>
          </w:p>
        </w:tc>
      </w:tr>
      <w:tr>
        <w:trPr>
          <w:trHeight w:val="229"/>
        </w:trPr>
        <w:tc>
          <w:tcPr>
            <w:tcW w:w="3480" w:type="dxa"/>
            <w:vAlign w:val="bottom"/>
            <w:tcBorders>
              <w:left w:val="single" w:sz="8" w:color="auto"/>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r>
      <w:tr>
        <w:trPr>
          <w:trHeight w:val="204"/>
        </w:trPr>
        <w:tc>
          <w:tcPr>
            <w:tcW w:w="3480" w:type="dxa"/>
            <w:vAlign w:val="bottom"/>
            <w:tcBorders>
              <w:left w:val="single" w:sz="8" w:color="auto"/>
              <w:right w:val="single" w:sz="8" w:color="auto"/>
            </w:tcBorders>
          </w:tcPr>
          <w:p>
            <w:pPr>
              <w:ind w:left="40"/>
              <w:spacing w:after="0" w:line="204" w:lineRule="exact"/>
              <w:rPr>
                <w:sz w:val="20"/>
                <w:szCs w:val="20"/>
                <w:color w:val="auto"/>
              </w:rPr>
            </w:pPr>
            <w:r>
              <w:rPr>
                <w:rFonts w:ascii="Times New Roman" w:cs="Times New Roman" w:eastAsia="Times New Roman" w:hAnsi="Times New Roman"/>
                <w:sz w:val="18"/>
                <w:szCs w:val="18"/>
                <w:color w:val="auto"/>
              </w:rPr>
              <w:t>Managed Care-Pass-Through Payment</w:t>
            </w:r>
          </w:p>
        </w:tc>
        <w:tc>
          <w:tcPr>
            <w:tcW w:w="316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Approved through December 31, 2024</w:t>
            </w:r>
          </w:p>
        </w:tc>
        <w:tc>
          <w:tcPr>
            <w:tcW w:w="38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Approved through December 31, 2022 and paid</w:t>
            </w:r>
          </w:p>
        </w:tc>
      </w:tr>
      <w:tr>
        <w:trPr>
          <w:trHeight w:val="234"/>
        </w:trPr>
        <w:tc>
          <w:tcPr>
            <w:tcW w:w="3480" w:type="dxa"/>
            <w:vAlign w:val="bottom"/>
            <w:tcBorders>
              <w:left w:val="single" w:sz="8" w:color="auto"/>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through December 31, 2023</w:t>
            </w:r>
          </w:p>
        </w:tc>
      </w:tr>
      <w:tr>
        <w:trPr>
          <w:trHeight w:val="246"/>
        </w:trPr>
        <w:tc>
          <w:tcPr>
            <w:tcW w:w="3480" w:type="dxa"/>
            <w:vAlign w:val="bottom"/>
            <w:tcBorders>
              <w:left w:val="single" w:sz="8" w:color="auto"/>
              <w:bottom w:val="single" w:sz="8" w:color="auto"/>
              <w:right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r>
      <w:tr>
        <w:trPr>
          <w:trHeight w:val="188"/>
        </w:trPr>
        <w:tc>
          <w:tcPr>
            <w:tcW w:w="348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Managed Care-Directed Payment</w:t>
            </w:r>
          </w:p>
        </w:tc>
        <w:tc>
          <w:tcPr>
            <w:tcW w:w="316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Approved through December 31, 2024</w:t>
            </w:r>
          </w:p>
        </w:tc>
        <w:tc>
          <w:tcPr>
            <w:tcW w:w="382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Approved through December 31, 2022 and paid</w:t>
            </w:r>
          </w:p>
        </w:tc>
      </w:tr>
      <w:tr>
        <w:trPr>
          <w:trHeight w:val="234"/>
        </w:trPr>
        <w:tc>
          <w:tcPr>
            <w:tcW w:w="3480" w:type="dxa"/>
            <w:vAlign w:val="bottom"/>
            <w:tcBorders>
              <w:left w:val="single" w:sz="8" w:color="auto"/>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through June 30, 2023</w:t>
            </w:r>
          </w:p>
        </w:tc>
      </w:tr>
      <w:tr>
        <w:trPr>
          <w:trHeight w:val="239"/>
        </w:trPr>
        <w:tc>
          <w:tcPr>
            <w:tcW w:w="3480" w:type="dxa"/>
            <w:vAlign w:val="bottom"/>
            <w:tcBorders>
              <w:left w:val="single" w:sz="8" w:color="auto"/>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r>
    </w:tbl>
    <w:p>
      <w:pPr>
        <w:spacing w:after="0" w:line="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$13 million during each three-month period ended June 30, 2024 and 2023, and approximately $25 million and $23 million during the six-month periods ended June 30, 2024 and 2023, respectively. We estimate that our net reimbursements pursuant to this program will approximate $51 million during the year ended December 31, 2024.</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On April 25, 2024, the Office of Health Care Affordability board approved a five-year statewide health care spending growth target for 2025 through 2029 as follows 3.5%, 3.5%, 3.2%, 3.2% and 3.0%. The FY 2025 target is non-enforceable. We are unable to predict the financial impact from this spending target on our hospitals operating in California.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Mississippi Hospital Access Program</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2023, subject to CMS approval, Mississippi announced a $689 million, two-part Medicaid payment proposal, effective retroactively to July 1, 2023, that would be funded by annual hospital assessments to the state's Medicaid program. These hospital assessments are calculated using a formula provided under state law. The first part of the proposal, known as the Mississippi Hospital Access Program (“MHAP”), would provide direct payments for hospitals that serve patients in the state's Medicaid managed care delivery system. Hospitals would be reimbursed near the average commercial rate, which is the upper limit for Medicaid managed care reimbursements. The second part of the proposal would supplement Medicaid payment rates for hospitals providing inpatient and outpatient services up to Medicaid's regulated upper payment limit. In December, 2023, CMS approved the MHAP program component.</w:t>
      </w:r>
    </w:p>
    <w:p>
      <w:pPr>
        <w:spacing w:after="0" w:line="7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$16 million and $7 million during the three-month periods ended June 30, 2024 and 2023, respectively, and approximately $27 million and $11 million during the six-month periods ended June 30, 2024 and 2023, respectively. We estimate that our net reimbursements pursuant to these supplemental payment programs will approximate $49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Medicaid Managed Care Directed Payment Program (“DPP”)</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Florida DPP provides for an additional payment for Medicaid managed care contracted services. Although the impact of this program did not have a significant impact on our results of operations during the three and six-month periods ended June 30, 2024 or 2023, we estimate that our net reimbursements pursuant to this DPP will approximate $42 million during the year ended December 31, 2024 (substantially all of which we anticipate recording during the fourth quarter of 2024). For the year ended December 31, 2023, our results of operations included approximately $43 million recorded in connection with this program (substantially all of which was recorded during the fourth quarter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Medicaid Supplemental Payment Programs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Illinois Medicaid Supplemental Payment Programs are comprised of three components: (1) Medicaid managed care directed payment program; (2) Medicaid managed care pass-through program, and; (3) Medicaid fee for service supplemental payment program. These programs require various related legislative and regulatory approvals each year.</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$9 million and $14 million recorded during the three-month periods ended June 30, 2024 and 2023, respectively, and approximately $19 million and $21 million recorded during the six-month periods ended June 30, 2024 and 2023, respectively. We estimate that our net reimbursements pursuant to these supplemental payment programs will approximate $38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Indiana Medicaid Managed Care DPP</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Indiana DPP provides for an additional payment for Medicaid managed care contracted services. In connection with this program, included in our results of operations was approximately $7 million recorded during each of the three-month periods ended June 30, 2024 and 2023, and approximately $15 million and $16 million recorded during the six-month periods ended June 30, 2024 and 2023, respectively. We estimate that our net reimbursements pursuant to this program will approximate $32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Oklahoma (Transition to Managed Care and Implementation of a Medicaid Managed Care DPP)</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effective as of April 1,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$6 million and $2 million recorded during the three-month periods ended June 30, 2024 and 2023, respectively, and approximately $9 million and $5 million recorded during the six-month periods ended June 30, 2024 and 2023, respectively. We estimate that our net reimbursements pursuant to these two supplemental payment programs (i.e. SHOPP and DPP) will approximate $20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 Carolina Health Access, Workforce and Quality (“HAWQ”) Program</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In September 2023, CMS approved the South Carolina HAWQ Program retroactive to July 1, 2023. This program is Medicaid managed care directed payment program that provides for a rate enhancement to Medicaid managed care encounters. In connection with this program, included in our results of operations was approximately $5 million and $11 million recorded during the three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8" w:name="page49"/>
    <w:bookmarkEnd w:id="48"/>
    <w:p>
      <w:pPr>
        <w:ind w:right="80"/>
        <w:spacing w:after="0" w:line="265" w:lineRule="auto"/>
        <w:rPr>
          <w:sz w:val="20"/>
          <w:szCs w:val="20"/>
          <w:color w:val="auto"/>
        </w:rPr>
      </w:pPr>
      <w:r>
        <w:rPr>
          <w:rFonts w:ascii="Times New Roman" w:cs="Times New Roman" w:eastAsia="Times New Roman" w:hAnsi="Times New Roman"/>
          <w:sz w:val="18"/>
          <w:szCs w:val="18"/>
          <w:color w:val="auto"/>
        </w:rPr>
        <w:t>six-month periods ended June 30, 2024, respectively. There was no impact from this program included in our results of operations during the three and six-month periods ended June 30, 2023. We estimate that our net reimbursements pursuant to these supplemental payment programs will approximate $21 million during the year ended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Michigan Directed Payment Program (“DPP”)</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2024, CMS approved the Michigan Medicaid DPP retroactive to October 1, 2023 based on average commercial rates. The Michigan DPP provides for an additional payment for Medicaid managed care contracted services. In connection with this program, included in our results of operations was approximately $13 million and $6 million recorded during the three-month periods ended June 30, 2024 and 2023, respectively, and approximately $20 million and $10 million recorded during the six-month periods ended June 30, 2024 and 2023, respectively. We estimate that our net reimbursements pursuant to this program will approximate $33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Idaho Upper Payment Limit (“UPL”)</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2024, the Idaho Department of Health and Welfare (“IDHW”) released its updated Medicaid UPL calculation for SFY 2024 (July 1, 2023 to June 30, 2024) and revised its SFY 2023 (July 1, 2022 to June 30, 2023) UPL calculation. In connection with this program, included in our results of operations was approximately $19 million and $4 million recorded during the three-month periods ended June 30, 2024 and 2023, respectively, and approximately $22 million and $15 million recorded during the six-month periods ended June 30, 2024 and 2023, respectively. As a result of the state agency UPL recalculation, we estimate that our net reimbursements pursuant to this program will approximate $31 million during the year ended December 31, 2024.</w:t>
      </w:r>
    </w:p>
    <w:p>
      <w:pPr>
        <w:spacing w:after="0" w:line="74"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7"/>
          <w:szCs w:val="17"/>
          <w:color w:val="auto"/>
        </w:rPr>
        <w:t>Subject to CMS approval, the IDHW plans to continue this UPL program through SFY 2025 (July 1, 2024 to June 30, 2025) at payment levels comparable to SFY 2024. In SFY 2026, the IDHW intends to replace the UPL program with a Medicaid managed care state directed payment program. We are unable to predict whether payments levels under the planned new state directed payment program will be comparable to the SFY 2024 UPL payment levels.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Tennessee Directed Payment Program (“DPP”)</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April 29, 2024 the Tennessee legislature transmitted a Bill (SB1740), that was enacted into law in May, 2024, which imposes an annual coverage assessment on covered hospitals for fiscal year 2024-2025. The total assessment on all covered hospitals in the aggregate will be equal to 6% of the federally recognized annual coverage assessment base. The assessment proceeds will be used to fund an increase to the state’s SFY 2025 (July 1, 2024 to June 30, 2025) DPP payment pool to be based on average commercial rates. The state agency (TennCare) submitted the required preprint to CMS in May, 2024. If approved by CMS, the DPP payment increase will be retroactive to July 1, 2024. Although we are unable to predict whether the new DPP program will be approved by CMS, or the timing of such approval should it occur, TennCare's financial models indicate that our annual DPP reimbursements could range from $40 million to $56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Safety Net Assessment Program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 2024, CMS approved an expanded state directed payment program in Washington whereby payments will now be based on the average commercial rates. The program was approved retroactively for the period January 1, 2024 to December 31, 2024. In connection with this program, included in our results of operations for the three and six-month periods ended June 30, 2024, was $19 million of incremental net benefit recorded in connection with this expanded program (applicable to the six-month period of January 1, through June 30, 2024). We estimate that our net incremental benefit pursuant to this expanded program will approximate $44 million during the year ended December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D.C. State Directed Payment program (“SDP”)</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July, 2024, the Budget Support Act (B24-0784) was approved by the mayor of Washington, D.C. This legislation includes a new Medicaid managed care directed payment program that, if ultimately approved, could become effective for the period of October 1, 2024 through September 30, 2025, with potential subsequent annual programs. Finalization of this program remains contingent upon U.S. Congressional and CMS approval.</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Washington, D.C., Medicaid agency submitted the SDP preprint to CMS in July, 2024 for review and approval. Although we cannot predict if this new SDP program will be ultimately approved, if approved in its current form, we estimate that our aggregate net benefit from this program, for the period of October 1, 2024 through September 30, 2025, will approximate $85 million. Estimated amounts related to this program are subject to change for various reasons including modifications based upon CMS' review of the preprint payment methodology terms, as well as actual Medicaid managed care utilization for hospitals that operate in the District of Columbia, including ours. There can be no assurance that this program will continue for any period after September 30, 2025, or that it will not be modified.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DSH and Nevada SPA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DSH</w:t>
      </w:r>
    </w:p>
    <w:p>
      <w:pPr>
        <w:spacing w:after="0" w:line="121"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Upon meeting certain conditions and serving a disproportionately high share of Texas’ low income patients, our qualifying facilities located in Texas receive additional reimbursement from the state’s DSH fund. The Texas DSH program was renewed for the state’s 2024 DSH fiscal year (covering the period of October 1, 2023 through September 30, 2024).</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$7 million and $13 million recorded during the three-month periods ended June 30, 2024 and 2023, respectively, and approximately $15 million and $23 million recorded during the six-month periods ended June 30, 2024 and 2023, respectively. We estimate that our aggregate net reimbursements earned pursuant to the Texas DSH program will approximate $33 million during 2024.</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Legislation and subsequent federal legislation provides for a significant reduction in Medicaid disproportionate share payments beginning in federal fiscal year 2024 (see above in </w:t>
      </w:r>
      <w:r>
        <w:rPr>
          <w:rFonts w:ascii="Times New Roman" w:cs="Times New Roman" w:eastAsia="Times New Roman" w:hAnsi="Times New Roman"/>
          <w:sz w:val="18"/>
          <w:szCs w:val="18"/>
          <w:i w:val="1"/>
          <w:iCs w:val="1"/>
          <w:color w:val="auto"/>
        </w:rPr>
        <w:t>Sources of Revenues and Health Care Reform-Medicaid</w:t>
      </w:r>
      <w:r>
        <w:rPr>
          <w:rFonts w:ascii="Times New Roman" w:cs="Times New Roman" w:eastAsia="Times New Roman" w:hAnsi="Times New Roman"/>
          <w:sz w:val="18"/>
          <w:szCs w:val="18"/>
          <w:color w:val="auto"/>
        </w:rPr>
        <w:t xml:space="preserve">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beginning in fiscal year 2024 (as amended by the CARES Act and the CAA), annual Medicaid DSH payments in Texas could be reduced by approximately 41% from current DSH payment levels. A series of federal continuing resolutions were passed by the federal government which provided for ongoing federal funding.</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certain previous DSH and UC adverse federal court decisions, including the </w:t>
      </w:r>
      <w:r>
        <w:rPr>
          <w:rFonts w:ascii="Times New Roman" w:cs="Times New Roman" w:eastAsia="Times New Roman" w:hAnsi="Times New Roman"/>
          <w:sz w:val="18"/>
          <w:szCs w:val="18"/>
          <w:i w:val="1"/>
          <w:iCs w:val="1"/>
          <w:color w:val="auto"/>
        </w:rPr>
        <w:t>Children’s Hospital Association of Texas v. Azar,</w:t>
      </w:r>
      <w:r>
        <w:rPr>
          <w:rFonts w:ascii="Times New Roman" w:cs="Times New Roman" w:eastAsia="Times New Roman" w:hAnsi="Times New Roman"/>
          <w:sz w:val="18"/>
          <w:szCs w:val="18"/>
          <w:color w:val="auto"/>
        </w:rPr>
        <w:t xml:space="preserve"> we continue to maintain reserves in the financial statements for cumulative Medicaid DSH and UC reimbursements related to our behavioral health hospitals located in Texas that amounted to $32 million as of June 30, 2024 and $31 million as of December 31,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State Plan Amendment ("SPA")</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CMS initially approved an SPA in Nevada in August, 2014 and this SPA has been approved for additional state fiscal years, including the 2023 fiscal year covering the period of July 1, 2022 through June 30, 2023. CMS approval for the 2024 fiscal year, which is still pending, is expected to occur.</w:t>
      </w:r>
    </w:p>
    <w:p>
      <w:pPr>
        <w:spacing w:after="0" w:line="5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 million and $10 million received during the three-month periods ended June 30, 2024 and 2023, respectively, and approximately $9 million and $17 million received during the six-month periods ended June 30, 2024 and 2023, respectively. We estimate that our net reimbursements pursuant to this program will approximate $19 million during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Factors Related To State Supplemental Medicaid Payments: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7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receive Medicaid SDP payments from MCOs authorized by CMS under 42 CFR § 438.6(c).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 438.4 and non-compliance could result in a reduction to SDP payment levels.</w:t>
      </w:r>
    </w:p>
    <w:p>
      <w:pPr>
        <w:spacing w:after="0" w:line="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0" w:name="page51"/>
    <w:bookmarkEnd w:id="50"/>
    <w:p>
      <w:pPr>
        <w:ind w:right="100"/>
        <w:spacing w:after="0" w:line="260" w:lineRule="auto"/>
        <w:rPr>
          <w:sz w:val="20"/>
          <w:szCs w:val="20"/>
          <w:color w:val="auto"/>
        </w:rPr>
      </w:pPr>
      <w:r>
        <w:rPr>
          <w:rFonts w:ascii="Times New Roman" w:cs="Times New Roman" w:eastAsia="Times New Roman" w:hAnsi="Times New Roman"/>
          <w:sz w:val="18"/>
          <w:szCs w:val="18"/>
          <w:color w:val="auto"/>
        </w:rPr>
        <w:t>applicable Provider Tax regulations and related federal statute. If CMS determines Provider Taxes used by a state Medicaid program to finance the non-federal share of a SDP (or other Medicaid supplemental payment programs) are not in compliance with the applicable Provider Tax regulations and related federal statute, Company SDP payments (and other Medicaid supplemental payments) could be subject to recoupment by the respective state agency when non-compliance is determined by CMS to exist.</w:t>
      </w:r>
    </w:p>
    <w:p>
      <w:pPr>
        <w:spacing w:after="0" w:line="7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believe that the SDP (and other state supplemental payment) programs are designed by each state to be in full compliance with the applicable federal regulations and federal statutes. However, we are unable to provide assurance CMS will determine on a retroactive basis that a state’s SDP (or other Medicaid supplemental payment program) design and Medicaid financing structures is in full compliance with the applicable federal regulations and federal statute(s).</w:t>
      </w:r>
    </w:p>
    <w:p>
      <w:pPr>
        <w:spacing w:after="0" w:line="7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On April 22, 2024, CMS issued Medicaid and Children’s Health Insurance Program ("CHIP") Managed Care Access, Finance, and Quality Final Rule (“Managed Care Rule”). CMS intends for the Managed Care Rule to:</w:t>
      </w:r>
    </w:p>
    <w:p>
      <w:pPr>
        <w:spacing w:after="0" w:line="5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standard for timely access to care and states’ monitoring and enforcement efforts;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quality and fiscal and program integrity standards for state directed payments (“SDPs”);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scope of in lieu of services and settings (“ILOSs”) to better address health-related social needs (HRSNs);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specify medical loss ratio (“MLR”) requirements,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quality rating system (“QRS”) for Medicaid and CHIP managed care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SDP provisions included in the Managed Care Rule include but are not limited to:</w:t>
      </w:r>
    </w:p>
    <w:p>
      <w:pPr>
        <w:spacing w:after="0" w:line="117" w:lineRule="exact"/>
        <w:rPr>
          <w:sz w:val="20"/>
          <w:szCs w:val="20"/>
          <w:color w:val="auto"/>
        </w:rPr>
      </w:pPr>
    </w:p>
    <w:p>
      <w:pPr>
        <w:ind w:left="1020" w:right="10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provider payment levels for state directed payments for inpatient and outpatient hospital services, nursing facility services, and the professional services at an academic medical center not exceed the average commercial rate.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the use of post-payment reconciliation processes for state directed payments that are based on fee schedules.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explicit in regulation the existing requirement that state directed payments must comply with all federal laws concerning funding sources of the non-federal share.</w:t>
      </w:r>
    </w:p>
    <w:p>
      <w:pPr>
        <w:spacing w:after="0" w:line="54" w:lineRule="exact"/>
        <w:rPr>
          <w:rFonts w:ascii="Times New Roman" w:cs="Times New Roman" w:eastAsia="Times New Roman" w:hAnsi="Times New Roman"/>
          <w:sz w:val="18"/>
          <w:szCs w:val="18"/>
          <w:color w:val="auto"/>
        </w:rPr>
      </w:pPr>
    </w:p>
    <w:p>
      <w:pPr>
        <w:ind w:left="1020" w:right="260" w:hanging="504"/>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states ensure each provider receiving a state directed payment attest that it does not participate in any arrangement that holds taxpayers harmless for the cost of a tax. CMS concurrently released an informational bulletin regarding CMS’ exercise of enforcement discretion until calendar year 2028 for existing health-care related tax programs with certain hold-harmless arrangements involving the redistribution of Medicaid payments.</w:t>
      </w:r>
    </w:p>
    <w:p>
      <w:pPr>
        <w:spacing w:after="0" w:line="74"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8"/>
          <w:szCs w:val="18"/>
          <w:color w:val="auto"/>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spacing w:after="0" w:line="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Future changes to the terms and conditions of the various programs outlined above could materially reduce our net benefit derived from the programs which could have a material adverse impact on our future results of operations. In addition, Provider Taxes are governed by both federal and state laws and are subject to future legislative changes that, if reduced from current rates in several states, could have a material adverse impact on our future results of operations.</w:t>
      </w:r>
    </w:p>
    <w:p>
      <w:pPr>
        <w:spacing w:after="0" w:line="7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 6.2% increase to the Medicaid Federal Matching Assistance Percentage (“FMAP”) was included in the Families First Coronavirus Response Act. The CAA of 2023 provided for the transitional reduction of the 6.2% enhanced FMAP during 2023 to 5.0% during the second quarter, 2.5% during the third quarter and 1.5% during the fourth quarter of 2023. The impact of the enhanced FMAP Medicaid supplemental and DSH payments are reflected in our financial results for the three and six-month periods ended June 30, 2024 and 2023.</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HITECH Act: </w:t>
      </w:r>
      <w:r>
        <w:rPr>
          <w:rFonts w:ascii="Times New Roman" w:cs="Times New Roman" w:eastAsia="Times New Roman" w:hAnsi="Times New Roman"/>
          <w:sz w:val="18"/>
          <w:szCs w:val="18"/>
          <w:color w:val="auto"/>
        </w:rPr>
        <w:t>In July 2010, HHS published final regulations implementing the health information technology provisions of the American Recovery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spacing w:after="0" w:line="281" w:lineRule="auto"/>
        <w:rPr>
          <w:sz w:val="20"/>
          <w:szCs w:val="20"/>
          <w:color w:val="auto"/>
        </w:rPr>
      </w:pPr>
      <w:r>
        <w:rPr>
          <w:rFonts w:ascii="Times New Roman" w:cs="Times New Roman" w:eastAsia="Times New Roman" w:hAnsi="Times New Roman"/>
          <w:sz w:val="18"/>
          <w:szCs w:val="18"/>
          <w:color w:val="auto"/>
        </w:rPr>
        <w:t>subsequent fiscal year. Failure of our acute care hospitals to continue to meet the applicable meaningful use criteria would have an adverse effect on our future net revenues and results of operations.</w:t>
      </w:r>
    </w:p>
    <w:p>
      <w:pPr>
        <w:spacing w:after="0" w:line="5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6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Managed Care: </w:t>
      </w:r>
      <w:r>
        <w:rPr>
          <w:rFonts w:ascii="Times New Roman" w:cs="Times New Roman" w:eastAsia="Times New Roman" w:hAnsi="Times New Roman"/>
          <w:sz w:val="18"/>
          <w:szCs w:val="18"/>
          <w:color w:val="auto"/>
        </w:rPr>
        <w:t>A significant portion of our net patient revenues are generated from managed care companies, which include health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spacing w:after="0" w:line="7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Insurance: </w:t>
      </w:r>
      <w:r>
        <w:rPr>
          <w:rFonts w:ascii="Times New Roman" w:cs="Times New Roman" w:eastAsia="Times New Roman" w:hAnsi="Times New Roman"/>
          <w:sz w:val="18"/>
          <w:szCs w:val="18"/>
          <w:color w:val="auto"/>
        </w:rPr>
        <w:t>Our hospitals also provide services to individuals covered by private health care insurance. Private insurance carriers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Surprise Billing Interim Final Rule: </w:t>
      </w:r>
      <w:r>
        <w:rPr>
          <w:rFonts w:ascii="Times New Roman" w:cs="Times New Roman" w:eastAsia="Times New Roman" w:hAnsi="Times New Roman"/>
          <w:sz w:val="18"/>
          <w:szCs w:val="18"/>
          <w:color w:val="auto"/>
        </w:rPr>
        <w:t>On September 30, 2021, the Department of Labor, and the Department of the Treasury, along with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spacing w:after="0" w:line="8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Our hospitals provide services to individuals that do not have any form of health care coverage. Such patients are evaluated,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6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Health Care Reform: </w:t>
      </w:r>
      <w:r>
        <w:rPr>
          <w:rFonts w:ascii="Times New Roman" w:cs="Times New Roman" w:eastAsia="Times New Roman" w:hAnsi="Times New Roman"/>
          <w:sz w:val="18"/>
          <w:szCs w:val="18"/>
          <w:color w:val="auto"/>
        </w:rPr>
        <w:t>Listed below are the Medicare, Medicaid and other health care industry changes which have been, or are scheduled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implemented as a result of the Legislation.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Medicaid Federal DSH Allotment</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the implementation has been delayed several times, the Legislation (as amended by subsequent federal legislation) requires annual aggregate reductions in federal Medicaid DSH allotment from FFY 2025 through FFY 2027. Commencing in federal fiscal year 2025, and continuing through 2027, DSH payments are scheduled to be reduced by $8 billion annually. H.R. 2872, enacted into law on January 17, 2024 delayed the aforementioned Medicaid DSH cuts through March 8, 2024.  The Consolidated Appropriations Act, 2024 was enacted into law on March 9, 2024 and delayed the $8 billion DSH cuts for FFY 2024. The $8 billion DSH reduction is now scheduled to be implemented January 1, 2025 through September 30, 2025, in effect offsetting the FFY 2025 $8 billion reduction over nine months rather than twelve months if not delayed further by Congressional action.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Value-Based Purchasing: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 In FFY 2024, as part of the FFY 2024 IPPS final rule, CMS removed the budget neutral policy that was in place in FFY 2022 and FFY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 Acquired Conditions: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suppressed all six measures in the HAC Reduction Program for the FY 2023 program year and eliminate the HAC reduction program’s one percent payment penalty. In FFY 2024, as part of the FFY 2024 IPPS final rule, CMS eliminated the suppression of the applicable HAC measures and as a result reinstated the HAC reduction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Readmission Reduction Program:</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reduction. As part of the FFY 2023 IPPS final rule discussed above, CMS modified all of the condition-specific readmission measures to include an adjustment for patient history of COVID-19 for FFY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Accountable Care Organizations:</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is also developing and implementing more advanced ACO payment models that require ACOs to assume greater risk for attributed beneficiaries. On December 21, 2018, CMS published a final rule that, in general, requires ACO participants to take on additional risk associated with participation in the program. On April 30, 2020, CMS issued an interim final rule with comment in response to the COVID-19 national emergency permitting ACOs with current agreement periods expiring on December 31, 2020 the option to extend their existing agreement period by one year, and permitting certain ACOs to retain their participation level through 2021. It remains unclear to what extent providers will pursue federal ACO status or whether the required investment would be warranted by increased payment.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Infectious Disease Outbreaks, Pandemics, or Other Public Health Emergencies or Crisis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and financial results may be harmed by an international, national or localized outbreak of a highly contagious or epidemic disease, including but not limited to, COVID-19 or similar corona viruses, Ebola or Zika, may put stress on the capacity of all or a part of our health care facilities, could result in an abnormally high demand for health care services, require that resources be diverted from one part of operations to another part, or disrupt the supply chain for equipment and supplies necessary for operations. In addition, unaffected individuals may decide to defer elective procedures or otherwise avoid medical treatment, resulting in reduced patient volumes and operating revenues.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3" w:name="page54"/>
    <w:bookmarkEnd w:id="53"/>
    <w:p>
      <w:pPr>
        <w:ind w:right="180"/>
        <w:spacing w:after="0" w:line="272" w:lineRule="auto"/>
        <w:rPr>
          <w:sz w:val="20"/>
          <w:szCs w:val="20"/>
          <w:color w:val="auto"/>
        </w:rPr>
      </w:pPr>
      <w:r>
        <w:rPr>
          <w:rFonts w:ascii="Times New Roman" w:cs="Times New Roman" w:eastAsia="Times New Roman" w:hAnsi="Times New Roman"/>
          <w:sz w:val="17"/>
          <w:szCs w:val="17"/>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spacing w:after="0" w:line="6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As reflected on the schedule below, interest expense was $49 million during each of the three-month periods ended June 30, 2024 and 2023, and $102 million and $100 million during the six-month periods ended June 30, 2024 and 2023, respectively (amounts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&amp; demand notes (a.)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shd w:val="clear" w:color="auto" w:fill="CFF0FC"/>
          </w:tcPr>
          <w:p>
            <w:pPr>
              <w:spacing w:after="0"/>
              <w:rPr>
                <w:sz w:val="20"/>
                <w:szCs w:val="20"/>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A term loan facility (a.)</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74,746</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$800 million, 2.65% Senior Notes due 2030 (b.)</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million, 1.65% Senior Notes due 2026 (c.)</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20"/>
                <w:szCs w:val="20"/>
                <w:color w:val="auto"/>
              </w:rPr>
            </w:pPr>
          </w:p>
        </w:tc>
      </w:tr>
      <w:tr>
        <w:trPr>
          <w:trHeight w:val="247"/>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$500 million, 2.65% Senior Notes due 2032 (d.)</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4"/>
        </w:trPr>
        <w:tc>
          <w:tcPr>
            <w:tcW w:w="58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Subtotal-revolving credit, demand notes, Senior Notes,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facilities and accounts receivable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securitization program</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107,350</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combined interest expense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(8,999 )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(6,612 )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(17,577 )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(10,621 )</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(222 )</w:t>
            </w:r>
          </w:p>
        </w:tc>
        <w:tc>
          <w:tcPr>
            <w:tcW w:w="1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(668 )</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(352 )</w:t>
            </w:r>
          </w:p>
        </w:tc>
      </w:tr>
      <w:tr>
        <w:trPr>
          <w:trHeight w:val="27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-1240790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-1240790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-1240790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As of June 30, 2024, our credit agreement dated November 15, 2010, as amended, provided for the following:</w:t>
      </w:r>
    </w:p>
    <w:p>
      <w:pPr>
        <w:spacing w:after="0" w:line="63" w:lineRule="exact"/>
        <w:rPr>
          <w:sz w:val="20"/>
          <w:szCs w:val="20"/>
          <w:color w:val="auto"/>
        </w:rPr>
      </w:pPr>
    </w:p>
    <w:p>
      <w:pPr>
        <w:ind w:left="1540" w:right="140" w:hanging="514"/>
        <w:spacing w:after="0" w:line="265"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that is scheduled to mature in August, 2026 (which, as of June 30, 2024, had $1.02 billion of aggregate available borrowing capacity net of $176.5 million of outstanding borrowings and $3 million of letters of credit), and;</w:t>
      </w:r>
    </w:p>
    <w:p>
      <w:pPr>
        <w:spacing w:after="0" w:line="15"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$2.20 billion of outstanding borrowings as June 30, 2024 (including the $700 million increase that occurred in June, 2022).</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In September, 2020, we completed the offering of $800 million aggregate principal amount of 2.65% Senior Notes due in 2030.</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In August, 2021, we completed the offering of $700 million aggregate principal amount of 1.65% Senior Notes due in 2026.</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In August, 2021, we completed the offering of $500 million aggregate principal amount of 2.65% Senior Notes due in 2032.</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Interest expense was relatively unchanged in the aggregate during the three-month period ended June 30, 2024, as compared to the three-month period ended June 30, 2023. The changes in the various components of interest expense were as follows: (i) a net $1 million increase in aggregate interest expense on our revolving credit, demand notes, senior notes, and term loan facilities, resulting from an increase in our aggregate average cost of borrowings pursuant to these facilities (4.84% during the second quarter of 2024 as compared to 4.72% during the comparable quarter of 2023), offset by a slight decrease in the aggregate average outstanding borrowings pursuant to these facilities ($4.51 billion during the second quarter of 2024 as compared to $4.52 billion during the second quarter of 2023), and; (ii) a net $1 million decrease in other combined interest expenses, due primarily to a $2 million increase in capitalized interest on major projects and a $1 million increase in other combined interest expense. The average effective interest rates, including amortization of deferred financing costs and original issue discount, on borrowings outstanding under our revolving credit, demand notes, senior notes and term loan A facility, which amounted to approximately $4.51 billion and $4.52 billion during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second quarters of 2024 and 2023, respectively, were 5.0% and 4.8% during the three-month periods ended June 30, 2024 and 2023, respectively.</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Interest expense increased approximately $2 million during the six-month period ended June 30, 2024, as compared to the six-month period ended June 30, 2023. The increase was primarily due to: (i) a net $6 million increase in aggregate interest expense on our revolving credit, demand notes, senior notes, and term loan facilities, resulting from an increase in our aggregate average cost of borrowings pursuant to these facilities (4.90% during the first six months of 2024 as compared to 4.6% during the comparable period of 2023), offset by a slight decrease in the aggregate average outstanding borrowings pursuant to these facilities ($4.58 billion during the first six months of 2024 as compared to $4.59 billion during the first six months of 2023), partially offset by; (ii) a net $4 million decrease in other combined interest expenses, due primarily to a $7 million increase in capitalized interest on major projects offset by a $3 million increase in other combined interest expense. The average effective interest rates, including amortization of deferred financing costs and original issue discount, on borrowings outstanding under our revolving credit, demand notes, senior notes and term loan A facility, which amounted to approximately $4.58 billion and $4.59 billion during the six-month periods ended June 30, 2024 and 2023, respectively, were 5.0% and 4.8% during the six-month periods ended June 30, 2024 and 2023,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and Effective Tax Rates: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effective tax rates, as calculated by dividing the provision for income taxes by income before income taxes, were as follows for the three and six-month periods ended June 30, 2024 and 2023 (dollar amounts in thousands):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8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8"/>
        </w:trPr>
        <w:tc>
          <w:tcPr>
            <w:tcW w:w="4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right"/>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7"/>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77"/>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gridSpan w:val="2"/>
          </w:tcPr>
          <w:p>
            <w:pPr>
              <w:spacing w:after="0"/>
              <w:rPr>
                <w:sz w:val="13"/>
                <w:szCs w:val="13"/>
                <w:color w:val="auto"/>
              </w:rPr>
            </w:pPr>
          </w:p>
        </w:tc>
      </w:tr>
      <w:tr>
        <w:trPr>
          <w:trHeight w:val="187"/>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157,940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224,695</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718,092</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c>
          <w:tcPr>
            <w:tcW w:w="2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24.7 %</w:t>
            </w: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22.0 %</w:t>
            </w:r>
          </w:p>
        </w:tc>
        <w:tc>
          <w:tcPr>
            <w:tcW w:w="2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-179070</wp:posOffset>
            </wp:positionV>
            <wp:extent cx="641350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13500" cy="1797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$32 million during the second quarter of 2024, as compared to the comparable quarter of 2023, due primarily to:</w:t>
      </w:r>
    </w:p>
    <w:p>
      <w:pPr>
        <w:spacing w:after="0" w:line="27" w:lineRule="exact"/>
        <w:rPr>
          <w:sz w:val="20"/>
          <w:szCs w:val="20"/>
          <w:color w:val="auto"/>
        </w:rPr>
      </w:pPr>
    </w:p>
    <w:p>
      <w:pPr>
        <w:ind w:right="300" w:firstLine="8"/>
        <w:spacing w:after="0" w:line="252"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expense recorded in connection with a $150 million increase in pre-tax income (consisting of $157 million increase in income before income taxes and a $7 million unfavorable change in the income/loss attributable to noncontrolling interests), partially offset by; (ii) a decrease of $4 million resulting from the change in the income tax benefit/expense recorded during the second quarters of 2024 and 2023 in connection with employee share-based payments. Excluding the impact of the income tax benefit/expense recorded during each quarter in connection with employee share-based payments, our effective tax rates were 23.6% and 23.8% during the second quarter of 2024 and 2023,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$51 million during the first six months of 2024, as compared to the comparable period of 2023, due primarily to:</w:t>
      </w:r>
    </w:p>
    <w:p>
      <w:pPr>
        <w:spacing w:after="0" w:line="27" w:lineRule="exact"/>
        <w:rPr>
          <w:sz w:val="20"/>
          <w:szCs w:val="20"/>
          <w:color w:val="auto"/>
        </w:rPr>
      </w:pPr>
    </w:p>
    <w:p>
      <w:pPr>
        <w:ind w:right="300" w:firstLine="8"/>
        <w:spacing w:after="0" w:line="252"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expense recorded in connection with a $268 million increase in pre-tax income (consisting of $279 million increase in income before income taxes and a $12 million unfavorable change in the income/loss attributable to noncontrolling interests), partially offset by; (ii) a decrease of $14 million resulting from the change in the income tax benefit/expense recorded during the first six months of 2024 and 2023 in connection with employee share-based payments. Excluding the impact of the income tax benefit/expense recorded during each period in connection with employee share-based payments, our effective tax rates were 23.9% and 23.8% during the first six months of 2024 and 2023, respectively.</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Due to recent guidance and enacted laws surrounding the global 15% minimum tax rate that will be effective after 2024 from the Organization for Economic Co-operation and Development ("OECD") as well as jurisdictions that we operate in, we anticipate adverse effects to our provision for income taxes as well as cash taxes. We do not expect these adverse effects to be material and will continue to monitor changes in tax policies and laws issued by the OECD and jurisdictions that we operate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$1.076 billion during the six-month period ended June 30, 2024 and $654 million during the first six months of 2023. The net increase of $422 million was attributable to the following:</w:t>
      </w:r>
    </w:p>
    <w:p>
      <w:pPr>
        <w:spacing w:after="0" w:line="55" w:lineRule="exact"/>
        <w:rPr>
          <w:sz w:val="20"/>
          <w:szCs w:val="20"/>
          <w:color w:val="auto"/>
        </w:rPr>
      </w:pPr>
    </w:p>
    <w:p>
      <w:pPr>
        <w:ind w:left="760" w:right="44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$237 million resulting from an increase in net income plus/minus depreciation and amortization expense, stock-based compensation expense and gains on sales on sales of assets and businesses;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$148 million in accounts receivable;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$60 million in accrued and deferred income taxes;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$36 million in other assets and deferred charges,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other combined net favorable changes.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Days sales outstanding (“DSO”): </w:t>
      </w:r>
      <w:r>
        <w:rPr>
          <w:rFonts w:ascii="Times New Roman" w:cs="Times New Roman" w:eastAsia="Times New Roman" w:hAnsi="Times New Roman"/>
          <w:sz w:val="18"/>
          <w:szCs w:val="18"/>
          <w:color w:val="auto"/>
        </w:rPr>
        <w:t>Our DSO are calculated by dividing our net revenue by the number of days in the six-month periods. The result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divided into the accounts receivable balance at June 30th of each year to obtain the DSO. Our DSO were 51 days and 54 days at June 30, 2024 and 2023,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2024, we used $437 million of net cash in investing activities as follows:</w:t>
      </w:r>
    </w:p>
    <w:p>
      <w:pPr>
        <w:spacing w:after="0" w:line="117" w:lineRule="exact"/>
        <w:rPr>
          <w:sz w:val="20"/>
          <w:szCs w:val="20"/>
          <w:color w:val="auto"/>
        </w:rPr>
      </w:pPr>
    </w:p>
    <w:p>
      <w:pPr>
        <w:ind w:left="760" w:right="60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 spent on capital expenditures including capital expenditures for equipment, renovations and new projects at various existing facilities;</w:t>
      </w:r>
    </w:p>
    <w:p>
      <w:pPr>
        <w:spacing w:after="0" w:line="54" w:lineRule="exact"/>
        <w:rPr>
          <w:rFonts w:ascii="Times New Roman" w:cs="Times New Roman" w:eastAsia="Times New Roman" w:hAnsi="Times New Roman"/>
          <w:sz w:val="18"/>
          <w:szCs w:val="18"/>
          <w:color w:val="auto"/>
        </w:rPr>
      </w:pPr>
    </w:p>
    <w:p>
      <w:pPr>
        <w:ind w:left="760" w:right="7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received in connection with net cash inflows from forward exchange contracts that hedge our investment in the U.K. against movements in exchange rates,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received from the sales of assets and businesses;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2023, we used $348 million of net cash in investing activities as follows:</w:t>
      </w:r>
    </w:p>
    <w:p>
      <w:pPr>
        <w:spacing w:after="0" w:line="117" w:lineRule="exact"/>
        <w:rPr>
          <w:sz w:val="20"/>
          <w:szCs w:val="20"/>
          <w:color w:val="auto"/>
        </w:rPr>
      </w:pPr>
    </w:p>
    <w:p>
      <w:pPr>
        <w:ind w:left="760" w:right="60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 million spent on capital expenditures including capital expenditures for equipment, renovations and new projects at various existing facilities;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paid in connection with net cash outflows from forward exchange contracts that hedge our investment in the U.K. against movements in exchange rates;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received from the sales of assets and businesses,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spent on the acquisition of businesses and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2024, we used $628 million of net cash in financing activities as follows:</w:t>
      </w:r>
    </w:p>
    <w:p>
      <w:pPr>
        <w:spacing w:after="0" w:line="117" w:lineRule="exact"/>
        <w:rPr>
          <w:sz w:val="20"/>
          <w:szCs w:val="20"/>
          <w:color w:val="auto"/>
        </w:rPr>
      </w:pPr>
    </w:p>
    <w:p>
      <w:pPr>
        <w:ind w:left="760" w:right="28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$383 million on net repayments of debt as follows: (i) $319 million related to our revolving credit facility; (ii) $60 million related to our tranche A term loan facility, and; (iii) $4 million related to other debt facilities;</w:t>
      </w:r>
    </w:p>
    <w:p>
      <w:pPr>
        <w:spacing w:after="0" w:line="54" w:lineRule="exact"/>
        <w:rPr>
          <w:rFonts w:ascii="Times New Roman" w:cs="Times New Roman" w:eastAsia="Times New Roman" w:hAnsi="Times New Roman"/>
          <w:sz w:val="18"/>
          <w:szCs w:val="18"/>
          <w:color w:val="auto"/>
        </w:rPr>
      </w:pPr>
    </w:p>
    <w:p>
      <w:pPr>
        <w:ind w:left="760" w:right="280" w:hanging="378"/>
        <w:spacing w:after="0" w:line="312"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$238 million to repurchase shares of our Class B Common Stock in connection with: (i) open market purchases pursuant to our stock repurchase program ($195 million), and; (ii) income tax withholding obligations related to stock-based compensation programs ($43 million);</w:t>
      </w:r>
    </w:p>
    <w:p>
      <w:pPr>
        <w:spacing w:after="0" w:line="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$12 million of additional borrowings related to other debt facilities;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$27 million to pay quarterly cash dividends of $.20 per share;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 million from the issuance of shares of our Class B Common Stock pursuant to the terms of employee stock purchase plans;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 million to pay profit distributions related to noncontrolling interests in majority owned businesses,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$5 million from the sale of ownership interests to minority members.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During the first six months of 2023, we used $330 million of net cash in financing activities as follows:</w:t>
      </w:r>
    </w:p>
    <w:p>
      <w:pPr>
        <w:spacing w:after="0" w:line="117" w:lineRule="exact"/>
        <w:rPr>
          <w:sz w:val="20"/>
          <w:szCs w:val="20"/>
          <w:color w:val="auto"/>
        </w:rPr>
      </w:pPr>
    </w:p>
    <w:p>
      <w:pPr>
        <w:ind w:left="760" w:right="260" w:hanging="378"/>
        <w:spacing w:after="0" w:line="312"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$210 million to repurchase shares of our Class B Common Stock in connection with: (i) open market purchases pursuant to our stock repurchase program ($192 million), and; (ii) income tax withholding obligations related to stock-based compensation programs ($18 million);</w:t>
      </w:r>
    </w:p>
    <w:p>
      <w:pPr>
        <w:spacing w:after="0" w:line="31" w:lineRule="exact"/>
        <w:rPr>
          <w:rFonts w:ascii="Times New Roman" w:cs="Times New Roman" w:eastAsia="Times New Roman" w:hAnsi="Times New Roman"/>
          <w:sz w:val="17"/>
          <w:szCs w:val="17"/>
          <w:color w:val="auto"/>
        </w:rPr>
      </w:pPr>
    </w:p>
    <w:p>
      <w:pPr>
        <w:ind w:left="760" w:right="44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$94 million on net repayments of debt as follows: (i) $60 million related to our revolving credit facility; (ii) $30 million related to our tranche A term loan facility, and; (iii) $4 million related to other debt facilities;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$28 million to pay quarterly cash dividends of $.20 per share;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 million to pay profit distributions related to noncontrolling interests in majority owned businesses, and;</w:t>
      </w:r>
    </w:p>
    <w:p>
      <w:pPr>
        <w:spacing w:after="0" w:line="117" w:lineRule="exact"/>
        <w:rPr>
          <w:sz w:val="20"/>
          <w:szCs w:val="20"/>
          <w:color w:val="auto"/>
        </w:rPr>
      </w:pPr>
    </w:p>
    <w:p>
      <w:pPr>
        <w:ind w:right="360" w:firstLine="374"/>
        <w:spacing w:after="0" w:line="375" w:lineRule="auto"/>
        <w:rPr>
          <w:sz w:val="20"/>
          <w:szCs w:val="20"/>
          <w:color w:val="auto"/>
        </w:rPr>
      </w:pPr>
      <w:r>
        <w:rPr>
          <w:rFonts w:ascii="Times New Roman" w:cs="Times New Roman" w:eastAsia="Times New Roman" w:hAnsi="Times New Roman"/>
          <w:sz w:val="18"/>
          <w:szCs w:val="18"/>
          <w:color w:val="auto"/>
        </w:rPr>
        <w:t xml:space="preserve">• generated $7 million from the issuance of shares of our Class B Common Stock pursuant to the terms of employee stock purchase plans. </w:t>
      </w:r>
      <w:r>
        <w:rPr>
          <w:rFonts w:ascii="Times New Roman" w:cs="Times New Roman" w:eastAsia="Times New Roman" w:hAnsi="Times New Roman"/>
          <w:sz w:val="18"/>
          <w:szCs w:val="18"/>
          <w:b w:val="1"/>
          <w:bCs w:val="1"/>
          <w:u w:val="single" w:color="auto"/>
          <w:color w:val="auto"/>
        </w:rPr>
        <w:t>Expected capital expenditures during remainder of 2024</w:t>
      </w:r>
    </w:p>
    <w:p>
      <w:pPr>
        <w:ind w:right="40"/>
        <w:spacing w:after="0" w:line="265" w:lineRule="auto"/>
        <w:rPr>
          <w:sz w:val="20"/>
          <w:szCs w:val="20"/>
          <w:color w:val="auto"/>
        </w:rPr>
      </w:pPr>
      <w:r>
        <w:rPr>
          <w:rFonts w:ascii="Times New Roman" w:cs="Times New Roman" w:eastAsia="Times New Roman" w:hAnsi="Times New Roman"/>
          <w:sz w:val="18"/>
          <w:szCs w:val="18"/>
          <w:color w:val="auto"/>
        </w:rPr>
        <w:t>During the full year of 2024, we expect to spend approximately $850 million to $1 billion on capital expenditures which includes expenditures for capital equipment, construction of new facilities, and renovations and expansions at existing hospitals. During the first six months of 2024 we spent approximately $450 million on capital expenditures and expect to spend approximately $400 million to $550 million during the remainder of 2024.</w:t>
      </w:r>
    </w:p>
    <w:p>
      <w:pPr>
        <w:spacing w:after="0" w:line="69"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believe that our capital expenditure program is adequate to expand, improve and equip our existing hospitals. We expect to finance all capital expenditures and acquisitions with internally generated funds and/or additional funds, as discussed below.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our Credit Agreement provided for the following:</w:t>
      </w:r>
    </w:p>
    <w:p>
      <w:pPr>
        <w:spacing w:after="0" w:line="117" w:lineRule="exact"/>
        <w:rPr>
          <w:sz w:val="20"/>
          <w:szCs w:val="20"/>
          <w:color w:val="auto"/>
        </w:rPr>
      </w:pPr>
    </w:p>
    <w:p>
      <w:pPr>
        <w:ind w:left="1020" w:right="180" w:hanging="504"/>
        <w:spacing w:after="0" w:line="312"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 billion aggregate amount revolving credit facility that is scheduled to mature in August, 2026 (which, as of June 30, 2024, had $1.02 billion of aggregate available borrowing capacity net of $177 million of outstanding borrowings and $3 million of letters of credit), and;</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term loan facility with $2.20 billion of outstanding borrowings as of June 30, 2024.</w:t>
      </w:r>
    </w:p>
    <w:p>
      <w:pPr>
        <w:spacing w:after="0" w:line="1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tranche A term loan facility provides for installment payments of $30.0 million per quarter through June, 2026. The unpaid principal balance at June 30, 2026 is payable on the August 24, 2026 scheduled maturity date of the Credit Agreement.</w:t>
      </w:r>
    </w:p>
    <w:p>
      <w:pPr>
        <w:spacing w:after="0" w:line="5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term SOFR rate plus 1%, in each case, plus an applicable margin based upon our consolidated leverage ratio at the end of each quarter ranging from 0.25% to</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0.625%, or (2) the one, three or six month term SOFR rate plus 0.1% (at our election), plus an applicable margin based upon our consolidated leverage ratio at the end of each quarter ranging from 1.25% to 1.625%. As of June 30, 2024, the applicable margins were 0.375% for ABR-based loans and 1.375%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June 30, 2024 and December 31, 2023.</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As of June 30, 2024, we had combined aggregate principal of $2.0 billion from the following senior secured notes:</w:t>
      </w:r>
    </w:p>
    <w:p>
      <w:pPr>
        <w:spacing w:after="0" w:line="117" w:lineRule="exact"/>
        <w:rPr>
          <w:sz w:val="20"/>
          <w:szCs w:val="20"/>
          <w:color w:val="auto"/>
        </w:rPr>
      </w:pPr>
    </w:p>
    <w:p>
      <w:pPr>
        <w:ind w:left="1020" w:right="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is payable on April 15th and October 15th, until the maturity date of October 15, 2030. Interest on the 2032 Notes is payable on January 15th and July 15th until the maturity date of January 15, 2032.</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remain outstanding and may not be offered or sold in the United States absent registration under the Securities Act or an applicable exemption from registration requirements thereunder.</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Notes are guaranteed (the “Guarantees”) on a senior secured basis by all of our existing and future direct and indirect subsidiaries (the “Subsidiary Guarantors”) that guarantee our Credit Agreement, or other first lien obligations or any junior lien obligations.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 pursuant to which The Notes were issued (the “Indenture”)), and certain other excluded assets). The Company’s obligations with respect to The Notes, the obligations of the Subsidiary Guarantors under the Guarantees, and the performance of all of the Company’s and the Subsidiary Guarantors’ other obligations under the Indenture,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2 to the Condensed Consolidated Financial Statements-Relationship with Universal Health Realty Income Trust and Other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June 30, 2024 and December 31, 2023 reflect financial liabilities, which are included in debt, of approximately $76 million and $77 million, respectively.</w:t>
      </w:r>
    </w:p>
    <w:p>
      <w:pPr>
        <w:spacing w:after="0" w:line="8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At June 30, 2024, the carrying value and fair value of our debt were approximately $4.5 billion and $4.3 billion, respectively. At December 31, 2023, the carrying value and fair value of our debt were approximately $4.9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debt as a percentage of total capitalization was approximately 41% as of June 30, 2024 and 44% as of December 31, 2023.</w:t>
      </w:r>
    </w:p>
    <w:p>
      <w:pPr>
        <w:spacing w:after="0" w:line="11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$1.02 billion of available borrowing capacity as of June 30, 2024, or through refinancing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8" w:name="page59"/>
    <w:bookmarkEnd w:id="58"/>
    <w:p>
      <w:pPr>
        <w:ind w:right="20"/>
        <w:spacing w:after="0" w:line="256" w:lineRule="auto"/>
        <w:rPr>
          <w:sz w:val="20"/>
          <w:szCs w:val="20"/>
          <w:color w:val="auto"/>
        </w:rPr>
      </w:pPr>
      <w:r>
        <w:rPr>
          <w:rFonts w:ascii="Times New Roman" w:cs="Times New Roman" w:eastAsia="Times New Roman" w:hAnsi="Times New Roman"/>
          <w:sz w:val="18"/>
          <w:szCs w:val="18"/>
          <w:color w:val="auto"/>
        </w:rPr>
        <w:t>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combined aggregate principal of $2.0 billion from The Notes:</w:t>
      </w:r>
    </w:p>
    <w:p>
      <w:pPr>
        <w:spacing w:after="0" w:line="117"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the 2026 Notes;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the 2030 Notes,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2032 Notes.</w:t>
      </w:r>
    </w:p>
    <w:p>
      <w:pPr>
        <w:spacing w:after="0" w:line="1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Notes are fully and unconditionally guaranteed pursuant to the Guarantees on a senior secured basis by the Subsidiary Guarantors.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The Notes were issued ), and certain other excluded assets). The Company’s obligations with respect to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8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Notes will be structurally subordinated to all obligations of our existing and future subsidiaries that are not and do not become Subsidiary Guarantors of The Notes. No appraisal of the value of the collateral has been made,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our Credit Agreement contains restrictions on the incurrence of additional indebtedness and our Credit Agreement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holders of The Notes.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may apply to the issuance of The Notes and the incurrence of the Guarantees. Under federal bankruptcy law and comparable provisions of state fraudulent transfer or conveyance laws, which may vary from state to state, The Notes or the Guarantees (or the grant of collateral securing any such obligations) could be voided as a fraudulent transfer or conveyance if we or any of the Subsidiary Guarantors, as applicable, (a) issued The Notes or incurred the Guarantees with the intent of hindering, delaying or defrauding creditors or (b) under certain circumstances received less than reasonably equivalent value or fair consideration in return for either issuing The Notes or incurring the Guarantees.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5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Universal Health Services, Inc. is presented in the table below:</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9" w:name="page60"/>
    <w:bookmarkEnd w:id="59"/>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0"/>
                <w:szCs w:val="20"/>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2,209,097</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2,292,716</w:t>
            </w:r>
          </w:p>
        </w:tc>
        <w:tc>
          <w:tcPr>
            <w:tcW w:w="100" w:type="dxa"/>
            <w:vAlign w:val="bottom"/>
            <w:shd w:val="clear" w:color="auto" w:fill="CFF0FC"/>
          </w:tcPr>
          <w:p>
            <w:pPr>
              <w:spacing w:after="0"/>
              <w:rPr>
                <w:sz w:val="20"/>
                <w:szCs w:val="20"/>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(1)</w:t>
            </w:r>
          </w:p>
        </w:tc>
        <w:tc>
          <w:tcPr>
            <w:tcW w:w="3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9,017,427</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8,876,623</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1,856,253</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1,786,642</w:t>
            </w:r>
          </w:p>
        </w:tc>
        <w:tc>
          <w:tcPr>
            <w:tcW w:w="100" w:type="dxa"/>
            <w:vAlign w:val="bottom"/>
            <w:shd w:val="clear" w:color="auto" w:fill="CFF0FC"/>
          </w:tcPr>
          <w:p>
            <w:pPr>
              <w:spacing w:after="0"/>
              <w:rPr>
                <w:sz w:val="21"/>
                <w:szCs w:val="21"/>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5,331,637</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5,728,371</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non-guarantors</w:t>
            </w:r>
          </w:p>
        </w:tc>
        <w:tc>
          <w:tcPr>
            <w:tcW w:w="3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926,007</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913,481</w:t>
            </w:r>
          </w:p>
        </w:tc>
        <w:tc>
          <w:tcPr>
            <w:tcW w:w="100" w:type="dxa"/>
            <w:vAlign w:val="bottom"/>
            <w:shd w:val="clear" w:color="auto" w:fill="CFF0FC"/>
          </w:tcPr>
          <w:p>
            <w:pPr>
              <w:spacing w:after="0"/>
              <w:rPr>
                <w:sz w:val="21"/>
                <w:szCs w:val="2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(1) Includes goodwill of $3,267 million as of June 30, 2024 and December 31, 2023, respectively.</w:t>
      </w:r>
    </w:p>
    <w:p>
      <w:pPr>
        <w:spacing w:after="0" w:line="12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Universal Health Services, Inc. is presented in the table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6"/>
                <w:szCs w:val="16"/>
                <w:color w:val="auto"/>
              </w:rPr>
            </w:pPr>
          </w:p>
        </w:tc>
        <w:tc>
          <w:tcPr>
            <w:tcW w:w="17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228"/>
        </w:trPr>
        <w:tc>
          <w:tcPr>
            <w:tcW w:w="67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6,240,313</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11,454,260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5,486,518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488,181</w:t>
            </w:r>
          </w:p>
        </w:tc>
        <w:tc>
          <w:tcPr>
            <w:tcW w:w="4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Whose Securities Collateralize the Senior Secured Notes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The Notes, see Exhibit 22.1 to this Report.</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indentures governing The Notes, subject to the terms of the Security Agreement relating to The Notes provide for (among other available remedies) the foreclosure upon and sale of the Collateral (including the pledged stock) and the distribution of the net proceeds of any such sale to the holders of The Notes, the lenders under the Credit Agreement and the holders of any other permitted first priority secured obligations on a pro rata basis, subject to any prior liens on the collateral.</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The Notes may not produce proceeds in an amount sufficient to pay any amounts due on The Notes.</w:t>
      </w:r>
    </w:p>
    <w:p>
      <w:pPr>
        <w:spacing w:after="0" w:line="69"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 security agreement relating to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off-balance sheet arrangements, consisting of standby letters of credit and surety bonds, as of both June 30, 2024 and March 31, 2024.</w:t>
      </w:r>
    </w:p>
    <w:p>
      <w:pPr>
        <w:spacing w:after="0" w:line="11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of June 30, 2024 we were party to certain off balance sheet arrangements consisting of standby letters of credit and surety bonds which totaled $149 million consisting of: (i) $130 million related to our self-insurance programs, and; (ii) $19 million of other debt and public utility guarantees.</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March 31, 2024 we were party to certain off balance sheet arrangements consisting of standby letters of credit and surety bonds which totaled $193 million consisting of: (i) $174 million related to our self-insurance programs, and; (ii) $19 million of other debt and public utility guarantees.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ind w:right="640"/>
        <w:spacing w:after="0" w:line="265" w:lineRule="auto"/>
        <w:rPr>
          <w:sz w:val="20"/>
          <w:szCs w:val="20"/>
          <w:color w:val="auto"/>
        </w:rPr>
      </w:pPr>
      <w:r>
        <w:rPr>
          <w:rFonts w:ascii="Times New Roman" w:cs="Times New Roman" w:eastAsia="Times New Roman" w:hAnsi="Times New Roman"/>
          <w:sz w:val="18"/>
          <w:szCs w:val="18"/>
          <w:color w:val="auto"/>
        </w:rPr>
        <w:t xml:space="preserve">There have been no material changes in the quantitative and qualitative disclosures about market risk during the three months ended June 30, 2024. Reference is made to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in our Annual Report on Form 10-K for the year ended December 31,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2024, under the supervision and with the participation of our management, including our Chief Executive Officer (“CEO”) and Chief Financial Officer (“CFO”), we performed an evaluation of the effectiveness of our disclosure controls and procedures, as defined in Rule 13a-15(e) or Rule 15d-15(e) under the Securities Exchange Act of 1934, as amended (the “1934 Act”).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second quarter of 2024 that have materially affected, or are reasonably likely to materially affect, our internal control over financial reporting.</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to the Condensed Consolidated Financial Statements-Commitments and Contingencies</w:t>
      </w:r>
      <w:r>
        <w:rPr>
          <w:rFonts w:ascii="Times New Roman" w:cs="Times New Roman" w:eastAsia="Times New Roman" w:hAnsi="Times New Roman"/>
          <w:sz w:val="18"/>
          <w:szCs w:val="18"/>
          <w:color w:val="auto"/>
        </w:rPr>
        <w:t xml:space="preserve"> to our condensed consolidated financial statements in Item 1 of Part I of this report for a description of our legal proceedings. Such information is hereby incorporated by reference.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following is an update to the risk factors set forth in our Annual Report on Form 10-K for the fiscal year ended December 31, 2023. Other than the following update, there have been no material changes to the risk factors previously disclosed under the heading “Risk Factors” in our Annual Report on Form 10-K for the fiscal year ended December 31, 2023. You should carefully consider the risk factors contained in our Annual Report on Form 10-K, our Quarterly Reports on Form 10-Q and our other filings made with the Securities and Exchange Commission.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pending legal actions, purported stockholder class actions, governmental investigations, inquiries and regulatory actions.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and our subsidiaries are subject to pending legal actions, governmental investigations, inquiries and regulatory actions and judgments (see </w:t>
      </w:r>
      <w:r>
        <w:rPr>
          <w:rFonts w:ascii="Times New Roman" w:cs="Times New Roman" w:eastAsia="Times New Roman" w:hAnsi="Times New Roman"/>
          <w:sz w:val="18"/>
          <w:szCs w:val="18"/>
          <w:i w:val="1"/>
          <w:iCs w:val="1"/>
          <w:color w:val="auto"/>
        </w:rPr>
        <w:t>Note 6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Statements-Commitments and Contingencies </w:t>
      </w:r>
      <w:r>
        <w:rPr>
          <w:rFonts w:ascii="Times New Roman" w:cs="Times New Roman" w:eastAsia="Times New Roman" w:hAnsi="Times New Roman"/>
          <w:sz w:val="18"/>
          <w:szCs w:val="18"/>
          <w:color w:val="auto"/>
        </w:rPr>
        <w:t>as contained in this Quarterly Report on Form 10-Q). We may become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medical malpractice lawsuits, product liability lawsuits, class action lawsuits, investigations and other legal actions in the ordinary course of business.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Defending ourselves against the allegations in the lawsuits and governmental investigations, inquiries, or similar matters and any related publicity, could potentially entail significant costs and could require significant attention from our management and our reputation could suffer significantly. We are unable to predict the outcome of these matters or to reasonably estimate the amount or range of any such loss; however, these lawsuits and the related publicity and news articles that have been published concerning these matters could have a material adverse effect on our business, financial condition, results of operations and/or cash flows which in turn could cause a decline in our stock price. In an effort to resolve one or more of these matters, we may choose to negotiate a settlement. Amounts we pay to settle any of these matters may be material. All professional and general liability insurance we purchase is subject to policy limitations. We believe that, based on our past experience and actuarial estimates, our insurance coverage is adequate considering the claims arising from the operations of our hospitals. While we continuously monitor our coverage, our ultimate liability for professional and general liability claims could change materially from our current estimates. If such policy limitations should be partially or fully exhausted in the future, or payments of claims exceed our estimates or are not covered by our insurance, it could have a material adverse effect on our operations.</w:t>
      </w:r>
    </w:p>
    <w:p>
      <w:pPr>
        <w:spacing w:after="0" w:line="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example, as discussed elsewhere herein, on March 28, 2024, a jury returned a verdict for compensatory damages of $60 million and punitive damages of $475 million against the Pavilion Behavioral Health System (the “Pavilion”), one of our indirect subsidiaries. The Pavilion has filed post-trial motions, a portion of which were heard on August 1, 2024, with the remainder scheduled to be heard on August 23, 2024. The Pavilion will pursue an appeal as appropriate depending on the trial court’s resolution of post-trial motions. We are uncertain as to the ultimate financial exposure related to the Pavilion matter and we can make no assurances regarding timing or substance of its outcome, or the amount of damages that may be held recoverable after post-judgment proceedings and appeal.</w:t>
      </w:r>
    </w:p>
    <w:p>
      <w:pPr>
        <w:spacing w:after="0" w:line="7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w:t>
      </w:r>
    </w:p>
    <w:p>
      <w:pPr>
        <w:spacing w:after="0" w:line="7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particular, government investigations, as well as qui tam and stockholder lawsuits, may lead to material fines, penalties, damages payments or other sanctions, including exclusion from government healthcare programs. The federal False Claims Act permits private parties to bring qui tam, or whistleblower, lawsuits on behalf of the government against companies alleging that the defendant has defrauded the federal government. These private parties are entitled to share in any amounts recovered by the government, and, as a result, the number of whistleblower lawsuits that have been filed against providers has increased significantly in recent years. Because qui tam lawsuits are filed under seal, we could be named in one or more such lawsuits of which we are not aware.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spacing w:after="0" w:line="63" w:lineRule="exact"/>
        <w:rPr>
          <w:sz w:val="20"/>
          <w:szCs w:val="20"/>
          <w:color w:val="auto"/>
        </w:rPr>
      </w:pPr>
    </w:p>
    <w:p>
      <w:pPr>
        <w:jc w:val="both"/>
        <w:ind w:right="3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financial exposure in connection with litigation relating to the Pavilion Behavioral Health System exhausts all or a significant portion of the remaining commercial insurance coverage available to our subsidiaries related to other occurrences in 2020, or it causes us to have to post a large bond or other collateral during an appeal process, our future results of operations and capital resources could be materially adversely impacted.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2" w:name="page63"/>
    <w:bookmarkEnd w:id="62"/>
    <w:p>
      <w:pPr>
        <w:ind w:right="20"/>
        <w:spacing w:after="0" w:line="252" w:lineRule="auto"/>
        <w:rPr>
          <w:sz w:val="20"/>
          <w:szCs w:val="20"/>
          <w:color w:val="auto"/>
        </w:rPr>
      </w:pPr>
      <w:r>
        <w:rPr>
          <w:rFonts w:ascii="Times New Roman" w:cs="Times New Roman" w:eastAsia="Times New Roman" w:hAnsi="Times New Roman"/>
          <w:sz w:val="18"/>
          <w:szCs w:val="18"/>
          <w:color w:val="auto"/>
        </w:rPr>
        <w:t>As previously reported on Form 8-K as filed on April 1, 2024, the Pavilion Behavioral Health System (the “Pavilion”), an indirect subsidiary of the Company, is a defendant in a lawsuit filed in Champaign County, Illinois, relating to the sexual assault of one minor patient by another minor patient in 2020. The plaintiff asserted claims of negligence and misrepresentation. The Pavilion denied any liability. The case went to trial in March, 2024. On March 28, 2024, a jury returned a verdict for ordinary negligence and awarded compensatory damages of $60 million and punitive damages of $475 million and a related judgment was entered against the Pavilion. Based on a search of verdicts in comparable cases, the magnitude of this verdict was unexpected and is unprecedented for a single-plaintiff injury case of this type in Champaign County, Illinois. The Pavilion has filed post-trial motions, a portion of which were heard on August 1, 2024, with the remainder scheduled to be heard on August 23, 2024. The Pavilion will pursue an appeal as appropriate depending on the trial court’s resolution of post-trial motions. We are uncertain as to the ultimate financial exposure related to the Pavilion matter and we can make no assurances regarding its outcome, or the amount of damages that may be held recoverable after post-judgment proceedings and appeal. While the Pavilion has professional liability insurance to cover a portion of these amounts, the resolution of this matter may have a material adverse effect on the Company. As of June 30, 2024, without reduction for any potential amounts related to the above-mentioned Pavilion matter, the Company and its subsidiaries have aggregate insurance coverage of approximately $221 million remaining under commercial policies for matters applicable to the 2020 policy year (in excess of the applicable self-insured retention amounts of $10 million per occurrence for professional liability claims and $3 million per occurrence for general liability claims). In the event the resolution of the Pavilion matter exhausts all or a significant portion of the remaining commercial insurance coverage available to the Company and its subsidiaries for claims that occurred in 2020, or it causes us to have to post a large bond or other collateral during an appeal process, our future results of operations and capital resources could be materially adversely impacted.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2023, we had an aggregate available repurchase authorization of $422.9 million pursuant to our stock repurchase program. Pursuant to this program, shares of our Class B Common Stock may be repurchased, from time to time as conditions allow, on the open market or in negotiated private transactions. There is no expiration date for our stock repurchase program.</w:t>
      </w:r>
    </w:p>
    <w:p>
      <w:pPr>
        <w:spacing w:after="0" w:line="69" w:lineRule="exact"/>
        <w:rPr>
          <w:sz w:val="20"/>
          <w:szCs w:val="20"/>
          <w:color w:val="auto"/>
        </w:rPr>
      </w:pPr>
    </w:p>
    <w:p>
      <w:pPr>
        <w:jc w:val="both"/>
        <w:ind w:right="180"/>
        <w:spacing w:after="0" w:line="288" w:lineRule="auto"/>
        <w:rPr>
          <w:sz w:val="20"/>
          <w:szCs w:val="20"/>
          <w:color w:val="auto"/>
        </w:rPr>
      </w:pPr>
      <w:r>
        <w:rPr>
          <w:rFonts w:ascii="Times New Roman" w:cs="Times New Roman" w:eastAsia="Times New Roman" w:hAnsi="Times New Roman"/>
          <w:sz w:val="17"/>
          <w:szCs w:val="17"/>
          <w:color w:val="auto"/>
        </w:rPr>
        <w:t>As reflected below, during the three-month period ended June 30, 2024, we have repurchased 373,249 shares at an aggregate cost of approximately $70.0 million (approximately $187.43 per share) pursuant to the terms of our stock repurchase program. In addition, during the three-month period ended June 30, 2024, 39,843 shares were repurchased in connection with income tax withholding obligations resulting from stock-based compensation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of April 1, 2024 through June 30, 2024, we repurchased the following shares: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4"/>
              </w:rPr>
              <w:t>purchase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price paid for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dollars that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3"/>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 shares</w:t>
            </w:r>
          </w:p>
        </w:tc>
        <w:tc>
          <w:tcPr>
            <w:tcW w:w="200" w:type="dxa"/>
            <w:vAlign w:val="bottom"/>
          </w:tcPr>
          <w:p>
            <w:pPr>
              <w:spacing w:after="0"/>
              <w:rPr>
                <w:sz w:val="11"/>
                <w:szCs w:val="11"/>
                <w:color w:val="auto"/>
              </w:rPr>
            </w:pPr>
          </w:p>
        </w:tc>
        <w:tc>
          <w:tcPr>
            <w:tcW w:w="8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purchased as</w:t>
            </w:r>
          </w:p>
        </w:tc>
        <w:tc>
          <w:tcPr>
            <w:tcW w:w="2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Dollars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part of</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that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Authorized</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 part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For</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forfeited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publicly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announced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Repurchase</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restricted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announced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220" w:type="dxa"/>
            <w:vAlign w:val="bottom"/>
          </w:tcPr>
          <w:p>
            <w:pPr>
              <w:spacing w:after="0"/>
              <w:rPr>
                <w:sz w:val="11"/>
                <w:szCs w:val="11"/>
                <w:color w:val="auto"/>
              </w:rPr>
            </w:pPr>
          </w:p>
        </w:tc>
        <w:tc>
          <w:tcPr>
            <w:tcW w:w="10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cancelled</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3"/>
              </w:rPr>
              <w:t>program</w:t>
            </w:r>
          </w:p>
        </w:tc>
        <w:tc>
          <w:tcPr>
            <w:tcW w:w="20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7"/>
              </w:rPr>
              <w: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7,536</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297,787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25,205</w:t>
            </w:r>
          </w:p>
        </w:tc>
        <w:tc>
          <w:tcPr>
            <w:tcW w:w="240" w:type="dxa"/>
            <w:vAlign w:val="bottom"/>
          </w:tcPr>
          <w:p>
            <w:pPr>
              <w:spacing w:after="0"/>
              <w:rPr>
                <w:sz w:val="15"/>
                <w:szCs w:val="15"/>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June, 2024</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380,351</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373,249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187.43</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69,956</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227,831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April through June, 2024</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413,092</w:t>
            </w:r>
          </w:p>
        </w:tc>
        <w:tc>
          <w:tcPr>
            <w:tcW w:w="240" w:type="dxa"/>
            <w:vAlign w:val="bottom"/>
          </w:tcPr>
          <w:p>
            <w:pPr>
              <w:spacing w:after="0"/>
              <w:rPr>
                <w:sz w:val="14"/>
                <w:szCs w:val="14"/>
                <w:color w:val="auto"/>
              </w:rPr>
            </w:pPr>
          </w:p>
        </w:tc>
        <w:tc>
          <w:tcPr>
            <w:tcW w:w="820" w:type="dxa"/>
            <w:vAlign w:val="bottom"/>
          </w:tcPr>
          <w:p>
            <w:pPr>
              <w:ind w:left="66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373,249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187.43</w:t>
            </w:r>
          </w:p>
        </w:tc>
        <w:tc>
          <w:tcPr>
            <w:tcW w:w="30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69,956</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-144780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-144780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-144780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-144780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-144780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-144780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On July 24, 2024, our Board of Directors authorized a $1.0 billion increase to our stock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During the quarter ended June 30, 2024, we declared and paid dividends of $.20 per share. Dividend equivalents are accrued on unvested restricted stock units and will be paid upon vesting of the restricted stock unit.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ind w:right="760" w:firstLine="8"/>
        <w:spacing w:after="0" w:line="281" w:lineRule="auto"/>
        <w:tabs>
          <w:tab w:leader="none" w:pos="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quarter ended June 30, 2024,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Universal Health Services, Inc. Amended and Restated 2020 Omnibus Stock and Incentive Plan, as amended by the Amendment thereto,</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900" w:type="dxa"/>
            <w:vAlign w:val="bottom"/>
            <w:gridSpan w:val="14"/>
          </w:tcPr>
          <w:p>
            <w:pPr>
              <w:spacing w:after="0" w:line="195"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previously filed as Exhibit A to the Company’s Proxy Statement filed on April 4, 2024, is incorporated herein by reference.</w:t>
              </w:r>
            </w:hyperlink>
          </w:p>
        </w:tc>
      </w:tr>
      <w:tr>
        <w:trPr>
          <w:trHeight w:val="20"/>
        </w:trPr>
        <w:tc>
          <w:tcPr>
            <w:tcW w:w="1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Universal Health Services, Inc. Amended and Restated Employee Stock Purchase Plan, previously filed as Exhibit B to the Company’s</w:t>
              </w:r>
            </w:hyperlink>
          </w:p>
        </w:tc>
        <w:tc>
          <w:tcPr>
            <w:tcW w:w="1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4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Proxy Statement filed on April 4, 2024, is incorporated herein by reference.</w:t>
              </w:r>
            </w:hyperlink>
          </w:p>
        </w:tc>
        <w:tc>
          <w:tcPr>
            <w:tcW w:w="20" w:type="dxa"/>
            <w:vAlign w:val="bottom"/>
            <w:tcBorders>
              <w:bottom w:val="single" w:sz="8" w:color="0000EE"/>
            </w:tcBorders>
          </w:tcPr>
          <w:p>
            <w:pPr>
              <w:spacing w:after="0"/>
              <w:rPr>
                <w:sz w:val="17"/>
                <w:szCs w:val="17"/>
                <w:color w:val="auto"/>
              </w:rPr>
            </w:pPr>
          </w:p>
        </w:tc>
        <w:tc>
          <w:tcPr>
            <w:tcW w:w="4440" w:type="dxa"/>
            <w:vAlign w:val="bottom"/>
            <w:gridSpan w:val="8"/>
          </w:tcPr>
          <w:p>
            <w:pPr>
              <w:spacing w:after="0"/>
              <w:rPr>
                <w:sz w:val="17"/>
                <w:szCs w:val="17"/>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22.1</w:t>
            </w:r>
          </w:p>
        </w:tc>
        <w:tc>
          <w:tcPr>
            <w:tcW w:w="9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List of Guarantor Subsidiaries and Issuers of Guaranteed Securities and Affiliates Whose Securities Collateralize Securities of the</w:t>
            </w:r>
          </w:p>
        </w:tc>
        <w:tc>
          <w:tcPr>
            <w:tcW w:w="52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8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6"/>
              </w:rPr>
              <w:t>Registrant.</w:t>
            </w:r>
          </w:p>
        </w:tc>
        <w:tc>
          <w:tcPr>
            <w:tcW w:w="20" w:type="dxa"/>
            <w:vAlign w:val="bottom"/>
            <w:tcBorders>
              <w:bottom w:val="single" w:sz="8" w:color="0000EE"/>
            </w:tcBorders>
          </w:tcPr>
          <w:p>
            <w:pPr>
              <w:spacing w:after="0"/>
              <w:rPr>
                <w:sz w:val="17"/>
                <w:szCs w:val="17"/>
                <w:color w:val="auto"/>
              </w:rPr>
            </w:pPr>
          </w:p>
        </w:tc>
        <w:tc>
          <w:tcPr>
            <w:tcW w:w="9100" w:type="dxa"/>
            <w:vAlign w:val="bottom"/>
            <w:gridSpan w:val="12"/>
          </w:tcPr>
          <w:p>
            <w:pPr>
              <w:spacing w:after="0"/>
              <w:rPr>
                <w:sz w:val="17"/>
                <w:szCs w:val="17"/>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Executive Officer pursuant to Rule 13a-14(a)/15d-14(a) under the Securities Exchange Act of 1934.</w:t>
            </w: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 pursuant to Rule 13a-14(a)/15d-14(a) under the Securities Exchange Act of 1934.</w:t>
            </w:r>
          </w:p>
        </w:tc>
        <w:tc>
          <w:tcPr>
            <w:tcW w:w="40" w:type="dxa"/>
            <w:vAlign w:val="bottom"/>
            <w:gridSpan w:val="2"/>
          </w:tcPr>
          <w:p>
            <w:pPr>
              <w:spacing w:after="0"/>
              <w:rPr>
                <w:sz w:val="24"/>
                <w:szCs w:val="24"/>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32.1</w:t>
            </w:r>
          </w:p>
        </w:tc>
        <w:tc>
          <w:tcPr>
            <w:tcW w:w="9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Executive Officer pursuant to 18 U.S.C. Section 1350, as adopted pursuant to Section 906 of the</w:t>
            </w:r>
          </w:p>
        </w:tc>
        <w:tc>
          <w:tcPr>
            <w:tcW w:w="22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7780" w:type="dxa"/>
            <w:vAlign w:val="bottom"/>
            <w:gridSpan w:val="10"/>
          </w:tcPr>
          <w:p>
            <w:pPr>
              <w:spacing w:after="0"/>
              <w:rPr>
                <w:sz w:val="17"/>
                <w:szCs w:val="17"/>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32.2</w:t>
            </w:r>
          </w:p>
        </w:tc>
        <w:tc>
          <w:tcPr>
            <w:tcW w:w="9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 pursuant to 18 U.S.C. Section 1350, as adopted pursuant to Section 906 of the</w:t>
            </w:r>
          </w:p>
        </w:tc>
        <w:tc>
          <w:tcPr>
            <w:tcW w:w="26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7780" w:type="dxa"/>
            <w:vAlign w:val="bottom"/>
            <w:gridSpan w:val="10"/>
          </w:tcPr>
          <w:p>
            <w:pPr>
              <w:spacing w:after="0"/>
              <w:rPr>
                <w:sz w:val="17"/>
                <w:szCs w:val="17"/>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9" w:lineRule="exact"/>
        <w:rPr>
          <w:sz w:val="20"/>
          <w:szCs w:val="20"/>
          <w:color w:val="auto"/>
        </w:rPr>
      </w:pPr>
    </w:p>
    <w:p>
      <w:pPr>
        <w:ind w:left="1260" w:right="240" w:hanging="1178"/>
        <w:spacing w:after="0" w:line="281"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4" w:name="page65"/>
    <w:bookmarkEnd w:id="6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20"/>
        <w:spacing w:after="0"/>
        <w:tabs>
          <w:tab w:leader="none" w:pos="8220" w:val="left"/>
          <w:tab w:leader="none" w:pos="85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2"/>
          <w:szCs w:val="12"/>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2"/>
          <w:szCs w:val="12"/>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1"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Marc D. Miller,</w:t>
      </w:r>
    </w:p>
    <w:p>
      <w:pPr>
        <w:spacing w:after="0" w:line="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47" w:lineRule="exact"/>
        <w:rPr>
          <w:sz w:val="20"/>
          <w:szCs w:val="20"/>
          <w:color w:val="auto"/>
        </w:rPr>
      </w:pPr>
    </w:p>
    <w:p>
      <w:pPr>
        <w:ind w:left="8360"/>
        <w:spacing w:after="0"/>
        <w:tabs>
          <w:tab w:leader="none" w:pos="8700" w:val="left"/>
        </w:tabs>
        <w:rPr>
          <w:sz w:val="20"/>
          <w:szCs w:val="20"/>
          <w:color w:val="auto"/>
        </w:rPr>
      </w:pP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ilton</w:t>
      </w:r>
    </w:p>
    <w:p>
      <w:pPr>
        <w:spacing w:after="0" w:line="32"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-125095</wp:posOffset>
            </wp:positionV>
            <wp:extent cx="28511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69"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9" w:lineRule="auto"/>
        <w:rPr>
          <w:sz w:val="20"/>
          <w:szCs w:val="20"/>
          <w:color w:val="auto"/>
        </w:rPr>
      </w:pPr>
      <w:r>
        <w:rPr>
          <w:rFonts w:ascii="Arial" w:cs="Arial" w:eastAsia="Arial" w:hAnsi="Arial"/>
          <w:sz w:val="20"/>
          <w:szCs w:val="20"/>
          <w:color w:val="auto"/>
        </w:rPr>
        <w:t>2.650% Senior Secured Notes due 2030</w:t>
      </w:r>
    </w:p>
    <w:p>
      <w:pPr>
        <w:spacing w:after="0"/>
        <w:rPr>
          <w:sz w:val="20"/>
          <w:szCs w:val="20"/>
          <w:color w:val="auto"/>
        </w:rPr>
      </w:pPr>
      <w:r>
        <w:rPr>
          <w:rFonts w:ascii="Arial" w:cs="Arial" w:eastAsia="Arial" w:hAnsi="Arial"/>
          <w:sz w:val="20"/>
          <w:szCs w:val="20"/>
          <w:color w:val="auto"/>
        </w:rPr>
        <w:t>2.650% Senior Secured Notes due 2032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53" w:lineRule="exact"/>
        <w:rPr>
          <w:sz w:val="20"/>
          <w:szCs w:val="20"/>
          <w:color w:val="auto"/>
        </w:rPr>
      </w:pPr>
    </w:p>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Mississippi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Arizona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Belmont Pines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6" w:name="page67"/>
    <w:bookmarkEnd w:id="66"/>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 Shreveport,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67" w:name="page68"/>
    <w:bookmarkEnd w:id="67"/>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Missouri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West 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68" w:name="page69"/>
    <w:bookmarkEnd w:id="68"/>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Wisconsin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69" w:name="page70"/>
    <w:bookmarkEnd w:id="69"/>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Dakota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Kentucky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70" w:name="page71"/>
    <w:bookmarkEnd w:id="70"/>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Arkansas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71" w:name="page72"/>
    <w:bookmarkEnd w:id="71"/>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72" w:name="page73"/>
    <w:bookmarkEnd w:id="72"/>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Tucson,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471170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1" w:right="859" w:bottom="1440" w:gutter="0" w:footer="0" w:header="0"/>
        </w:sectPr>
      </w:pPr>
    </w:p>
    <w:bookmarkStart w:id="73" w:name="page74"/>
    <w:bookmarkEnd w:id="73"/>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As of June 30, 2024, the obligations under the UHS Senior Secured Notes were secured by pledges of the equity of the following affiliates of the Company.</w:t>
      </w:r>
    </w:p>
    <w:p>
      <w:pPr>
        <w:spacing w:after="0" w:line="136" w:lineRule="exact"/>
        <w:rPr>
          <w:sz w:val="20"/>
          <w:szCs w:val="20"/>
          <w:color w:val="auto"/>
        </w:rPr>
      </w:pPr>
    </w:p>
    <w:tbl>
      <w:tblPr>
        <w:tblLayout w:type="fixed"/>
        <w:tblInd w:w="19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2012 W. University Properties, LLC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2026 W. University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TN,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Alabama Clinical Schools,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Mississippi</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Ambulatory Surgery Center of Temecula Valley,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Aiken,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East New Orleans,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Las Vegas,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Midwest City,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Puerto Rico,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 of Wellington,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Auburn Regional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Educational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Connections,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 AZ Master,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1" w:right="4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BHC Health Services of Nevada, Inc.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Management Services of Streamwood,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Real Estate,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Cape Girardeau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75</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75</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Central Montgomery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Chalmette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Clive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52</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Cornerstone Hospital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58.3</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58.3</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Cornerstone Regional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50.2</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50.2</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Crossings Healthcare Solutions, Inc.</w:t>
            </w: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Cypress Creek Real Estate,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District of Columbia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Doctors’ Hospital of Shreveport,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Ambulatory Surgical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Edinburg MOB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Emerald Coast Behavioral Hospital, LLC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Everglades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Foundations Recovery Network,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Friends Behavioral Health System,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79.92</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79.92</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Friends GP,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Children’s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Berkeley,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Kingwood Investment,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Oconee,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High Plains Behavioral Health,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Real Estate,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Physical Rehabilitation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HRI Clinics,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HRI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HSA Hill Crest Corporation</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Alabama</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Amarillo,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Denison,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Laredo,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McAllen,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Wellington,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Indiana Psychiatric Institutes,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InfoScriber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Island 77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Charlotte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KOP Limited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Behavioral Health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ASC,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Regional,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Laredo Regional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80.14</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80.14</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Mental Health Outcomes,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Mesilla Valley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Mexico</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BH JV,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74</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74</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Healthcare Staffing,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Michigan Psychiatric Services, Inc.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Michigan</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Wisconsin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Nashville Rehab,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NEWCO Oregon,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Nevada Diagnostic Imaging-Spanish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NWTHS Management,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Oregon 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Solutions,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Pee Dee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Peak Behavioral Health Services,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 Holding II,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Puerto Rico</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Pride Institute,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Minnesota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Dakota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PsychManagement Group,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Radiation Oncology Center of Aiken,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Red Rock Solutions,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Relational Therapy Clinic,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Kentucky</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Crest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Real Estate,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Riverside Medical Clinic Patient Services, L.L.C.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Behavioral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99.1</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Somerset, Incorporated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Southside Imaging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Spokane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Spokane Valley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 Louis Behavioral Medicine Institute,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Summerlin Hospital Medical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93.2</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93.2</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Arkansas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Residential Treatment/Midlands Campus,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SPE Holding,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UBH of Phoenix, LLC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Advisory,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BH Telepsych,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Building Solutions,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Good Samaritan,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International,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Center for Youth and Families,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Receivables Corp.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Surgical Hospital of Texoma,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Day School and Treatment Program,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GB,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Learning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Indiana,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Kootenai River,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UHS of New Orleans, LLC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No. Nevada,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Receivables,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Sutton,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Talbot,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Tuscon,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UHS-Lakeland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UHSF,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UK Acquisition No. 6, Ltd</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Kingdom</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65</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Community Behavioral Health,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HMO,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Network,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Recovery Centers,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Cedar Hill,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Treatment Centers,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429"/>
        </w:trPr>
        <w:tc>
          <w:tcPr>
            <w:tcW w:w="518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47"/>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Issuer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Organization</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Owned</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Interest Pledged</w:t>
            </w:r>
          </w:p>
        </w:tc>
      </w:tr>
      <w:tr>
        <w:trPr>
          <w:trHeight w:val="220"/>
        </w:trPr>
        <w:tc>
          <w:tcPr>
            <w:tcW w:w="5180" w:type="dxa"/>
            <w:vAlign w:val="bottom"/>
            <w:tcBorders>
              <w:left w:val="single" w:sz="8" w:color="auto"/>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6"/>
        </w:trPr>
        <w:tc>
          <w:tcPr>
            <w:tcW w:w="51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Virgin Islands Behavioral Services, Inc.</w:t>
            </w:r>
          </w:p>
        </w:tc>
        <w:tc>
          <w:tcPr>
            <w:tcW w:w="216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Virginia</w:t>
            </w:r>
          </w:p>
        </w:tc>
        <w:tc>
          <w:tcPr>
            <w:tcW w:w="152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206" w:lineRule="exact"/>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Vista Diagnostic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Physician Alliances,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Holdings,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98</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 Church Partnership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 Oaks Real Estate, L.P.</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Westside Outpatient Center,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23"/>
        </w:trPr>
        <w:tc>
          <w:tcPr>
            <w:tcW w:w="5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471170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1" w:right="8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 Miller, certify that:</w:t>
      </w:r>
    </w:p>
    <w:p>
      <w:pPr>
        <w:spacing w:after="0" w:line="117" w:lineRule="exact"/>
        <w:rPr>
          <w:sz w:val="20"/>
          <w:szCs w:val="20"/>
          <w:color w:val="auto"/>
        </w:rPr>
      </w:pPr>
    </w:p>
    <w:p>
      <w:pPr>
        <w:ind w:left="700" w:hanging="18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Services, Inc.;</w:t>
      </w:r>
    </w:p>
    <w:p>
      <w:pPr>
        <w:spacing w:after="0" w:line="116"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60" w:firstLine="517"/>
        <w:spacing w:after="0" w:line="281"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517"/>
        <w:spacing w:after="0" w:line="265"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right="60" w:firstLine="506"/>
        <w:spacing w:after="0" w:line="265" w:lineRule="auto"/>
        <w:tabs>
          <w:tab w:leader="none" w:pos="1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20" w:firstLine="506"/>
        <w:spacing w:after="0" w:line="265" w:lineRule="auto"/>
        <w:tabs>
          <w:tab w:leader="none" w:pos="12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40" w:firstLine="506"/>
        <w:spacing w:after="0" w:line="281" w:lineRule="auto"/>
        <w:tabs>
          <w:tab w:leader="none" w:pos="1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300" w:firstLine="506"/>
        <w:spacing w:after="0" w:line="265" w:lineRule="auto"/>
        <w:tabs>
          <w:tab w:leader="none" w:pos="12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240" w:firstLine="517"/>
        <w:spacing w:after="0" w:line="281"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60" w:firstLine="506"/>
        <w:spacing w:after="0" w:line="281" w:lineRule="auto"/>
        <w:tabs>
          <w:tab w:leader="none" w:pos="1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firstLine="506"/>
        <w:spacing w:after="0" w:line="281" w:lineRule="auto"/>
        <w:tabs>
          <w:tab w:leader="none" w:pos="12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 D. Miller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Filton, certify that:</w:t>
      </w:r>
    </w:p>
    <w:p>
      <w:pPr>
        <w:spacing w:after="0" w:line="117" w:lineRule="exact"/>
        <w:rPr>
          <w:sz w:val="20"/>
          <w:szCs w:val="20"/>
          <w:color w:val="auto"/>
        </w:rPr>
      </w:pPr>
    </w:p>
    <w:p>
      <w:pPr>
        <w:ind w:left="700" w:hanging="183"/>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Services, Inc.;</w:t>
      </w:r>
    </w:p>
    <w:p>
      <w:pPr>
        <w:spacing w:after="0" w:line="116"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60" w:firstLine="517"/>
        <w:spacing w:after="0" w:line="281" w:lineRule="auto"/>
        <w:tabs>
          <w:tab w:leader="none" w:pos="6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100" w:firstLine="517"/>
        <w:spacing w:after="0" w:line="265" w:lineRule="auto"/>
        <w:tabs>
          <w:tab w:leader="none" w:pos="6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right="60" w:firstLine="506"/>
        <w:spacing w:after="0" w:line="265" w:lineRule="auto"/>
        <w:tabs>
          <w:tab w:leader="none" w:pos="1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20" w:firstLine="506"/>
        <w:spacing w:after="0" w:line="265" w:lineRule="auto"/>
        <w:tabs>
          <w:tab w:leader="none" w:pos="12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40" w:firstLine="506"/>
        <w:spacing w:after="0" w:line="281" w:lineRule="auto"/>
        <w:tabs>
          <w:tab w:leader="none" w:pos="1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300" w:firstLine="506"/>
        <w:spacing w:after="0" w:line="265" w:lineRule="auto"/>
        <w:tabs>
          <w:tab w:leader="none" w:pos="12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240" w:firstLine="517"/>
        <w:spacing w:after="0" w:line="281" w:lineRule="auto"/>
        <w:tabs>
          <w:tab w:leader="none" w:pos="6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60" w:firstLine="506"/>
        <w:spacing w:after="0" w:line="281" w:lineRule="auto"/>
        <w:tabs>
          <w:tab w:leader="none" w:pos="1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firstLine="506"/>
        <w:spacing w:after="0" w:line="281" w:lineRule="auto"/>
        <w:tabs>
          <w:tab w:leader="none" w:pos="12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Universal Health Services, Inc. (the “Company”) on Form 10-Q for the quarter ended June 30, 2024,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69"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right="140" w:firstLine="8"/>
        <w:spacing w:after="0" w:line="281"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 D. Miller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8, 2024</w:t>
      </w:r>
    </w:p>
    <w:p>
      <w:pPr>
        <w:spacing w:after="0" w:line="27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Universal Health Services, Inc. (the “Company”) on Form 10-Q for the quarter ended June 30, 2024,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4"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right="140" w:firstLine="8"/>
        <w:spacing w:after="0" w:line="28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8, 2024</w:t>
      </w:r>
    </w:p>
    <w:p>
      <w:pPr>
        <w:spacing w:after="0" w:line="27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Roman"/>
      <w:start w:val="2"/>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Letter"/>
      <w:start w:val="3"/>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07" Type="http://schemas.openxmlformats.org/officeDocument/2006/relationships/hyperlink" Target="https://www.sec.gov/Archives/edgar/data/352915/000119312524086555/d63116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2024-08-08T15:58:46Z</dcterms:created>
  <dcterms:modified xsi:type="dcterms:W3CDTF">2024-08-08T15:58:46Z</dcterms:modified>
</cp:coreProperties>
</file>