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2"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06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6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48" w:lineRule="exact"/>
        <w:rPr>
          <w:sz w:val="24"/>
          <w:szCs w:val="24"/>
          <w:color w:val="auto"/>
        </w:rPr>
      </w:pPr>
    </w:p>
    <w:p>
      <w:pPr>
        <w:ind w:left="680" w:hanging="37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Preliminary Proxy Statement</w:t>
      </w:r>
    </w:p>
    <w:p>
      <w:pPr>
        <w:spacing w:after="0" w:line="243" w:lineRule="exact"/>
        <w:rPr>
          <w:rFonts w:ascii="MS PGothic" w:cs="MS PGothic" w:eastAsia="MS PGothic" w:hAnsi="MS PGothic"/>
          <w:sz w:val="18"/>
          <w:szCs w:val="18"/>
          <w:color w:val="auto"/>
        </w:rPr>
      </w:pPr>
    </w:p>
    <w:p>
      <w:pPr>
        <w:ind w:left="680" w:hanging="375"/>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Confidential, for Use of the Commission Only (as permitted by Rule 14a-6(e)(2))</w:t>
      </w:r>
    </w:p>
    <w:p>
      <w:pPr>
        <w:spacing w:after="0" w:line="243" w:lineRule="exact"/>
        <w:rPr>
          <w:sz w:val="24"/>
          <w:szCs w:val="24"/>
          <w:color w:val="auto"/>
        </w:rPr>
      </w:pPr>
    </w:p>
    <w:p>
      <w:pPr>
        <w:ind w:left="680" w:hanging="375"/>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Definitive Proxy Statement</w:t>
      </w:r>
    </w:p>
    <w:p>
      <w:pPr>
        <w:spacing w:after="0" w:line="243" w:lineRule="exact"/>
        <w:rPr>
          <w:sz w:val="24"/>
          <w:szCs w:val="24"/>
          <w:color w:val="auto"/>
        </w:rPr>
      </w:pPr>
    </w:p>
    <w:p>
      <w:pPr>
        <w:ind w:left="680" w:hanging="375"/>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Definitive Additional Materials</w:t>
      </w:r>
    </w:p>
    <w:p>
      <w:pPr>
        <w:spacing w:after="0" w:line="243" w:lineRule="exact"/>
        <w:rPr>
          <w:rFonts w:ascii="MS PGothic" w:cs="MS PGothic" w:eastAsia="MS PGothic" w:hAnsi="MS PGothic"/>
          <w:sz w:val="18"/>
          <w:szCs w:val="18"/>
          <w:color w:val="auto"/>
        </w:rPr>
      </w:pPr>
    </w:p>
    <w:p>
      <w:pPr>
        <w:ind w:left="680" w:hanging="375"/>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6"/>
          <w:szCs w:val="16"/>
          <w:color w:val="auto"/>
        </w:rPr>
        <w:t>Soliciting Material under §240.14a-12</w:t>
      </w:r>
    </w:p>
    <w:p>
      <w:pPr>
        <w:spacing w:after="0" w:line="227"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Universal Health Services, Inc.</w:t>
      </w:r>
    </w:p>
    <w:p>
      <w:pPr>
        <w:spacing w:after="0" w:line="42"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248" w:lineRule="exact"/>
        <w:rPr>
          <w:sz w:val="24"/>
          <w:szCs w:val="24"/>
          <w:color w:val="auto"/>
        </w:rPr>
      </w:pPr>
    </w:p>
    <w:p>
      <w:pPr>
        <w:ind w:left="680" w:hanging="375"/>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6"/>
          <w:szCs w:val="16"/>
          <w:color w:val="auto"/>
        </w:rPr>
        <w:t>No fee required</w:t>
      </w:r>
    </w:p>
    <w:p>
      <w:pPr>
        <w:spacing w:after="0" w:line="243" w:lineRule="exact"/>
        <w:rPr>
          <w:sz w:val="24"/>
          <w:szCs w:val="24"/>
          <w:color w:val="auto"/>
        </w:rPr>
      </w:pPr>
    </w:p>
    <w:p>
      <w:pPr>
        <w:ind w:left="680" w:hanging="375"/>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paid previously with preliminary materials</w:t>
      </w:r>
    </w:p>
    <w:p>
      <w:pPr>
        <w:spacing w:after="0" w:line="243" w:lineRule="exact"/>
        <w:rPr>
          <w:rFonts w:ascii="MS PGothic" w:cs="MS PGothic" w:eastAsia="MS PGothic" w:hAnsi="MS PGothic"/>
          <w:sz w:val="18"/>
          <w:szCs w:val="18"/>
          <w:color w:val="auto"/>
        </w:rPr>
      </w:pPr>
    </w:p>
    <w:p>
      <w:pPr>
        <w:ind w:left="680" w:hanging="375"/>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11" w:right="1440" w:bottom="1440" w:gutter="0" w:footer="0" w:header="0"/>
        </w:sectPr>
      </w:pPr>
    </w:p>
    <w:bookmarkStart w:id="1" w:name="page2"/>
    <w:bookmarkEnd w:id="1"/>
    <w:p>
      <w:pPr>
        <w:spacing w:after="0"/>
        <w:rPr>
          <w:sz w:val="20"/>
          <w:szCs w:val="20"/>
          <w:color w:val="auto"/>
        </w:rPr>
      </w:pPr>
      <w:r>
        <w:rPr>
          <w:rFonts w:ascii="Arial" w:cs="Arial" w:eastAsia="Arial" w:hAnsi="Arial"/>
          <w:sz w:val="39"/>
          <w:szCs w:val="39"/>
          <w:b w:val="1"/>
          <w:bCs w:val="1"/>
          <w:color w:val="052666"/>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108585</wp:posOffset>
            </wp:positionV>
            <wp:extent cx="1354455"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44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UNIVERSAL HEALTH SERVICES,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UNIVERSAL CORPORATE CENTER  </w:t>
      </w:r>
      <w:r>
        <w:rPr>
          <w:rFonts w:ascii="Arial" w:cs="Arial" w:eastAsia="Arial" w:hAnsi="Arial"/>
          <w:sz w:val="16"/>
          <w:szCs w:val="16"/>
          <w:color w:val="052666"/>
        </w:rPr>
        <w:t>•</w:t>
      </w:r>
      <w:r>
        <w:rPr>
          <w:rFonts w:ascii="Arial" w:cs="Arial" w:eastAsia="Arial" w:hAnsi="Arial"/>
          <w:sz w:val="16"/>
          <w:szCs w:val="16"/>
          <w:color w:val="auto"/>
        </w:rPr>
        <w:t xml:space="preserve">  367 SOUTH GULPH ROAD  </w:t>
      </w:r>
      <w:r>
        <w:rPr>
          <w:rFonts w:ascii="Arial" w:cs="Arial" w:eastAsia="Arial" w:hAnsi="Arial"/>
          <w:sz w:val="16"/>
          <w:szCs w:val="16"/>
          <w:color w:val="052666"/>
        </w:rPr>
        <w:t>•</w:t>
      </w:r>
      <w:r>
        <w:rPr>
          <w:rFonts w:ascii="Arial" w:cs="Arial" w:eastAsia="Arial" w:hAnsi="Arial"/>
          <w:sz w:val="16"/>
          <w:szCs w:val="16"/>
          <w:color w:val="auto"/>
        </w:rPr>
        <w:t xml:space="preserve">  KING OF PRUSSIA, PENNSYLVANIA 19406</w:t>
      </w:r>
    </w:p>
    <w:p>
      <w:pPr>
        <w:spacing w:after="0" w:line="111" w:lineRule="exact"/>
        <w:rPr>
          <w:sz w:val="20"/>
          <w:szCs w:val="20"/>
          <w:color w:val="auto"/>
        </w:rPr>
      </w:pPr>
    </w:p>
    <w:tbl>
      <w:tblPr>
        <w:tblLayout w:type="fixed"/>
        <w:tblInd w:w="3280" w:type="dxa"/>
        <w:tblCellMar>
          <w:top w:w="0" w:type="dxa"/>
          <w:left w:w="0" w:type="dxa"/>
          <w:bottom w:w="0" w:type="dxa"/>
          <w:right w:w="0" w:type="dxa"/>
        </w:tblCellMar>
      </w:tblPr>
      <w:tr>
        <w:trPr>
          <w:trHeight w:val="223"/>
        </w:trPr>
        <w:tc>
          <w:tcPr>
            <w:tcW w:w="240" w:type="dxa"/>
            <w:vAlign w:val="bottom"/>
          </w:tcPr>
          <w:p>
            <w:pPr>
              <w:spacing w:after="0"/>
              <w:rPr>
                <w:sz w:val="20"/>
                <w:szCs w:val="20"/>
                <w:color w:val="auto"/>
              </w:rPr>
            </w:pPr>
            <w:r>
              <w:rPr>
                <w:rFonts w:ascii="Arial" w:cs="Arial" w:eastAsia="Arial" w:hAnsi="Arial"/>
                <w:sz w:val="16"/>
                <w:szCs w:val="16"/>
                <w:b w:val="1"/>
                <w:bCs w:val="1"/>
                <w:color w:val="auto"/>
              </w:rPr>
              <w:t> </w:t>
            </w:r>
          </w:p>
        </w:tc>
        <w:tc>
          <w:tcPr>
            <w:tcW w:w="2100" w:type="dxa"/>
            <w:vAlign w:val="bottom"/>
          </w:tcPr>
          <w:p>
            <w:pPr>
              <w:ind w:left="180"/>
              <w:spacing w:after="0"/>
              <w:rPr>
                <w:sz w:val="20"/>
                <w:szCs w:val="20"/>
                <w:color w:val="auto"/>
              </w:rPr>
            </w:pPr>
            <w:r>
              <w:rPr>
                <w:rFonts w:ascii="Arial" w:cs="Arial" w:eastAsia="Arial" w:hAnsi="Arial"/>
                <w:sz w:val="16"/>
                <w:szCs w:val="16"/>
                <w:b w:val="1"/>
                <w:bCs w:val="1"/>
                <w:color w:val="auto"/>
              </w:rPr>
              <w:t> </w:t>
            </w:r>
          </w:p>
        </w:tc>
        <w:tc>
          <w:tcPr>
            <w:tcW w:w="2040" w:type="dxa"/>
            <w:vAlign w:val="bottom"/>
          </w:tcPr>
          <w:p>
            <w:pPr>
              <w:ind w:left="1880"/>
              <w:spacing w:after="0"/>
              <w:rPr>
                <w:sz w:val="20"/>
                <w:szCs w:val="20"/>
                <w:color w:val="auto"/>
              </w:rPr>
            </w:pPr>
            <w:r>
              <w:rPr>
                <w:rFonts w:ascii="Arial" w:cs="Arial" w:eastAsia="Arial" w:hAnsi="Arial"/>
                <w:sz w:val="16"/>
                <w:szCs w:val="16"/>
                <w:b w:val="1"/>
                <w:bCs w:val="1"/>
                <w:color w:val="auto"/>
                <w:w w:val="87"/>
              </w:rPr>
              <w:t> </w:t>
            </w:r>
          </w:p>
        </w:tc>
        <w:tc>
          <w:tcPr>
            <w:tcW w:w="160" w:type="dxa"/>
            <w:vAlign w:val="bottom"/>
          </w:tcPr>
          <w:p>
            <w:pPr>
              <w:ind w:left="120"/>
              <w:spacing w:after="0"/>
              <w:rPr>
                <w:sz w:val="20"/>
                <w:szCs w:val="20"/>
                <w:color w:val="auto"/>
              </w:rPr>
            </w:pPr>
            <w:r>
              <w:rPr>
                <w:rFonts w:ascii="Arial" w:cs="Arial" w:eastAsia="Arial" w:hAnsi="Arial"/>
                <w:sz w:val="2"/>
                <w:szCs w:val="2"/>
                <w:b w:val="1"/>
                <w:bCs w:val="1"/>
                <w:color w:val="auto"/>
                <w:w w:val="97"/>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-131445</wp:posOffset>
            </wp:positionV>
            <wp:extent cx="25400" cy="891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89154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-131445</wp:posOffset>
            </wp:positionV>
            <wp:extent cx="26035" cy="891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35" cy="89154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-131445</wp:posOffset>
            </wp:positionV>
            <wp:extent cx="41148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-131445</wp:posOffset>
            </wp:positionV>
            <wp:extent cx="50546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5460" cy="34290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-131445</wp:posOffset>
            </wp:positionV>
            <wp:extent cx="394335"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4335" cy="43688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23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9"/>
              </w:rPr>
              <w:t>Date and Time</w:t>
            </w:r>
          </w:p>
        </w:tc>
        <w:tc>
          <w:tcPr>
            <w:tcW w:w="474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Live Audio Webcast</w:t>
            </w:r>
          </w:p>
        </w:tc>
        <w:tc>
          <w:tcPr>
            <w:tcW w:w="224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Record Date</w:t>
            </w:r>
          </w:p>
        </w:tc>
      </w:tr>
      <w:tr>
        <w:trPr>
          <w:trHeight w:val="203"/>
        </w:trPr>
        <w:tc>
          <w:tcPr>
            <w:tcW w:w="2380" w:type="dxa"/>
            <w:vAlign w:val="bottom"/>
          </w:tcPr>
          <w:p>
            <w:pPr>
              <w:jc w:val="center"/>
              <w:ind w:right="1030"/>
              <w:spacing w:after="0" w:line="202" w:lineRule="exact"/>
              <w:rPr>
                <w:sz w:val="20"/>
                <w:szCs w:val="20"/>
                <w:color w:val="auto"/>
              </w:rPr>
            </w:pPr>
            <w:r>
              <w:rPr>
                <w:rFonts w:ascii="Arial" w:cs="Arial" w:eastAsia="Arial" w:hAnsi="Arial"/>
                <w:sz w:val="18"/>
                <w:szCs w:val="18"/>
                <w:color w:val="auto"/>
              </w:rPr>
              <w:t>May 20, 2026</w:t>
            </w:r>
          </w:p>
        </w:tc>
        <w:tc>
          <w:tcPr>
            <w:tcW w:w="4740" w:type="dxa"/>
            <w:vAlign w:val="bottom"/>
          </w:tcPr>
          <w:p>
            <w:pPr>
              <w:jc w:val="center"/>
              <w:ind w:left="70"/>
              <w:spacing w:after="0" w:line="202" w:lineRule="exact"/>
              <w:rPr>
                <w:sz w:val="20"/>
                <w:szCs w:val="20"/>
                <w:color w:val="auto"/>
              </w:rPr>
            </w:pPr>
            <w:r>
              <w:rPr>
                <w:rFonts w:ascii="Arial" w:cs="Arial" w:eastAsia="Arial" w:hAnsi="Arial"/>
                <w:sz w:val="18"/>
                <w:szCs w:val="18"/>
                <w:color w:val="auto"/>
              </w:rPr>
              <w:t>www.meetnow.global/MXMYPG9</w:t>
            </w:r>
          </w:p>
        </w:tc>
        <w:tc>
          <w:tcPr>
            <w:tcW w:w="2240" w:type="dxa"/>
            <w:vAlign w:val="bottom"/>
          </w:tcPr>
          <w:p>
            <w:pPr>
              <w:jc w:val="center"/>
              <w:ind w:left="890"/>
              <w:spacing w:after="0" w:line="202" w:lineRule="exact"/>
              <w:rPr>
                <w:sz w:val="20"/>
                <w:szCs w:val="20"/>
                <w:color w:val="auto"/>
              </w:rPr>
            </w:pPr>
            <w:r>
              <w:rPr>
                <w:rFonts w:ascii="Arial" w:cs="Arial" w:eastAsia="Arial" w:hAnsi="Arial"/>
                <w:sz w:val="18"/>
                <w:szCs w:val="18"/>
                <w:color w:val="auto"/>
              </w:rPr>
              <w:t>March 23, 2026</w:t>
            </w:r>
          </w:p>
        </w:tc>
      </w:tr>
      <w:tr>
        <w:trPr>
          <w:trHeight w:val="239"/>
        </w:trPr>
        <w:tc>
          <w:tcPr>
            <w:tcW w:w="2380" w:type="dxa"/>
            <w:vAlign w:val="bottom"/>
          </w:tcPr>
          <w:p>
            <w:pPr>
              <w:jc w:val="center"/>
              <w:ind w:right="1030"/>
              <w:spacing w:after="0"/>
              <w:rPr>
                <w:sz w:val="20"/>
                <w:szCs w:val="20"/>
                <w:color w:val="auto"/>
              </w:rPr>
            </w:pPr>
            <w:r>
              <w:rPr>
                <w:rFonts w:ascii="Arial" w:cs="Arial" w:eastAsia="Arial" w:hAnsi="Arial"/>
                <w:sz w:val="18"/>
                <w:szCs w:val="18"/>
                <w:color w:val="auto"/>
                <w:w w:val="99"/>
              </w:rPr>
              <w:t>10:00 a.m. EDT</w:t>
            </w:r>
          </w:p>
        </w:tc>
        <w:tc>
          <w:tcPr>
            <w:tcW w:w="474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Items to be Voted On</w:t>
      </w:r>
    </w:p>
    <w:p>
      <w:pPr>
        <w:spacing w:after="0" w:line="123" w:lineRule="exact"/>
        <w:rPr>
          <w:sz w:val="20"/>
          <w:szCs w:val="20"/>
          <w:color w:val="auto"/>
        </w:rPr>
      </w:pPr>
    </w:p>
    <w:p>
      <w:pPr>
        <w:ind w:left="500" w:hanging="372"/>
        <w:spacing w:after="0" w:line="271"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one director by the holders of Class A and Class C Common Stock (voting together as a single class) and the election of one director by the holders of Class B and Class D Common Stock (voting together as a single class);</w:t>
      </w:r>
    </w:p>
    <w:p>
      <w:pPr>
        <w:spacing w:after="0" w:line="45" w:lineRule="exact"/>
        <w:rPr>
          <w:rFonts w:ascii="Arial" w:cs="Arial" w:eastAsia="Arial" w:hAnsi="Arial"/>
          <w:sz w:val="18"/>
          <w:szCs w:val="18"/>
          <w:color w:val="auto"/>
        </w:rPr>
      </w:pPr>
    </w:p>
    <w:p>
      <w:pPr>
        <w:ind w:left="500" w:hanging="37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 advisory (nonbinding) vote to approve named executive officer compensation;</w:t>
      </w:r>
    </w:p>
    <w:p>
      <w:pPr>
        <w:spacing w:after="0" w:line="103" w:lineRule="exact"/>
        <w:rPr>
          <w:rFonts w:ascii="Arial" w:cs="Arial" w:eastAsia="Arial" w:hAnsi="Arial"/>
          <w:sz w:val="18"/>
          <w:szCs w:val="18"/>
          <w:color w:val="auto"/>
        </w:rPr>
      </w:pPr>
    </w:p>
    <w:p>
      <w:pPr>
        <w:ind w:left="500" w:right="20" w:hanging="372"/>
        <w:spacing w:after="0" w:line="271"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selection of PricewaterhouseCoopers LLP as our independent registered public accounting firm for the fiscal year ending December 31, 2026;</w:t>
      </w:r>
    </w:p>
    <w:p>
      <w:pPr>
        <w:spacing w:after="0" w:line="45" w:lineRule="exact"/>
        <w:rPr>
          <w:rFonts w:ascii="Arial" w:cs="Arial" w:eastAsia="Arial" w:hAnsi="Arial"/>
          <w:sz w:val="18"/>
          <w:szCs w:val="18"/>
          <w:color w:val="auto"/>
        </w:rPr>
      </w:pPr>
    </w:p>
    <w:p>
      <w:pPr>
        <w:ind w:left="500" w:hanging="37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on a stockholder proposal to report votes based on UHS shareholder money at risk;</w:t>
      </w:r>
    </w:p>
    <w:p>
      <w:pPr>
        <w:spacing w:after="0" w:line="103" w:lineRule="exact"/>
        <w:rPr>
          <w:rFonts w:ascii="Arial" w:cs="Arial" w:eastAsia="Arial" w:hAnsi="Arial"/>
          <w:sz w:val="18"/>
          <w:szCs w:val="18"/>
          <w:color w:val="auto"/>
        </w:rPr>
      </w:pPr>
    </w:p>
    <w:p>
      <w:pPr>
        <w:ind w:left="500" w:hanging="372"/>
        <w:spacing w:after="0" w:line="271"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on a stockholder proposal to adopt a policy requiring Universal Health Services, Inc. to publicly disclose its workforce diversity; and</w:t>
      </w:r>
    </w:p>
    <w:p>
      <w:pPr>
        <w:spacing w:after="0" w:line="45" w:lineRule="exact"/>
        <w:rPr>
          <w:rFonts w:ascii="Arial" w:cs="Arial" w:eastAsia="Arial" w:hAnsi="Arial"/>
          <w:sz w:val="18"/>
          <w:szCs w:val="18"/>
          <w:color w:val="auto"/>
        </w:rPr>
      </w:pPr>
    </w:p>
    <w:p>
      <w:pPr>
        <w:ind w:left="500" w:hanging="37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meeting or any adjournment thereof.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You are entitled to vote at the Annual Meeting only if you were a Company stockholder of record at the close of business on March 23, 2026.</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This year we will hold the Annual Meeting in a virtual only format, which will be conducted via live audio webcast. Stockholders will have an equal opportunity to participate at the Annual Meeting online regardless of their geographic location.</w:t>
      </w:r>
    </w:p>
    <w:p>
      <w:pPr>
        <w:spacing w:after="0" w:line="3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WHETHER OR NOT YOU PLAN TO ATTEND THE ANNUAL MEETING ONLINE, PLEASE VOTE BY TELEPHONE OR INTERNET OR, IF YOU RECEIVED PRINTED PROXY MATERIALS AND WISH TO VOTE BY MAIL, MARK YOUR VOTES, THEN DATE AND SIGN THE ENCLOSED FORM OF PROXY AND RETURN IT PROMPTLY IN THE ENCLOSED POSTAGE-PAID ENVELOPE. YOU MAY REVOKE YOUR PROXY IF YOU DECIDE TO ATTEND THE ANNUAL MEETING AND WISH TO VOTE YOUR SHARES ONLINE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 Meeting</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to be held on Wednesday, May 20, 2026:</w:t>
      </w:r>
    </w:p>
    <w:p>
      <w:pPr>
        <w:spacing w:after="0" w:line="4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Proxy Statement and Annual Report to Stockholders are available at https://www.edocumentview.com/uhs.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705610"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561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Steve G. Filton,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King of Prussia, Pennsylvania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052666"/>
        </w:rPr>
        <w:t>A LETTER FROM OUR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106680</wp:posOffset>
            </wp:positionV>
            <wp:extent cx="1354455"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44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April 9, 2026</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Dear Stockholder:</w:t>
      </w:r>
    </w:p>
    <w:p>
      <w:pPr>
        <w:spacing w:after="0" w:line="147" w:lineRule="exact"/>
        <w:rPr>
          <w:sz w:val="20"/>
          <w:szCs w:val="20"/>
          <w:color w:val="auto"/>
        </w:rPr>
      </w:pPr>
    </w:p>
    <w:p>
      <w:pPr>
        <w:jc w:val="both"/>
        <w:ind w:left="3160"/>
        <w:spacing w:after="0" w:line="239" w:lineRule="auto"/>
        <w:rPr>
          <w:sz w:val="20"/>
          <w:szCs w:val="20"/>
          <w:color w:val="auto"/>
        </w:rPr>
      </w:pPr>
      <w:r>
        <w:rPr>
          <w:rFonts w:ascii="Arial" w:cs="Arial" w:eastAsia="Arial" w:hAnsi="Arial"/>
          <w:sz w:val="17"/>
          <w:szCs w:val="17"/>
          <w:color w:val="auto"/>
        </w:rPr>
        <w:t>You are cordially invited to attend the 2026 Annual Meeting of Stockholders of Universal Health Services, Inc. (the “Company”) to be held on Wednesday, May 20, 2026, beginning at 10:00 a.m. EDT. This year’s Annual Meeting will be conducted completely virtually, via a live audio webcast; there will be no physical meeting location. You will be able to attend and participate in the Annual Meeting by visiting www.meetnow.global/MXMYPG9, where you will be able to listen to the meeting live, submit questions, and vote. The annual meeting is being held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1234440" cy="1259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20" w:hanging="503"/>
        <w:spacing w:after="0" w:line="267"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election of one director by the holders of Class A and Class C Common Stock (voting together as a single class) and the election of one director by the holders of Class B and Class D Common Stock (voting together as a single class);</w:t>
      </w:r>
    </w:p>
    <w:p>
      <w:pPr>
        <w:spacing w:after="0" w:line="51"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conduct an advisory (nonbinding) vote to approve named executive officer compensation;</w:t>
      </w:r>
    </w:p>
    <w:p>
      <w:pPr>
        <w:spacing w:after="0" w:line="101" w:lineRule="exact"/>
        <w:rPr>
          <w:rFonts w:ascii="Arial" w:cs="Arial" w:eastAsia="Arial" w:hAnsi="Arial"/>
          <w:sz w:val="17"/>
          <w:szCs w:val="17"/>
          <w:color w:val="auto"/>
        </w:rPr>
      </w:pPr>
    </w:p>
    <w:p>
      <w:pPr>
        <w:ind w:left="1020" w:right="20" w:hanging="503"/>
        <w:spacing w:after="0" w:line="267"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ratification of the selection of PricewaterhouseCoopers LLP as our independent registered public accounting firm for the fiscal year ending December 31, 2026;</w:t>
      </w:r>
    </w:p>
    <w:p>
      <w:pPr>
        <w:spacing w:after="0" w:line="51"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act on a stockholder proposal to report votes based on UHS shareholder money at risk;</w:t>
      </w:r>
    </w:p>
    <w:p>
      <w:pPr>
        <w:spacing w:after="0" w:line="101" w:lineRule="exact"/>
        <w:rPr>
          <w:rFonts w:ascii="Arial" w:cs="Arial" w:eastAsia="Arial" w:hAnsi="Arial"/>
          <w:sz w:val="17"/>
          <w:szCs w:val="17"/>
          <w:color w:val="auto"/>
        </w:rPr>
      </w:pPr>
    </w:p>
    <w:p>
      <w:pPr>
        <w:ind w:left="1020" w:right="20" w:hanging="503"/>
        <w:spacing w:after="0" w:line="267"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act on a stockholder proposal to adopt a policy requiring Universal Health Services, Inc. to publicly disclose its workforce diversity; and</w:t>
      </w:r>
    </w:p>
    <w:p>
      <w:pPr>
        <w:spacing w:after="0" w:line="51"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transaction of such other business as may properly come before the meeting or any adjournment thereof.</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Detailed information concerning these matters is set forth in the Important Notice Regarding the Availability of Proxy Materials (the “Notice”) you received in the mail and in the attached Notice of Annual Meeting of Stockholders and Proxy Statement. We have elected to provide access to our Proxy Materials over the internet under the Securities and Exchange Commission’s “notice and access” rules. If you want more information, please see the Questions and Answers section of this Proxy Statement.</w:t>
      </w:r>
    </w:p>
    <w:p>
      <w:pPr>
        <w:spacing w:after="0" w:line="6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Your vote is important. Whether or not you plan to attend the meeting online, please either vote by telephone or internet or, if you received printed Proxy Materials and wish to vote by mail, by promptly signing and returning your Proxy card in the enclosed envelope. Please review the instructions on each of your voting options described in this Proxy Statement as well as in the Notice you received in the mail. If you then attend and wish to vote your shares online, you still may do so. In addition to the matters noted above, we will discuss the business of the Company and be available for your questions relating to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118300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30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Alan B. Miller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44018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1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Marc D. Miller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052666"/>
        </w:rPr>
        <w:t>PROXY STATEMENT</w:t>
      </w:r>
    </w:p>
    <w:p>
      <w:pPr>
        <w:spacing w:after="0" w:line="39" w:lineRule="exact"/>
        <w:rPr>
          <w:sz w:val="20"/>
          <w:szCs w:val="20"/>
          <w:color w:val="auto"/>
        </w:rPr>
      </w:pPr>
    </w:p>
    <w:p>
      <w:pPr>
        <w:spacing w:after="0"/>
        <w:rPr>
          <w:sz w:val="20"/>
          <w:szCs w:val="20"/>
          <w:color w:val="auto"/>
        </w:rPr>
      </w:pPr>
      <w:r>
        <w:rPr>
          <w:rFonts w:ascii="Arial" w:cs="Arial" w:eastAsia="Arial" w:hAnsi="Arial"/>
          <w:sz w:val="40"/>
          <w:szCs w:val="40"/>
          <w:b w:val="1"/>
          <w:bCs w:val="1"/>
          <w:color w:val="052666"/>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201295</wp:posOffset>
            </wp:positionV>
            <wp:extent cx="1354455" cy="600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44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UNIVERSAL HEALTH SERVICES,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UNIVERSAL CORPORATE CENTER  </w:t>
      </w:r>
      <w:r>
        <w:rPr>
          <w:rFonts w:ascii="Arial" w:cs="Arial" w:eastAsia="Arial" w:hAnsi="Arial"/>
          <w:sz w:val="16"/>
          <w:szCs w:val="16"/>
          <w:color w:val="052666"/>
        </w:rPr>
        <w:t>•</w:t>
      </w:r>
      <w:r>
        <w:rPr>
          <w:rFonts w:ascii="Arial" w:cs="Arial" w:eastAsia="Arial" w:hAnsi="Arial"/>
          <w:sz w:val="16"/>
          <w:szCs w:val="16"/>
          <w:color w:val="auto"/>
        </w:rPr>
        <w:t xml:space="preserve">  367 SOUTH GULPH ROAD  </w:t>
      </w:r>
      <w:r>
        <w:rPr>
          <w:rFonts w:ascii="Arial" w:cs="Arial" w:eastAsia="Arial" w:hAnsi="Arial"/>
          <w:sz w:val="16"/>
          <w:szCs w:val="16"/>
          <w:color w:val="052666"/>
        </w:rPr>
        <w:t>•</w:t>
      </w:r>
      <w:r>
        <w:rPr>
          <w:rFonts w:ascii="Arial" w:cs="Arial" w:eastAsia="Arial" w:hAnsi="Arial"/>
          <w:sz w:val="16"/>
          <w:szCs w:val="16"/>
          <w:color w:val="auto"/>
        </w:rPr>
        <w:t xml:space="preserve">  KING OF PRUSSIA, PA 19406</w:t>
      </w:r>
    </w:p>
    <w:p>
      <w:pPr>
        <w:spacing w:after="0" w:line="196" w:lineRule="exact"/>
        <w:rPr>
          <w:sz w:val="20"/>
          <w:szCs w:val="20"/>
          <w:color w:val="auto"/>
        </w:rPr>
      </w:pPr>
    </w:p>
    <w:p>
      <w:pPr>
        <w:ind w:left="560" w:hanging="432"/>
        <w:spacing w:after="0"/>
        <w:tabs>
          <w:tab w:leader="none" w:pos="5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Q: Why am I receiving these materials?</w:t>
      </w:r>
    </w:p>
    <w:p>
      <w:pPr>
        <w:spacing w:after="0" w:line="96" w:lineRule="exact"/>
        <w:rPr>
          <w:rFonts w:ascii="Arial" w:cs="Arial" w:eastAsia="Arial" w:hAnsi="Arial"/>
          <w:sz w:val="20"/>
          <w:szCs w:val="20"/>
          <w:b w:val="1"/>
          <w:bCs w:val="1"/>
          <w:color w:val="auto"/>
        </w:rPr>
      </w:pPr>
    </w:p>
    <w:p>
      <w:pPr>
        <w:jc w:val="both"/>
        <w:ind w:left="1020" w:hanging="376"/>
        <w:spacing w:after="0" w:line="230" w:lineRule="auto"/>
        <w:tabs>
          <w:tab w:leader="none" w:pos="1078" w:val="left"/>
        </w:tabs>
        <w:numPr>
          <w:ilvl w:val="1"/>
          <w:numId w:val="8"/>
        </w:numPr>
        <w:rPr>
          <w:rFonts w:ascii="Arial" w:cs="Arial" w:eastAsia="Arial" w:hAnsi="Arial"/>
          <w:sz w:val="20"/>
          <w:szCs w:val="20"/>
          <w:color w:val="auto"/>
        </w:rPr>
      </w:pPr>
      <w:r>
        <w:rPr>
          <w:rFonts w:ascii="Arial" w:cs="Arial" w:eastAsia="Arial" w:hAnsi="Arial"/>
          <w:sz w:val="20"/>
          <w:szCs w:val="20"/>
          <w:color w:val="auto"/>
        </w:rPr>
        <w:t>This Proxy Statement and enclosed forms of Proxy (first mailed to the holders of Class A and Class C Common Stock, and to the holders of Class B and Class D Common Stock who requested to receive printed Proxy Materials, on or about April 9, 2026) are furnished in connection with the solicitation by our Board of Directors of Proxies for use at the Annual Meeting of Stockholders, or at any adjournment thereof. A Notice Regarding the Availability of Proxy Materials was first mailed to all of our other stockholders beginning on or about April 9, 2026. The Annual Meeting will be held on Wednesday, May 20, 2026, beginning at 10:00 a.m. EDT. The Annual Meeting will be accessible via live audiocast on the internet. To participate at the Annual Meeting online, please visit www.meetnow.global/MXMYPG9. For additional information on the virtual meeting review the instructions under the Q&amp;A section entitled “How can I attend and vote at the online meeting?” below. As a stockholder, you are invited to attend the Annual Meeting and are requested to vote on the items of business described in this Proxy Statement.</w:t>
      </w:r>
    </w:p>
    <w:p>
      <w:pPr>
        <w:spacing w:after="0" w:line="278" w:lineRule="exact"/>
        <w:rPr>
          <w:rFonts w:ascii="Arial" w:cs="Arial" w:eastAsia="Arial" w:hAnsi="Arial"/>
          <w:sz w:val="20"/>
          <w:szCs w:val="20"/>
          <w:color w:val="auto"/>
        </w:rPr>
      </w:pPr>
    </w:p>
    <w:p>
      <w:pPr>
        <w:ind w:left="560" w:hanging="432"/>
        <w:spacing w:after="0"/>
        <w:tabs>
          <w:tab w:leader="none" w:pos="5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Q: What is the purpose of the Annual Meeting?</w:t>
      </w:r>
    </w:p>
    <w:p>
      <w:pPr>
        <w:spacing w:after="0" w:line="96" w:lineRule="exact"/>
        <w:rPr>
          <w:rFonts w:ascii="Arial" w:cs="Arial" w:eastAsia="Arial" w:hAnsi="Arial"/>
          <w:sz w:val="20"/>
          <w:szCs w:val="20"/>
          <w:b w:val="1"/>
          <w:bCs w:val="1"/>
          <w:color w:val="auto"/>
        </w:rPr>
      </w:pPr>
    </w:p>
    <w:p>
      <w:pPr>
        <w:jc w:val="both"/>
        <w:ind w:left="1020" w:hanging="376"/>
        <w:spacing w:after="0" w:line="229" w:lineRule="auto"/>
        <w:tabs>
          <w:tab w:leader="none" w:pos="1078"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Annual Meeting is being held for the following purposes: (1) to have the holders of Class A and C Common Stock (voting together as a single class) elect one Class III director and to have the holders of Class B and Class D Common Stock (voting together as a single class) elect one Class III director, each such director to serve for a term of three years until the annual election of directors in 2029 or the election and qualification of their respective successor; (2) to conduct an advisory (nonbinding) vote to approve named executive officer compensation; (3) the ratification of the selection of PricewaterhouseCoopers LLP as our independent registered public accounting firm for the fiscal year ending December 31, 2026; (4) to act on a stockholder proposal to report votes based on UHS shareholder money at risk; (5) to act on a stockholder proposal to adopt a policy requiring Universal Health Services, Inc. to publicly disclose its workforce diversity; and (6) the transaction of such other business as may properly come before the meeting or any adjournment thereof. We will also discuss our business and be available for your comments and discussion.</w:t>
      </w:r>
    </w:p>
    <w:p>
      <w:pPr>
        <w:spacing w:after="0" w:line="284" w:lineRule="exact"/>
        <w:rPr>
          <w:rFonts w:ascii="Arial" w:cs="Arial" w:eastAsia="Arial" w:hAnsi="Arial"/>
          <w:sz w:val="20"/>
          <w:szCs w:val="20"/>
          <w:color w:val="auto"/>
        </w:rPr>
      </w:pPr>
    </w:p>
    <w:p>
      <w:pPr>
        <w:ind w:left="640" w:right="40" w:hanging="512"/>
        <w:spacing w:after="0" w:line="270" w:lineRule="auto"/>
        <w:tabs>
          <w:tab w:leader="none" w:pos="571"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Q: Why did holders of Class B and Class D Common Stock receive a notice in the mail regarding the internet availability of Proxy Materials instead of a full set of Proxy Materials?</w:t>
      </w:r>
    </w:p>
    <w:p>
      <w:pPr>
        <w:spacing w:after="0" w:line="24" w:lineRule="exact"/>
        <w:rPr>
          <w:rFonts w:ascii="Arial" w:cs="Arial" w:eastAsia="Arial" w:hAnsi="Arial"/>
          <w:sz w:val="20"/>
          <w:szCs w:val="20"/>
          <w:b w:val="1"/>
          <w:bCs w:val="1"/>
          <w:color w:val="auto"/>
        </w:rPr>
      </w:pPr>
    </w:p>
    <w:p>
      <w:pPr>
        <w:jc w:val="both"/>
        <w:ind w:left="1020" w:hanging="376"/>
        <w:spacing w:after="0" w:line="233" w:lineRule="auto"/>
        <w:tabs>
          <w:tab w:leader="none" w:pos="1078" w:val="left"/>
        </w:tabs>
        <w:numPr>
          <w:ilvl w:val="1"/>
          <w:numId w:val="8"/>
        </w:numPr>
        <w:rPr>
          <w:rFonts w:ascii="Arial" w:cs="Arial" w:eastAsia="Arial" w:hAnsi="Arial"/>
          <w:sz w:val="20"/>
          <w:szCs w:val="20"/>
          <w:color w:val="auto"/>
        </w:rPr>
      </w:pPr>
      <w:r>
        <w:rPr>
          <w:rFonts w:ascii="Arial" w:cs="Arial" w:eastAsia="Arial" w:hAnsi="Arial"/>
          <w:sz w:val="20"/>
          <w:szCs w:val="20"/>
          <w:color w:val="auto"/>
        </w:rPr>
        <w:t>In accordance with “notice and access” rules adopted by the U.S. Securities and Exchange Commission, or SEC, we may furnish Proxy Materials, including this Proxy Statement and our Annual Report to Stockholders, to our stockholders by providing access to such documents on the internet instead of mailing printed copies. Holders of Class B and Class D Common Stock will not receive printed copies of the Proxy Materials unless they request them. Instead, the Notice, which was mailed to holders of Class B and Class D Common Stock that did not request printed copies of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0005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left="1020"/>
        <w:spacing w:after="0" w:line="237" w:lineRule="auto"/>
        <w:rPr>
          <w:sz w:val="20"/>
          <w:szCs w:val="20"/>
          <w:color w:val="auto"/>
        </w:rPr>
      </w:pPr>
      <w:r>
        <w:rPr>
          <w:rFonts w:ascii="Arial" w:cs="Arial" w:eastAsia="Arial" w:hAnsi="Arial"/>
          <w:sz w:val="20"/>
          <w:szCs w:val="20"/>
          <w:color w:val="auto"/>
        </w:rPr>
        <w:t>Materials, will instruct you as to how you may access and review all of the Proxy Materials on the internet. Please visit https://www.edocumentview.com/uhs. The Notice also instructs you as to how you may submit your Proxy on the internet. If you would like to receive a paper or e-mail copy of our Proxy Materials, you should follow the instructions for requesting such materials in the Notice.</w:t>
      </w:r>
    </w:p>
    <w:p>
      <w:pPr>
        <w:spacing w:after="0" w:line="278" w:lineRule="exact"/>
        <w:rPr>
          <w:sz w:val="20"/>
          <w:szCs w:val="20"/>
          <w:color w:val="auto"/>
        </w:rPr>
      </w:pPr>
    </w:p>
    <w:p>
      <w:pPr>
        <w:ind w:left="560" w:hanging="432"/>
        <w:spacing w:after="0"/>
        <w:tabs>
          <w:tab w:leader="none" w:pos="5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Q: Who may attend the Annual Meeting?</w:t>
      </w:r>
    </w:p>
    <w:p>
      <w:pPr>
        <w:spacing w:after="0" w:line="96" w:lineRule="exact"/>
        <w:rPr>
          <w:rFonts w:ascii="Arial" w:cs="Arial" w:eastAsia="Arial" w:hAnsi="Arial"/>
          <w:sz w:val="20"/>
          <w:szCs w:val="20"/>
          <w:b w:val="1"/>
          <w:bCs w:val="1"/>
          <w:color w:val="auto"/>
        </w:rPr>
      </w:pPr>
    </w:p>
    <w:p>
      <w:pPr>
        <w:jc w:val="both"/>
        <w:ind w:left="1020" w:hanging="376"/>
        <w:spacing w:after="0" w:line="241" w:lineRule="auto"/>
        <w:tabs>
          <w:tab w:leader="none" w:pos="1078" w:val="left"/>
        </w:tabs>
        <w:numPr>
          <w:ilvl w:val="1"/>
          <w:numId w:val="9"/>
        </w:numPr>
        <w:rPr>
          <w:rFonts w:ascii="Arial" w:cs="Arial" w:eastAsia="Arial" w:hAnsi="Arial"/>
          <w:sz w:val="20"/>
          <w:szCs w:val="20"/>
          <w:color w:val="auto"/>
        </w:rPr>
      </w:pPr>
      <w:r>
        <w:rPr>
          <w:rFonts w:ascii="Arial" w:cs="Arial" w:eastAsia="Arial" w:hAnsi="Arial"/>
          <w:sz w:val="20"/>
          <w:szCs w:val="20"/>
          <w:color w:val="auto"/>
        </w:rPr>
        <w:t>All stockholders of record and registered beneficial holders as of the close of business on March 23, 2026, or their duly appointed proxies, may attend the meeting online at www.meetnow.global/MXMYPG9. For additional information on the virtual meeting review the Q&amp;A below entitled “How can I attend and vote at the online meeting?”</w:t>
      </w:r>
    </w:p>
    <w:p>
      <w:pPr>
        <w:spacing w:after="0" w:line="277" w:lineRule="exact"/>
        <w:rPr>
          <w:rFonts w:ascii="Arial" w:cs="Arial" w:eastAsia="Arial" w:hAnsi="Arial"/>
          <w:sz w:val="20"/>
          <w:szCs w:val="20"/>
          <w:color w:val="auto"/>
        </w:rPr>
      </w:pPr>
    </w:p>
    <w:p>
      <w:pPr>
        <w:ind w:left="560" w:hanging="432"/>
        <w:spacing w:after="0"/>
        <w:tabs>
          <w:tab w:leader="none" w:pos="5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Q: How can I attend and vote at the online meeting?</w:t>
      </w:r>
    </w:p>
    <w:p>
      <w:pPr>
        <w:spacing w:after="0" w:line="96" w:lineRule="exact"/>
        <w:rPr>
          <w:rFonts w:ascii="Arial" w:cs="Arial" w:eastAsia="Arial" w:hAnsi="Arial"/>
          <w:sz w:val="20"/>
          <w:szCs w:val="20"/>
          <w:b w:val="1"/>
          <w:bCs w:val="1"/>
          <w:color w:val="auto"/>
        </w:rPr>
      </w:pPr>
    </w:p>
    <w:p>
      <w:pPr>
        <w:jc w:val="both"/>
        <w:ind w:left="1020" w:hanging="376"/>
        <w:spacing w:after="0" w:line="232" w:lineRule="auto"/>
        <w:tabs>
          <w:tab w:leader="none" w:pos="1105" w:val="left"/>
        </w:tabs>
        <w:numPr>
          <w:ilvl w:val="1"/>
          <w:numId w:val="9"/>
        </w:numPr>
        <w:rPr>
          <w:rFonts w:ascii="Arial" w:cs="Arial" w:eastAsia="Arial" w:hAnsi="Arial"/>
          <w:sz w:val="20"/>
          <w:szCs w:val="20"/>
          <w:color w:val="auto"/>
        </w:rPr>
      </w:pPr>
      <w:r>
        <w:rPr>
          <w:rFonts w:ascii="Arial" w:cs="Arial" w:eastAsia="Arial" w:hAnsi="Arial"/>
          <w:sz w:val="20"/>
          <w:szCs w:val="20"/>
          <w:i w:val="1"/>
          <w:iCs w:val="1"/>
          <w:color w:val="auto"/>
        </w:rPr>
        <w:t xml:space="preserve">For registered stockholders: </w:t>
      </w:r>
      <w:r>
        <w:rPr>
          <w:rFonts w:ascii="Arial" w:cs="Arial" w:eastAsia="Arial" w:hAnsi="Arial"/>
          <w:sz w:val="20"/>
          <w:szCs w:val="20"/>
          <w:color w:val="auto"/>
        </w:rPr>
        <w:t>If on the record date your Shares were registered directly in your name with our</w:t>
      </w:r>
      <w:r>
        <w:rPr>
          <w:rFonts w:ascii="Arial" w:cs="Arial" w:eastAsia="Arial" w:hAnsi="Arial"/>
          <w:sz w:val="20"/>
          <w:szCs w:val="20"/>
          <w:i w:val="1"/>
          <w:iCs w:val="1"/>
          <w:color w:val="auto"/>
        </w:rPr>
        <w:t xml:space="preserve"> </w:t>
      </w:r>
      <w:r>
        <w:rPr>
          <w:rFonts w:ascii="Arial" w:cs="Arial" w:eastAsia="Arial" w:hAnsi="Arial"/>
          <w:sz w:val="20"/>
          <w:szCs w:val="20"/>
          <w:color w:val="auto"/>
        </w:rPr>
        <w:t>transfer agent, Computershare Trust Company, N.A. (“Computershare”), then you are a stockholder of record (also known as a “record holder”). Stockholders of record at the close of business on the record date will be able to attend the Annual Meeting online, ask a question and vote by visiting www.meetnow.global/MXMYPG9 at the meeting date and time and entering the 15-digit control number located in the shaded bar of the proxy card or notice they received. We encourage you to access the Annual Meeting prior to the start time. Online access will begin at 9:45 a.m., Eastern Time.</w:t>
      </w:r>
    </w:p>
    <w:p>
      <w:pPr>
        <w:spacing w:after="0" w:line="64" w:lineRule="exact"/>
        <w:rPr>
          <w:sz w:val="20"/>
          <w:szCs w:val="20"/>
          <w:color w:val="auto"/>
        </w:rPr>
      </w:pPr>
    </w:p>
    <w:p>
      <w:pPr>
        <w:jc w:val="both"/>
        <w:ind w:left="1020"/>
        <w:spacing w:after="0" w:line="228" w:lineRule="auto"/>
        <w:rPr>
          <w:sz w:val="20"/>
          <w:szCs w:val="20"/>
          <w:color w:val="auto"/>
        </w:rPr>
      </w:pPr>
      <w:r>
        <w:rPr>
          <w:rFonts w:ascii="Arial" w:cs="Arial" w:eastAsia="Arial" w:hAnsi="Arial"/>
          <w:sz w:val="20"/>
          <w:szCs w:val="20"/>
          <w:i w:val="1"/>
          <w:iCs w:val="1"/>
          <w:color w:val="auto"/>
        </w:rPr>
        <w:t xml:space="preserve">For beneficial owners: </w:t>
      </w:r>
      <w:r>
        <w:rPr>
          <w:rFonts w:ascii="Arial" w:cs="Arial" w:eastAsia="Arial" w:hAnsi="Arial"/>
          <w:sz w:val="20"/>
          <w:szCs w:val="20"/>
          <w:color w:val="auto"/>
        </w:rPr>
        <w:t>If on the record date your Shares were not registered directly in your name with</w:t>
      </w:r>
      <w:r>
        <w:rPr>
          <w:rFonts w:ascii="Arial" w:cs="Arial" w:eastAsia="Arial" w:hAnsi="Arial"/>
          <w:sz w:val="20"/>
          <w:szCs w:val="20"/>
          <w:i w:val="1"/>
          <w:iCs w:val="1"/>
          <w:color w:val="auto"/>
        </w:rPr>
        <w:t xml:space="preserve"> </w:t>
      </w:r>
      <w:r>
        <w:rPr>
          <w:rFonts w:ascii="Arial" w:cs="Arial" w:eastAsia="Arial" w:hAnsi="Arial"/>
          <w:sz w:val="20"/>
          <w:szCs w:val="20"/>
          <w:color w:val="auto"/>
        </w:rPr>
        <w:t>Computershare but instead held by an intermediary, such as a bank, broker or other nominee, then you are the beneficial owner of shares held in “street name”. The organization holding your account is considered to be the stockholder of record for purposes of voting at the Annual Meeting. As a beneficial owner, you must register in advance to attend the Annual Meeting, vote and submit questions. To register in advance you will need to obtain a legal proxy from the bank, broker or other nominee that holds your Shares giving you the right to vote the Shares. Once you have received a legal proxy form from your bank, broker or other nominee, forward the email with your name and the legal proxy attached or send a separate email with your name and legal proxy attached labeled “Legal Proxy” in the subject line to Computershare, at legalproxy@computershare.com. Requests for registration must be received no later than 5:00 p.m., Eastern Time, on May 15, 2026. You will then receive a confirmation of your registration, with a control number, by email from Computershare. At the time of the meeting, go to www.meetnow.global/MXMYPG9 and enter your control number. If you do not have your control number you may attend as a guest (non-stockholder) by going to www.meetnow.global/MXMYPG9, clicking on the “Guest” link and entering the requested information. Please note that guest access is in listen-only mode and you will not have the ability to ask questions or vote during the Annual Meeting.</w:t>
      </w:r>
    </w:p>
    <w:p>
      <w:pPr>
        <w:spacing w:after="0" w:line="285" w:lineRule="exact"/>
        <w:rPr>
          <w:sz w:val="20"/>
          <w:szCs w:val="20"/>
          <w:color w:val="auto"/>
        </w:rPr>
      </w:pPr>
    </w:p>
    <w:p>
      <w:pPr>
        <w:ind w:left="560" w:hanging="432"/>
        <w:spacing w:after="0"/>
        <w:tabs>
          <w:tab w:leader="none" w:pos="5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Q: Do I need to register to attend the Annual Meeting virtually?</w:t>
      </w:r>
    </w:p>
    <w:p>
      <w:pPr>
        <w:spacing w:after="0" w:line="96" w:lineRule="exact"/>
        <w:rPr>
          <w:rFonts w:ascii="Arial" w:cs="Arial" w:eastAsia="Arial" w:hAnsi="Arial"/>
          <w:sz w:val="20"/>
          <w:szCs w:val="20"/>
          <w:b w:val="1"/>
          <w:bCs w:val="1"/>
          <w:color w:val="auto"/>
        </w:rPr>
      </w:pPr>
    </w:p>
    <w:p>
      <w:pPr>
        <w:jc w:val="both"/>
        <w:ind w:left="1020" w:hanging="376"/>
        <w:spacing w:after="0" w:line="243" w:lineRule="auto"/>
        <w:tabs>
          <w:tab w:leader="none" w:pos="1078" w:val="left"/>
        </w:tabs>
        <w:numPr>
          <w:ilvl w:val="1"/>
          <w:numId w:val="10"/>
        </w:numPr>
        <w:rPr>
          <w:rFonts w:ascii="Arial" w:cs="Arial" w:eastAsia="Arial" w:hAnsi="Arial"/>
          <w:sz w:val="19"/>
          <w:szCs w:val="19"/>
          <w:color w:val="auto"/>
        </w:rPr>
      </w:pPr>
      <w:r>
        <w:rPr>
          <w:rFonts w:ascii="Arial" w:cs="Arial" w:eastAsia="Arial" w:hAnsi="Arial"/>
          <w:sz w:val="19"/>
          <w:szCs w:val="19"/>
          <w:color w:val="auto"/>
        </w:rPr>
        <w:t>Registration is only required if you are a beneficial owner. Beneficial holders may register as set forth above or they may register at the Annual Meeting using the control number received with their voting information form. Beginning in the 2021 proxy season, an industry solution was agreed upon to allow beneficial holders to register online at the Annual Meeting to attend and ask questions. We expect that the vast majority of beneficial holders will be able to fully participate using the control number received with their voting instruction form. Please note, however, that this option is intended to be provided as a convenience to beneficial holders only, and there is no guarantee this option will be available for every type of beneficial holder voting control number. The inability to provide this option to any or all beneficial holders shall in no way impact the validity of the Annual Meeting. Beneficial holders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ind w:left="9260"/>
        <w:spacing w:after="0"/>
        <w:rPr>
          <w:sz w:val="20"/>
          <w:szCs w:val="20"/>
          <w:color w:val="auto"/>
        </w:rPr>
      </w:pPr>
      <w:r>
        <w:rPr>
          <w:rFonts w:ascii="Arial" w:cs="Arial" w:eastAsia="Arial" w:hAnsi="Arial"/>
          <w:sz w:val="16"/>
          <w:szCs w:val="16"/>
          <w:b w:val="1"/>
          <w:bCs w:val="1"/>
          <w:color w:val="00005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left="900"/>
        <w:spacing w:after="0" w:line="248" w:lineRule="auto"/>
        <w:rPr>
          <w:sz w:val="20"/>
          <w:szCs w:val="20"/>
          <w:color w:val="auto"/>
        </w:rPr>
      </w:pPr>
      <w:r>
        <w:rPr>
          <w:rFonts w:ascii="Arial" w:cs="Arial" w:eastAsia="Arial" w:hAnsi="Arial"/>
          <w:sz w:val="19"/>
          <w:szCs w:val="19"/>
          <w:color w:val="auto"/>
        </w:rPr>
        <w:t>choose the Register in Advance of the Annual Meeting option above, if they prefer to use this traditional, legal proxy option set forth in #5 above and have the ability to vote. In any event, please go to www.meetnow.global/MXMYPG9 for more information on the available attendance options and registration instructions. The online meeting will begin promptly at 10:00 a.m., EDT. We encourage you to access the meeting prior to the start time leaving ample time for the check in. Please follow the registration instructions as outlined in this proxy statement.</w:t>
      </w:r>
    </w:p>
    <w:p>
      <w:pPr>
        <w:spacing w:after="0" w:line="273"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Q: What if I have trouble accessing the Annual Meeting virtually?</w:t>
      </w:r>
    </w:p>
    <w:p>
      <w:pPr>
        <w:spacing w:after="0" w:line="96" w:lineRule="exact"/>
        <w:rPr>
          <w:rFonts w:ascii="Arial" w:cs="Arial" w:eastAsia="Arial" w:hAnsi="Arial"/>
          <w:sz w:val="20"/>
          <w:szCs w:val="20"/>
          <w:b w:val="1"/>
          <w:bCs w:val="1"/>
          <w:color w:val="auto"/>
        </w:rPr>
      </w:pPr>
    </w:p>
    <w:p>
      <w:pPr>
        <w:jc w:val="both"/>
        <w:ind w:left="900" w:hanging="376"/>
        <w:spacing w:after="0" w:line="234" w:lineRule="auto"/>
        <w:tabs>
          <w:tab w:leader="none" w:pos="958"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virtual meeting platform is fully supported across browsers (MS Edge, Firefox, Chrome and Safari) and devices (desktops, laptops, tablets and cell phones) running the most up-to-date version of applicable software and plugins. Participants should ensure that they have a strong Wi-Fi connection wherever they intend to participate in the meeting. We encourage you to access the meeting prior to the start time. A link on the meeting page will provide further assistance should you need it, or you may call 1-888-724-2416.</w:t>
      </w:r>
    </w:p>
    <w:p>
      <w:pPr>
        <w:spacing w:after="0" w:line="280" w:lineRule="exact"/>
        <w:rPr>
          <w:rFonts w:ascii="Arial" w:cs="Arial" w:eastAsia="Arial" w:hAnsi="Arial"/>
          <w:sz w:val="20"/>
          <w:szCs w:val="20"/>
          <w:color w:val="auto"/>
        </w:rPr>
      </w:pPr>
    </w:p>
    <w:p>
      <w:pPr>
        <w:ind w:left="360" w:hanging="352"/>
        <w:spacing w:after="0"/>
        <w:tabs>
          <w:tab w:leader="none" w:pos="3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Q: Who is entitled to vote at the Annual Meeting?</w:t>
      </w:r>
    </w:p>
    <w:p>
      <w:pPr>
        <w:spacing w:after="0" w:line="96" w:lineRule="exact"/>
        <w:rPr>
          <w:rFonts w:ascii="Arial" w:cs="Arial" w:eastAsia="Arial" w:hAnsi="Arial"/>
          <w:sz w:val="20"/>
          <w:szCs w:val="20"/>
          <w:b w:val="1"/>
          <w:bCs w:val="1"/>
          <w:color w:val="auto"/>
        </w:rPr>
      </w:pPr>
    </w:p>
    <w:p>
      <w:pPr>
        <w:jc w:val="both"/>
        <w:ind w:left="900" w:hanging="376"/>
        <w:spacing w:after="0" w:line="237" w:lineRule="auto"/>
        <w:tabs>
          <w:tab w:leader="none" w:pos="958" w:val="left"/>
        </w:tabs>
        <w:numPr>
          <w:ilvl w:val="1"/>
          <w:numId w:val="11"/>
        </w:numPr>
        <w:rPr>
          <w:rFonts w:ascii="Arial" w:cs="Arial" w:eastAsia="Arial" w:hAnsi="Arial"/>
          <w:sz w:val="20"/>
          <w:szCs w:val="20"/>
          <w:color w:val="auto"/>
        </w:rPr>
      </w:pPr>
      <w:r>
        <w:rPr>
          <w:rFonts w:ascii="Arial" w:cs="Arial" w:eastAsia="Arial" w:hAnsi="Arial"/>
          <w:sz w:val="20"/>
          <w:szCs w:val="20"/>
          <w:color w:val="auto"/>
        </w:rPr>
        <w:t>Only stockholders as of the close of business on March 23, 2026 are entitled to vote at the Annual Meeting. On that date, 6,574,600 shares of Class A Common Stock, par value $.01 per share, 661,688 shares of Class C Common Stock, par value $.01 per share, 53,780,983 shares of Class B Common Stock, par value $.01 per share, and 12,457 shares of Class D Common Stock, par value $.01 per share, were outstanding.</w:t>
      </w:r>
    </w:p>
    <w:p>
      <w:pPr>
        <w:spacing w:after="0" w:line="277" w:lineRule="exact"/>
        <w:rPr>
          <w:rFonts w:ascii="Arial" w:cs="Arial" w:eastAsia="Arial" w:hAnsi="Arial"/>
          <w:sz w:val="20"/>
          <w:szCs w:val="20"/>
          <w:color w:val="auto"/>
        </w:rPr>
      </w:pPr>
    </w:p>
    <w:p>
      <w:pPr>
        <w:ind w:left="440" w:hanging="432"/>
        <w:spacing w:after="0"/>
        <w:tabs>
          <w:tab w:leader="none" w:pos="4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Q: Who is soliciting my vote?</w:t>
      </w:r>
    </w:p>
    <w:p>
      <w:pPr>
        <w:spacing w:after="0" w:line="96" w:lineRule="exact"/>
        <w:rPr>
          <w:rFonts w:ascii="Arial" w:cs="Arial" w:eastAsia="Arial" w:hAnsi="Arial"/>
          <w:sz w:val="20"/>
          <w:szCs w:val="20"/>
          <w:b w:val="1"/>
          <w:bCs w:val="1"/>
          <w:color w:val="auto"/>
        </w:rPr>
      </w:pPr>
    </w:p>
    <w:p>
      <w:pPr>
        <w:jc w:val="both"/>
        <w:ind w:left="900" w:hanging="376"/>
        <w:spacing w:after="0" w:line="232" w:lineRule="auto"/>
        <w:tabs>
          <w:tab w:leader="none" w:pos="958"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principal solicitation of Proxies is being made by the Board of Directors by mail. Certain of our officers, directors and employees, none of whom will receive additional compensation therefor, may solicit Proxies by telephone or other personal contact. We will bear the cost of the solicitation of the Proxies, including postage, printing and handling and will reimburse the reasonable expenses of brokerage firms and others for forwarding material to beneficial owners of shares. We have not engaged any third party to assist us in solicitation of proxies at the Annual Meeting, but we may decide to retain the services of a proxy solicitation firm in the future if we believe it is appropriate under the circumstances.</w:t>
      </w:r>
    </w:p>
    <w:p>
      <w:pPr>
        <w:spacing w:after="0" w:line="277" w:lineRule="exact"/>
        <w:rPr>
          <w:rFonts w:ascii="Arial" w:cs="Arial" w:eastAsia="Arial" w:hAnsi="Arial"/>
          <w:sz w:val="20"/>
          <w:szCs w:val="20"/>
          <w:color w:val="auto"/>
        </w:rPr>
      </w:pPr>
    </w:p>
    <w:p>
      <w:pPr>
        <w:ind w:left="440" w:hanging="432"/>
        <w:spacing w:after="0"/>
        <w:tabs>
          <w:tab w:leader="none" w:pos="4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Q: What items of business will be voted on at the Annual Meeting?</w:t>
      </w:r>
    </w:p>
    <w:p>
      <w:pPr>
        <w:spacing w:after="0" w:line="96" w:lineRule="exact"/>
        <w:rPr>
          <w:rFonts w:ascii="Arial" w:cs="Arial" w:eastAsia="Arial" w:hAnsi="Arial"/>
          <w:sz w:val="20"/>
          <w:szCs w:val="20"/>
          <w:b w:val="1"/>
          <w:bCs w:val="1"/>
          <w:color w:val="auto"/>
        </w:rPr>
      </w:pPr>
    </w:p>
    <w:p>
      <w:pPr>
        <w:jc w:val="both"/>
        <w:ind w:left="900" w:hanging="376"/>
        <w:spacing w:after="0" w:line="230" w:lineRule="auto"/>
        <w:tabs>
          <w:tab w:leader="none" w:pos="958"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holders of Class A and C Common Stock (voting together as a single class) will elect one Class III director and the holders of Class B and D Common Stock (voting together as a single class) will elect one Class III director, each such director to serve for a term of three years until the annual election of directors in 2029 or the election and qualification of their respective successor. The holders of Class A, Class C, Class B and Class D Common Stock (voting together as a single class) will vote on the following matters: an advisory (nonbinding) vote to approve named executive officer compensation, the ratification of the selection of PricewaterhouseCoopers LLP as our independent registered public accounting firm for the fiscal year ending December 31, 2026, a stockholder proposal to report votes based on UHS shareholder money at risk, and a stockholder proposal to adopt a policy requiring Universal Health Services, Inc. to publicly disclose its workforce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616585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7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0005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11.  Q: How does the Board of Directors recommend that I vote?</w:t>
      </w:r>
    </w:p>
    <w:p>
      <w:pPr>
        <w:spacing w:after="0" w:line="96" w:lineRule="exact"/>
        <w:rPr>
          <w:sz w:val="20"/>
          <w:szCs w:val="20"/>
          <w:color w:val="auto"/>
        </w:rPr>
      </w:pPr>
    </w:p>
    <w:p>
      <w:pPr>
        <w:ind w:left="1020" w:right="20" w:hanging="376"/>
        <w:spacing w:after="0" w:line="257" w:lineRule="auto"/>
        <w:tabs>
          <w:tab w:leader="none" w:pos="10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Board of Directors recommends that holders of Class A and Class C Common Stock and Class B and Class D Common Stock vote shares “FOR” the election of the respective nominees to the Board of Directors (Proposal 1).</w:t>
      </w:r>
    </w:p>
    <w:p>
      <w:pPr>
        <w:spacing w:after="0" w:line="47" w:lineRule="exact"/>
        <w:rPr>
          <w:sz w:val="20"/>
          <w:szCs w:val="20"/>
          <w:color w:val="auto"/>
        </w:rPr>
      </w:pPr>
    </w:p>
    <w:p>
      <w:pPr>
        <w:jc w:val="both"/>
        <w:ind w:left="1020" w:right="20"/>
        <w:spacing w:after="0" w:line="257" w:lineRule="auto"/>
        <w:rPr>
          <w:sz w:val="20"/>
          <w:szCs w:val="20"/>
          <w:color w:val="auto"/>
        </w:rPr>
      </w:pPr>
      <w:r>
        <w:rPr>
          <w:rFonts w:ascii="Arial" w:cs="Arial" w:eastAsia="Arial" w:hAnsi="Arial"/>
          <w:sz w:val="20"/>
          <w:szCs w:val="20"/>
          <w:color w:val="auto"/>
        </w:rPr>
        <w:t>The Board of Directors recommends that holders of Class A, Class C, Class B, and Class D Common Stock vote shares "FOR" the advisory (nonbinding) vote to approve named executive officer compensation (Proposal 2).</w:t>
      </w:r>
    </w:p>
    <w:p>
      <w:pPr>
        <w:spacing w:after="0" w:line="47" w:lineRule="exact"/>
        <w:rPr>
          <w:sz w:val="20"/>
          <w:szCs w:val="20"/>
          <w:color w:val="auto"/>
        </w:rPr>
      </w:pPr>
    </w:p>
    <w:p>
      <w:pPr>
        <w:jc w:val="both"/>
        <w:ind w:left="1020"/>
        <w:spacing w:after="0" w:line="241" w:lineRule="auto"/>
        <w:rPr>
          <w:sz w:val="20"/>
          <w:szCs w:val="20"/>
          <w:color w:val="auto"/>
        </w:rPr>
      </w:pPr>
      <w:r>
        <w:rPr>
          <w:rFonts w:ascii="Arial" w:cs="Arial" w:eastAsia="Arial" w:hAnsi="Arial"/>
          <w:sz w:val="20"/>
          <w:szCs w:val="20"/>
          <w:color w:val="auto"/>
        </w:rPr>
        <w:t>The Board of Directors recommends that holders of Class A, Class C, Class B and Class D Common Stock vote shares “FOR” the ratification of the selection of PricewaterhouseCoopers LLP as the Company’s independent registered public accounting firm for the fiscal year ending December 31, 2026 (Proposal 3).</w:t>
      </w:r>
    </w:p>
    <w:p>
      <w:pPr>
        <w:spacing w:after="0" w:line="63" w:lineRule="exact"/>
        <w:rPr>
          <w:sz w:val="20"/>
          <w:szCs w:val="20"/>
          <w:color w:val="auto"/>
        </w:rPr>
      </w:pPr>
    </w:p>
    <w:p>
      <w:pPr>
        <w:jc w:val="both"/>
        <w:ind w:left="1020" w:right="20"/>
        <w:spacing w:after="0" w:line="257" w:lineRule="auto"/>
        <w:rPr>
          <w:sz w:val="20"/>
          <w:szCs w:val="20"/>
          <w:color w:val="auto"/>
        </w:rPr>
      </w:pPr>
      <w:r>
        <w:rPr>
          <w:rFonts w:ascii="Arial" w:cs="Arial" w:eastAsia="Arial" w:hAnsi="Arial"/>
          <w:sz w:val="20"/>
          <w:szCs w:val="20"/>
          <w:color w:val="auto"/>
        </w:rPr>
        <w:t>The Board of Directors recommends that holders of Class A, Class C, Class B, and Class D Common Stock vote shares "AGAINST" the stockholder proposal to report votes based on UHS shareholder money at risk (Proposal 4).</w:t>
      </w:r>
    </w:p>
    <w:p>
      <w:pPr>
        <w:spacing w:after="0" w:line="47" w:lineRule="exact"/>
        <w:rPr>
          <w:sz w:val="20"/>
          <w:szCs w:val="20"/>
          <w:color w:val="auto"/>
        </w:rPr>
      </w:pPr>
    </w:p>
    <w:p>
      <w:pPr>
        <w:jc w:val="both"/>
        <w:ind w:left="1020"/>
        <w:spacing w:after="0" w:line="241" w:lineRule="auto"/>
        <w:rPr>
          <w:sz w:val="20"/>
          <w:szCs w:val="20"/>
          <w:color w:val="auto"/>
        </w:rPr>
      </w:pPr>
      <w:r>
        <w:rPr>
          <w:rFonts w:ascii="Arial" w:cs="Arial" w:eastAsia="Arial" w:hAnsi="Arial"/>
          <w:sz w:val="20"/>
          <w:szCs w:val="20"/>
          <w:color w:val="auto"/>
        </w:rPr>
        <w:t>The Board of Directors recommends that holders of Class A, Class C, Class B, and Class D Common Stock vote shares "AGAINST" the stockholder proposal to adopt a policy requiring Universal Health Services, Inc. to publicly disclose its workforce diversity (Proposal 5).</w:t>
      </w:r>
    </w:p>
    <w:p>
      <w:pPr>
        <w:spacing w:after="0" w:line="277" w:lineRule="exact"/>
        <w:rPr>
          <w:sz w:val="20"/>
          <w:szCs w:val="20"/>
          <w:color w:val="auto"/>
        </w:rPr>
      </w:pPr>
    </w:p>
    <w:p>
      <w:pPr>
        <w:ind w:left="560" w:hanging="432"/>
        <w:spacing w:after="0"/>
        <w:tabs>
          <w:tab w:leader="none" w:pos="5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Q: How will voting on any other business be conducted?</w:t>
      </w:r>
    </w:p>
    <w:p>
      <w:pPr>
        <w:spacing w:after="0" w:line="96" w:lineRule="exact"/>
        <w:rPr>
          <w:rFonts w:ascii="Arial" w:cs="Arial" w:eastAsia="Arial" w:hAnsi="Arial"/>
          <w:sz w:val="20"/>
          <w:szCs w:val="20"/>
          <w:b w:val="1"/>
          <w:bCs w:val="1"/>
          <w:color w:val="auto"/>
        </w:rPr>
      </w:pPr>
    </w:p>
    <w:p>
      <w:pPr>
        <w:jc w:val="both"/>
        <w:ind w:left="1020" w:hanging="376"/>
        <w:spacing w:after="0" w:line="237" w:lineRule="auto"/>
        <w:tabs>
          <w:tab w:leader="none" w:pos="1078" w:val="left"/>
        </w:tabs>
        <w:numPr>
          <w:ilvl w:val="1"/>
          <w:numId w:val="13"/>
        </w:numPr>
        <w:rPr>
          <w:rFonts w:ascii="Arial" w:cs="Arial" w:eastAsia="Arial" w:hAnsi="Arial"/>
          <w:sz w:val="20"/>
          <w:szCs w:val="20"/>
          <w:color w:val="auto"/>
        </w:rPr>
      </w:pPr>
      <w:r>
        <w:rPr>
          <w:rFonts w:ascii="Arial" w:cs="Arial" w:eastAsia="Arial" w:hAnsi="Arial"/>
          <w:sz w:val="20"/>
          <w:szCs w:val="20"/>
          <w:color w:val="auto"/>
        </w:rPr>
        <w:t>Other than the items of business described in this Proxy Statement, we know of no other business to be presented for action at the Annual Meeting. As for any business that may properly come before the Annual Meeting, your signed Proxy gives authority to the persons named therein. Those persons may vote on such matters at their discretion and will use their best judgment with respect thereto.</w:t>
      </w:r>
    </w:p>
    <w:p>
      <w:pPr>
        <w:spacing w:after="0" w:line="277" w:lineRule="exact"/>
        <w:rPr>
          <w:rFonts w:ascii="Arial" w:cs="Arial" w:eastAsia="Arial" w:hAnsi="Arial"/>
          <w:sz w:val="20"/>
          <w:szCs w:val="20"/>
          <w:color w:val="auto"/>
        </w:rPr>
      </w:pPr>
    </w:p>
    <w:p>
      <w:pPr>
        <w:ind w:left="560" w:hanging="432"/>
        <w:spacing w:after="0"/>
        <w:tabs>
          <w:tab w:leader="none" w:pos="5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Q: What is the difference between a “stockholder of record” and a “street name” holder?</w:t>
      </w:r>
    </w:p>
    <w:p>
      <w:pPr>
        <w:spacing w:after="0" w:line="96" w:lineRule="exact"/>
        <w:rPr>
          <w:rFonts w:ascii="Arial" w:cs="Arial" w:eastAsia="Arial" w:hAnsi="Arial"/>
          <w:sz w:val="20"/>
          <w:szCs w:val="20"/>
          <w:b w:val="1"/>
          <w:bCs w:val="1"/>
          <w:color w:val="auto"/>
        </w:rPr>
      </w:pPr>
    </w:p>
    <w:p>
      <w:pPr>
        <w:jc w:val="both"/>
        <w:ind w:left="1020" w:hanging="376"/>
        <w:spacing w:after="0" w:line="241" w:lineRule="auto"/>
        <w:tabs>
          <w:tab w:leader="none" w:pos="1078"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These terms describe how your shares are held. If your shares are registered directly in your name with Computershare, our transfer agent, you are a “stockholder of record.” If your shares are held in the name of a brokerage, bank, trust or other nominee as a custodian, you are a “street name” holder.</w:t>
      </w:r>
    </w:p>
    <w:p>
      <w:pPr>
        <w:spacing w:after="0" w:line="277" w:lineRule="exact"/>
        <w:rPr>
          <w:rFonts w:ascii="Arial" w:cs="Arial" w:eastAsia="Arial" w:hAnsi="Arial"/>
          <w:sz w:val="20"/>
          <w:szCs w:val="20"/>
          <w:color w:val="auto"/>
        </w:rPr>
      </w:pPr>
    </w:p>
    <w:p>
      <w:pPr>
        <w:ind w:left="560" w:hanging="432"/>
        <w:spacing w:after="0"/>
        <w:tabs>
          <w:tab w:leader="none" w:pos="5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Q: How do I vote my shares if I am a stockholder of record?</w:t>
      </w:r>
    </w:p>
    <w:p>
      <w:pPr>
        <w:spacing w:after="0" w:line="96" w:lineRule="exact"/>
        <w:rPr>
          <w:rFonts w:ascii="Arial" w:cs="Arial" w:eastAsia="Arial" w:hAnsi="Arial"/>
          <w:sz w:val="20"/>
          <w:szCs w:val="20"/>
          <w:b w:val="1"/>
          <w:bCs w:val="1"/>
          <w:color w:val="auto"/>
        </w:rPr>
      </w:pPr>
    </w:p>
    <w:p>
      <w:pPr>
        <w:jc w:val="both"/>
        <w:ind w:left="1020" w:hanging="376"/>
        <w:spacing w:after="0" w:line="232" w:lineRule="auto"/>
        <w:tabs>
          <w:tab w:leader="none" w:pos="1078" w:val="left"/>
        </w:tabs>
        <w:numPr>
          <w:ilvl w:val="1"/>
          <w:numId w:val="13"/>
        </w:numPr>
        <w:rPr>
          <w:rFonts w:ascii="Arial" w:cs="Arial" w:eastAsia="Arial" w:hAnsi="Arial"/>
          <w:sz w:val="20"/>
          <w:szCs w:val="20"/>
          <w:color w:val="auto"/>
        </w:rPr>
      </w:pPr>
      <w:r>
        <w:rPr>
          <w:rFonts w:ascii="Arial" w:cs="Arial" w:eastAsia="Arial" w:hAnsi="Arial"/>
          <w:sz w:val="20"/>
          <w:szCs w:val="20"/>
          <w:color w:val="auto"/>
        </w:rPr>
        <w:t>A separate form of Proxy applies to our Class A and Class C Common Stock and a separate form of Proxy applies to our Class B and Class D Common Stock. For specific instructions on how to vote your shares, please refer to the instructions on the Notice Regarding the Availability of Proxy Materials you received in the mail or, if you received printed Proxy Materials, your enclosed Proxy card. If you received printed Proxy Materials, enclosed is a Proxy card for the shares of stock held by you on the record date. If you received printed Proxy Materials, you may vote by signing and dating each Proxy card you receive and returning it in the enclosed prepaid envelope, or you may vote by telephone or internet.</w:t>
      </w:r>
    </w:p>
    <w:p>
      <w:pPr>
        <w:spacing w:after="0" w:line="64" w:lineRule="exact"/>
        <w:rPr>
          <w:sz w:val="20"/>
          <w:szCs w:val="20"/>
          <w:color w:val="auto"/>
        </w:rPr>
      </w:pPr>
    </w:p>
    <w:p>
      <w:pPr>
        <w:jc w:val="both"/>
        <w:ind w:left="1020"/>
        <w:spacing w:after="0" w:line="233" w:lineRule="auto"/>
        <w:rPr>
          <w:sz w:val="20"/>
          <w:szCs w:val="20"/>
          <w:color w:val="auto"/>
        </w:rPr>
      </w:pPr>
      <w:r>
        <w:rPr>
          <w:rFonts w:ascii="Arial" w:cs="Arial" w:eastAsia="Arial" w:hAnsi="Arial"/>
          <w:sz w:val="20"/>
          <w:szCs w:val="20"/>
          <w:color w:val="auto"/>
        </w:rPr>
        <w:t>Unless otherwise indicated on the Proxy, shares represented by any Proxy will, if the Proxy is properly executed and received by us prior to the Annual Meeting, be voted “FOR” each of the nominees for director, "FOR" the advisory (nonbinding) vote to approve named executive officer compensation, “FOR” the ratification of the selection of PricewaterhouseCoopers LLP as our independent registered public accounting firm for the fiscal year ending December 31, 2026, "AGAINST" the stockholder proposal to report votes based on UHS shareholder money as risk, and "AGAINST" the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 w:name="page8"/>
    <w:bookmarkEnd w:id="7"/>
    <w:p>
      <w:pPr>
        <w:ind w:left="9260"/>
        <w:spacing w:after="0"/>
        <w:rPr>
          <w:sz w:val="20"/>
          <w:szCs w:val="20"/>
          <w:color w:val="auto"/>
        </w:rPr>
      </w:pPr>
      <w:r>
        <w:rPr>
          <w:rFonts w:ascii="Arial" w:cs="Arial" w:eastAsia="Arial" w:hAnsi="Arial"/>
          <w:sz w:val="16"/>
          <w:szCs w:val="16"/>
          <w:b w:val="1"/>
          <w:bCs w:val="1"/>
          <w:color w:val="00005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proposal to adopt a policy requiring Universal Health Services, Inc. to publicly disclose its workforce diversity.</w:t>
      </w:r>
    </w:p>
    <w:p>
      <w:pPr>
        <w:spacing w:after="0" w:line="308"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Q: How do I vote by telephone or electronically?</w:t>
      </w:r>
    </w:p>
    <w:p>
      <w:pPr>
        <w:spacing w:after="0" w:line="96" w:lineRule="exact"/>
        <w:rPr>
          <w:rFonts w:ascii="Arial" w:cs="Arial" w:eastAsia="Arial" w:hAnsi="Arial"/>
          <w:sz w:val="20"/>
          <w:szCs w:val="20"/>
          <w:b w:val="1"/>
          <w:bCs w:val="1"/>
          <w:color w:val="auto"/>
        </w:rPr>
      </w:pPr>
    </w:p>
    <w:p>
      <w:pPr>
        <w:jc w:val="both"/>
        <w:ind w:left="900" w:hanging="376"/>
        <w:spacing w:after="0" w:line="234" w:lineRule="auto"/>
        <w:tabs>
          <w:tab w:leader="none" w:pos="958" w:val="left"/>
        </w:tabs>
        <w:numPr>
          <w:ilvl w:val="1"/>
          <w:numId w:val="14"/>
        </w:numPr>
        <w:rPr>
          <w:rFonts w:ascii="Arial" w:cs="Arial" w:eastAsia="Arial" w:hAnsi="Arial"/>
          <w:sz w:val="20"/>
          <w:szCs w:val="20"/>
          <w:color w:val="auto"/>
        </w:rPr>
      </w:pPr>
      <w:r>
        <w:rPr>
          <w:rFonts w:ascii="Arial" w:cs="Arial" w:eastAsia="Arial" w:hAnsi="Arial"/>
          <w:sz w:val="20"/>
          <w:szCs w:val="20"/>
          <w:color w:val="auto"/>
        </w:rPr>
        <w:t>Instead of submitting your vote by mail on the enclosed Proxy card (if you received printed Proxy Materials), your vote can be submitted by telephone or electronically, via the internet. Please refer to the specific instructions set forth on the Notice Regarding the Availability of Proxy Materials or, if you received printed Proxy Materials, on the enclosed Proxy card. For security reasons, our electronic voting system has been designed to authenticate your identity as a stockholder.</w:t>
      </w:r>
    </w:p>
    <w:p>
      <w:pPr>
        <w:spacing w:after="0" w:line="280" w:lineRule="exact"/>
        <w:rPr>
          <w:rFonts w:ascii="Arial" w:cs="Arial" w:eastAsia="Arial" w:hAnsi="Arial"/>
          <w:sz w:val="20"/>
          <w:szCs w:val="20"/>
          <w:color w:val="auto"/>
        </w:rPr>
      </w:pPr>
    </w:p>
    <w:p>
      <w:pPr>
        <w:ind w:left="440" w:hanging="432"/>
        <w:spacing w:after="0"/>
        <w:tabs>
          <w:tab w:leader="none" w:pos="4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Q: How do I vote my shares if they are held in street name?</w:t>
      </w:r>
    </w:p>
    <w:p>
      <w:pPr>
        <w:spacing w:after="0" w:line="96" w:lineRule="exact"/>
        <w:rPr>
          <w:rFonts w:ascii="Arial" w:cs="Arial" w:eastAsia="Arial" w:hAnsi="Arial"/>
          <w:sz w:val="20"/>
          <w:szCs w:val="20"/>
          <w:b w:val="1"/>
          <w:bCs w:val="1"/>
          <w:color w:val="auto"/>
        </w:rPr>
      </w:pPr>
    </w:p>
    <w:p>
      <w:pPr>
        <w:ind w:left="900" w:right="20" w:hanging="376"/>
        <w:spacing w:after="0" w:line="257" w:lineRule="auto"/>
        <w:tabs>
          <w:tab w:leader="none" w:pos="958" w:val="left"/>
        </w:tabs>
        <w:numPr>
          <w:ilvl w:val="1"/>
          <w:numId w:val="14"/>
        </w:numPr>
        <w:rPr>
          <w:rFonts w:ascii="Arial" w:cs="Arial" w:eastAsia="Arial" w:hAnsi="Arial"/>
          <w:sz w:val="20"/>
          <w:szCs w:val="20"/>
          <w:color w:val="auto"/>
        </w:rPr>
      </w:pPr>
      <w:r>
        <w:rPr>
          <w:rFonts w:ascii="Arial" w:cs="Arial" w:eastAsia="Arial" w:hAnsi="Arial"/>
          <w:sz w:val="20"/>
          <w:szCs w:val="20"/>
          <w:color w:val="auto"/>
        </w:rPr>
        <w:t>If your shares are held in street name, your broker or other nominee will provide you with a form seeking instruction on how your shares should be voted.</w:t>
      </w:r>
    </w:p>
    <w:p>
      <w:pPr>
        <w:spacing w:after="0" w:line="261" w:lineRule="exact"/>
        <w:rPr>
          <w:rFonts w:ascii="Arial" w:cs="Arial" w:eastAsia="Arial" w:hAnsi="Arial"/>
          <w:sz w:val="20"/>
          <w:szCs w:val="20"/>
          <w:color w:val="auto"/>
        </w:rPr>
      </w:pPr>
    </w:p>
    <w:p>
      <w:pPr>
        <w:ind w:left="440" w:hanging="432"/>
        <w:spacing w:after="0"/>
        <w:tabs>
          <w:tab w:leader="none" w:pos="4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Q: Can I change or revoke my vote?</w:t>
      </w:r>
    </w:p>
    <w:p>
      <w:pPr>
        <w:spacing w:after="0" w:line="96" w:lineRule="exact"/>
        <w:rPr>
          <w:rFonts w:ascii="Arial" w:cs="Arial" w:eastAsia="Arial" w:hAnsi="Arial"/>
          <w:sz w:val="20"/>
          <w:szCs w:val="20"/>
          <w:b w:val="1"/>
          <w:bCs w:val="1"/>
          <w:color w:val="auto"/>
        </w:rPr>
      </w:pPr>
    </w:p>
    <w:p>
      <w:pPr>
        <w:jc w:val="both"/>
        <w:ind w:left="900" w:hanging="376"/>
        <w:spacing w:after="0" w:line="241" w:lineRule="auto"/>
        <w:tabs>
          <w:tab w:leader="none" w:pos="958" w:val="left"/>
        </w:tabs>
        <w:numPr>
          <w:ilvl w:val="1"/>
          <w:numId w:val="14"/>
        </w:numPr>
        <w:rPr>
          <w:rFonts w:ascii="Arial" w:cs="Arial" w:eastAsia="Arial" w:hAnsi="Arial"/>
          <w:sz w:val="20"/>
          <w:szCs w:val="20"/>
          <w:color w:val="auto"/>
        </w:rPr>
      </w:pPr>
      <w:r>
        <w:rPr>
          <w:rFonts w:ascii="Arial" w:cs="Arial" w:eastAsia="Arial" w:hAnsi="Arial"/>
          <w:sz w:val="20"/>
          <w:szCs w:val="20"/>
          <w:color w:val="auto"/>
        </w:rPr>
        <w:t>Yes. Any Proxy executed and returned to us is revocable by delivering a later signed and dated Proxy or other written notice to our Secretary at any time prior to its exercise. Your Proxy is also subject to revocation by attending the meeting and voting online.</w:t>
      </w:r>
    </w:p>
    <w:p>
      <w:pPr>
        <w:spacing w:after="0" w:line="277" w:lineRule="exact"/>
        <w:rPr>
          <w:rFonts w:ascii="Arial" w:cs="Arial" w:eastAsia="Arial" w:hAnsi="Arial"/>
          <w:sz w:val="20"/>
          <w:szCs w:val="20"/>
          <w:color w:val="auto"/>
        </w:rPr>
      </w:pPr>
    </w:p>
    <w:p>
      <w:pPr>
        <w:ind w:left="440" w:hanging="432"/>
        <w:spacing w:after="0"/>
        <w:tabs>
          <w:tab w:leader="none" w:pos="4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Q: How do I vote during the meeting?</w:t>
      </w:r>
    </w:p>
    <w:p>
      <w:pPr>
        <w:spacing w:after="0" w:line="96" w:lineRule="exact"/>
        <w:rPr>
          <w:rFonts w:ascii="Arial" w:cs="Arial" w:eastAsia="Arial" w:hAnsi="Arial"/>
          <w:sz w:val="20"/>
          <w:szCs w:val="20"/>
          <w:b w:val="1"/>
          <w:bCs w:val="1"/>
          <w:color w:val="auto"/>
        </w:rPr>
      </w:pPr>
    </w:p>
    <w:p>
      <w:pPr>
        <w:jc w:val="both"/>
        <w:ind w:left="900" w:hanging="376"/>
        <w:spacing w:after="0" w:line="234" w:lineRule="auto"/>
        <w:tabs>
          <w:tab w:leader="none" w:pos="958" w:val="left"/>
        </w:tabs>
        <w:numPr>
          <w:ilvl w:val="1"/>
          <w:numId w:val="14"/>
        </w:numPr>
        <w:rPr>
          <w:rFonts w:ascii="Arial" w:cs="Arial" w:eastAsia="Arial" w:hAnsi="Arial"/>
          <w:sz w:val="20"/>
          <w:szCs w:val="20"/>
          <w:color w:val="auto"/>
        </w:rPr>
      </w:pPr>
      <w:r>
        <w:rPr>
          <w:rFonts w:ascii="Arial" w:cs="Arial" w:eastAsia="Arial" w:hAnsi="Arial"/>
          <w:sz w:val="20"/>
          <w:szCs w:val="20"/>
          <w:color w:val="auto"/>
        </w:rPr>
        <w:t>If you have not already voted your shares in advance as described above, provided you are a registered stockholder or a registered beneficial stockholder with a control number, you will also be able to vote your shares electronically during the Annual Meeting by clicking on the “Vote” tab on the virtual meeting site. Whether or not you plan to attend the Annual Meeting, we urge you to vote and submit your proxy in advance of or during the Annual Meeting by one of the methods described in the proxy materials.</w:t>
      </w:r>
    </w:p>
    <w:p>
      <w:pPr>
        <w:spacing w:after="0" w:line="280" w:lineRule="exact"/>
        <w:rPr>
          <w:rFonts w:ascii="Arial" w:cs="Arial" w:eastAsia="Arial" w:hAnsi="Arial"/>
          <w:sz w:val="20"/>
          <w:szCs w:val="20"/>
          <w:color w:val="auto"/>
        </w:rPr>
      </w:pPr>
    </w:p>
    <w:p>
      <w:pPr>
        <w:ind w:left="440" w:hanging="432"/>
        <w:spacing w:after="0"/>
        <w:tabs>
          <w:tab w:leader="none" w:pos="4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Q: How do I ask questions during the meeting?</w:t>
      </w:r>
    </w:p>
    <w:p>
      <w:pPr>
        <w:spacing w:after="0" w:line="96" w:lineRule="exact"/>
        <w:rPr>
          <w:rFonts w:ascii="Arial" w:cs="Arial" w:eastAsia="Arial" w:hAnsi="Arial"/>
          <w:sz w:val="20"/>
          <w:szCs w:val="20"/>
          <w:b w:val="1"/>
          <w:bCs w:val="1"/>
          <w:color w:val="auto"/>
        </w:rPr>
      </w:pPr>
    </w:p>
    <w:p>
      <w:pPr>
        <w:jc w:val="both"/>
        <w:ind w:left="900" w:hanging="376"/>
        <w:spacing w:after="0" w:line="237" w:lineRule="auto"/>
        <w:tabs>
          <w:tab w:leader="none" w:pos="958" w:val="left"/>
        </w:tabs>
        <w:numPr>
          <w:ilvl w:val="1"/>
          <w:numId w:val="14"/>
        </w:numPr>
        <w:rPr>
          <w:rFonts w:ascii="Arial" w:cs="Arial" w:eastAsia="Arial" w:hAnsi="Arial"/>
          <w:sz w:val="20"/>
          <w:szCs w:val="20"/>
          <w:color w:val="auto"/>
        </w:rPr>
      </w:pPr>
      <w:r>
        <w:rPr>
          <w:rFonts w:ascii="Arial" w:cs="Arial" w:eastAsia="Arial" w:hAnsi="Arial"/>
          <w:sz w:val="20"/>
          <w:szCs w:val="20"/>
          <w:color w:val="auto"/>
        </w:rPr>
        <w:t>If you are attending the meeting as a stockholder of record or registered beneficial owner, questions can be submitted by accessing the virtual meeting site at www.meetnow.global/MXMYPG9, entering your control number and clicking on the “Q&amp;A” tab. Please note that guest access is in listen-only mode and you will not have the ability to ask questions or vote during the Annual Meeting.</w:t>
      </w:r>
    </w:p>
    <w:p>
      <w:pPr>
        <w:spacing w:after="0" w:line="277" w:lineRule="exact"/>
        <w:rPr>
          <w:rFonts w:ascii="Arial" w:cs="Arial" w:eastAsia="Arial" w:hAnsi="Arial"/>
          <w:sz w:val="20"/>
          <w:szCs w:val="20"/>
          <w:color w:val="auto"/>
        </w:rPr>
      </w:pPr>
    </w:p>
    <w:p>
      <w:pPr>
        <w:ind w:left="440" w:hanging="432"/>
        <w:spacing w:after="0"/>
        <w:tabs>
          <w:tab w:leader="none" w:pos="4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Q: What constitutes a “quorum”?</w:t>
      </w:r>
    </w:p>
    <w:p>
      <w:pPr>
        <w:spacing w:after="0" w:line="96" w:lineRule="exact"/>
        <w:rPr>
          <w:rFonts w:ascii="Arial" w:cs="Arial" w:eastAsia="Arial" w:hAnsi="Arial"/>
          <w:sz w:val="20"/>
          <w:szCs w:val="20"/>
          <w:b w:val="1"/>
          <w:bCs w:val="1"/>
          <w:color w:val="auto"/>
        </w:rPr>
      </w:pPr>
    </w:p>
    <w:p>
      <w:pPr>
        <w:jc w:val="both"/>
        <w:ind w:left="900" w:hanging="376"/>
        <w:spacing w:after="0" w:line="237" w:lineRule="auto"/>
        <w:tabs>
          <w:tab w:leader="none" w:pos="958"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holders of a majority of the voting power of the outstanding shares of stock and entitled to vote at the meeting, either in person, by remote communication, if applicable, or represented by Proxy duly authorized, constitutes a quorum. Proxies received but marked as abstentions and broker non-votes will be included in the calculation of the number of shares considered to be present at the meeting.</w:t>
      </w:r>
    </w:p>
    <w:p>
      <w:pPr>
        <w:spacing w:after="0" w:line="277" w:lineRule="exact"/>
        <w:rPr>
          <w:rFonts w:ascii="Arial" w:cs="Arial" w:eastAsia="Arial" w:hAnsi="Arial"/>
          <w:sz w:val="20"/>
          <w:szCs w:val="20"/>
          <w:color w:val="auto"/>
        </w:rPr>
      </w:pPr>
    </w:p>
    <w:p>
      <w:pPr>
        <w:ind w:left="440" w:hanging="432"/>
        <w:spacing w:after="0"/>
        <w:tabs>
          <w:tab w:leader="none" w:pos="4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Q: What are our voting rights with respect to the election of directors?</w:t>
      </w:r>
    </w:p>
    <w:p>
      <w:pPr>
        <w:spacing w:after="0" w:line="96" w:lineRule="exact"/>
        <w:rPr>
          <w:rFonts w:ascii="Arial" w:cs="Arial" w:eastAsia="Arial" w:hAnsi="Arial"/>
          <w:sz w:val="20"/>
          <w:szCs w:val="20"/>
          <w:b w:val="1"/>
          <w:bCs w:val="1"/>
          <w:color w:val="auto"/>
        </w:rPr>
      </w:pPr>
    </w:p>
    <w:p>
      <w:pPr>
        <w:jc w:val="both"/>
        <w:ind w:left="900" w:hanging="376"/>
        <w:spacing w:after="0" w:line="237" w:lineRule="auto"/>
        <w:tabs>
          <w:tab w:leader="none" w:pos="958" w:val="left"/>
        </w:tabs>
        <w:numPr>
          <w:ilvl w:val="1"/>
          <w:numId w:val="14"/>
        </w:numPr>
        <w:rPr>
          <w:rFonts w:ascii="Arial" w:cs="Arial" w:eastAsia="Arial" w:hAnsi="Arial"/>
          <w:sz w:val="20"/>
          <w:szCs w:val="20"/>
          <w:color w:val="auto"/>
        </w:rPr>
      </w:pPr>
      <w:r>
        <w:rPr>
          <w:rFonts w:ascii="Arial" w:cs="Arial" w:eastAsia="Arial" w:hAnsi="Arial"/>
          <w:sz w:val="20"/>
          <w:szCs w:val="20"/>
          <w:color w:val="auto"/>
        </w:rPr>
        <w:t>Our Restated Certificate of Incorporation provides that, with respect to the election of directors, holders of Class A Common Stock vote as a class with the holders of Class C Common Stock, and holders of Class B Common Stock vote as a class with holders of Class D Common Stock, with holders of all classes of Common Stock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-13970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616585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7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0005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left="1020"/>
        <w:spacing w:after="0" w:line="234" w:lineRule="auto"/>
        <w:rPr>
          <w:sz w:val="20"/>
          <w:szCs w:val="20"/>
          <w:color w:val="auto"/>
        </w:rPr>
      </w:pPr>
      <w:r>
        <w:rPr>
          <w:rFonts w:ascii="Arial" w:cs="Arial" w:eastAsia="Arial" w:hAnsi="Arial"/>
          <w:sz w:val="20"/>
          <w:szCs w:val="20"/>
          <w:color w:val="auto"/>
        </w:rPr>
        <w:t>Each holder of Class A Common Stock may cumulate his or her votes for directors giving one candidate a number of votes equal to the number of directors to be elected, multiplied by the number of shares of Class A Common Stock, or he or she may distribute his or her votes on the same principle among as many candidates as he or she shall see fit. For a holder of Class A Common Stock to exercise his or her cumulative voting rights, the stockholder must give notice at the meeting of such intention to cumulate votes.</w:t>
      </w:r>
    </w:p>
    <w:p>
      <w:pPr>
        <w:spacing w:after="0" w:line="67" w:lineRule="exact"/>
        <w:rPr>
          <w:sz w:val="20"/>
          <w:szCs w:val="20"/>
          <w:color w:val="auto"/>
        </w:rPr>
      </w:pPr>
    </w:p>
    <w:p>
      <w:pPr>
        <w:jc w:val="both"/>
        <w:ind w:left="1020"/>
        <w:spacing w:after="0" w:line="233" w:lineRule="auto"/>
        <w:rPr>
          <w:sz w:val="20"/>
          <w:szCs w:val="20"/>
          <w:color w:val="auto"/>
        </w:rPr>
      </w:pPr>
      <w:r>
        <w:rPr>
          <w:rFonts w:ascii="Arial" w:cs="Arial" w:eastAsia="Arial" w:hAnsi="Arial"/>
          <w:sz w:val="20"/>
          <w:szCs w:val="20"/>
          <w:color w:val="auto"/>
        </w:rPr>
        <w:t>As of March 23, 2026, the shares of Class A and Class C Common Stock, which constituted 11.9% of the aggregate outstanding shares of our Common Stock, had the right to elect five members of the Board of Directors and constituted 91.3% of our general voting power; and as of that date the shares of Class B and Class D Common Stock (excluding shares issuable upon exercise of options), which constituted 88.1% of the outstanding shares of our Common Stock, had the right to elect two members of the Board of Directors and constituted 8.7% of our general voting power.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22. Q: What are our voting rights with respect to matters other than the election of directors?</w:t>
      </w:r>
    </w:p>
    <w:p>
      <w:pPr>
        <w:spacing w:after="0" w:line="96" w:lineRule="exact"/>
        <w:rPr>
          <w:sz w:val="20"/>
          <w:szCs w:val="20"/>
          <w:color w:val="auto"/>
        </w:rPr>
      </w:pPr>
    </w:p>
    <w:p>
      <w:pPr>
        <w:jc w:val="both"/>
        <w:ind w:left="1020" w:hanging="376"/>
        <w:spacing w:after="0" w:line="241" w:lineRule="auto"/>
        <w:tabs>
          <w:tab w:leader="none" w:pos="107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As to matters other than the election of directors, our Restated Certificate of Incorporation provides that holders of Class A, Class B, Class C and Class D Common Stock all vote together as a single class, except as otherwise provided by law.</w:t>
      </w:r>
    </w:p>
    <w:p>
      <w:pPr>
        <w:spacing w:after="0" w:line="63" w:lineRule="exact"/>
        <w:rPr>
          <w:sz w:val="20"/>
          <w:szCs w:val="20"/>
          <w:color w:val="auto"/>
        </w:rPr>
      </w:pPr>
    </w:p>
    <w:p>
      <w:pPr>
        <w:jc w:val="both"/>
        <w:ind w:left="1020"/>
        <w:spacing w:after="0" w:line="232" w:lineRule="auto"/>
        <w:rPr>
          <w:sz w:val="20"/>
          <w:szCs w:val="20"/>
          <w:color w:val="auto"/>
        </w:rPr>
      </w:pPr>
      <w:r>
        <w:rPr>
          <w:rFonts w:ascii="Arial" w:cs="Arial" w:eastAsia="Arial" w:hAnsi="Arial"/>
          <w:sz w:val="20"/>
          <w:szCs w:val="20"/>
          <w:color w:val="auto"/>
        </w:rPr>
        <w:t>Each share of Class A Common Stock entitles the holder thereof to one vote; each share of Class B Common Stock entitles the holder thereof to one-tenth of a vote; each share of Class C Common Stock entitles the holder thereof to 100 votes (provided the holder of Class C Common Stock holds a number of shares of Class A Common Stock equal to ten times the number of shares of Class C Common Stock that holder holds); and each share of Class D Common Stock entitles the holder thereof to ten votes (provided the holder of Class D Common Stock holds a number of shares of Class B Common Stock equal to ten times the number of shares of Class D Common Stock that holder holds).</w:t>
      </w:r>
    </w:p>
    <w:p>
      <w:pPr>
        <w:spacing w:after="0" w:line="64" w:lineRule="exact"/>
        <w:rPr>
          <w:sz w:val="20"/>
          <w:szCs w:val="20"/>
          <w:color w:val="auto"/>
        </w:rPr>
      </w:pPr>
    </w:p>
    <w:p>
      <w:pPr>
        <w:jc w:val="both"/>
        <w:ind w:left="1020"/>
        <w:spacing w:after="0" w:line="231" w:lineRule="auto"/>
        <w:rPr>
          <w:sz w:val="20"/>
          <w:szCs w:val="20"/>
          <w:color w:val="auto"/>
        </w:rPr>
      </w:pPr>
      <w:r>
        <w:rPr>
          <w:rFonts w:ascii="Arial" w:cs="Arial" w:eastAsia="Arial" w:hAnsi="Arial"/>
          <w:sz w:val="20"/>
          <w:szCs w:val="20"/>
          <w:color w:val="auto"/>
        </w:rPr>
        <w:t>In the event a holder of Class C or Class D Common Stock holds a number of shares of Class A or Class B Common Stock, respectively, less than ten times the number of shares of Class C or Class D Common Stock that holder holds, then that holder will be entitled to only one vote for every share of Class C Common Stock, or one-tenth of a vote for every share of Class D Common Stock, which that holder holds in excess of one-tenth the number of shares of Class A or Class B Common Stock, respectively, held by that holder. The Board of Directors, in its discretion, may require holders of Class C or Class D Common Stock to provide satisfactory evidence that such owner holds ten times as many shares of Class A or Class B Common Stock as Class C or Class D Common Stock, respectively, if such facts are not apparent from our stock records.</w:t>
      </w:r>
    </w:p>
    <w:p>
      <w:pPr>
        <w:spacing w:after="0" w:line="279" w:lineRule="exact"/>
        <w:rPr>
          <w:sz w:val="20"/>
          <w:szCs w:val="20"/>
          <w:color w:val="auto"/>
        </w:rPr>
      </w:pPr>
    </w:p>
    <w:p>
      <w:pPr>
        <w:ind w:left="560" w:hanging="432"/>
        <w:spacing w:after="0"/>
        <w:tabs>
          <w:tab w:leader="none" w:pos="5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Q: Will my shares be voted if I do not sign and return my Proxy card or vote by telephone or internet?</w:t>
      </w:r>
    </w:p>
    <w:p>
      <w:pPr>
        <w:spacing w:after="0" w:line="96" w:lineRule="exact"/>
        <w:rPr>
          <w:rFonts w:ascii="Arial" w:cs="Arial" w:eastAsia="Arial" w:hAnsi="Arial"/>
          <w:sz w:val="20"/>
          <w:szCs w:val="20"/>
          <w:b w:val="1"/>
          <w:bCs w:val="1"/>
          <w:color w:val="auto"/>
        </w:rPr>
      </w:pPr>
    </w:p>
    <w:p>
      <w:pPr>
        <w:jc w:val="both"/>
        <w:ind w:left="1020" w:hanging="376"/>
        <w:spacing w:after="0" w:line="232" w:lineRule="auto"/>
        <w:tabs>
          <w:tab w:leader="none" w:pos="1078" w:val="left"/>
        </w:tabs>
        <w:numPr>
          <w:ilvl w:val="1"/>
          <w:numId w:val="16"/>
        </w:numPr>
        <w:rPr>
          <w:rFonts w:ascii="Arial" w:cs="Arial" w:eastAsia="Arial" w:hAnsi="Arial"/>
          <w:sz w:val="20"/>
          <w:szCs w:val="20"/>
          <w:color w:val="auto"/>
        </w:rPr>
      </w:pPr>
      <w:r>
        <w:rPr>
          <w:rFonts w:ascii="Arial" w:cs="Arial" w:eastAsia="Arial" w:hAnsi="Arial"/>
          <w:sz w:val="20"/>
          <w:szCs w:val="20"/>
          <w:color w:val="auto"/>
        </w:rPr>
        <w:t>If you are a stockholder of record and you do not sign and return your Proxy card or vote by telephone or internet, your shares will not be voted at the Annual Meeting. If your shares are held in street name and you do not issue instructions to your broker, your broker may vote your shares at its discretion on routine matters, but may not vote your shares on nonroutine matters. Under the New York Stock Exchange rules, each of the proposals other than the ratification of the selection of the Company’s independent registered public accounting firm is deemed to be a nonroutine matter with respect to which brokers and nominees may not exercise their voting discretion without receiving instructions from the beneficial owner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ind w:left="9260"/>
        <w:spacing w:after="0"/>
        <w:rPr>
          <w:sz w:val="20"/>
          <w:szCs w:val="20"/>
          <w:color w:val="auto"/>
        </w:rPr>
      </w:pPr>
      <w:r>
        <w:rPr>
          <w:rFonts w:ascii="Arial" w:cs="Arial" w:eastAsia="Arial" w:hAnsi="Arial"/>
          <w:sz w:val="16"/>
          <w:szCs w:val="16"/>
          <w:b w:val="1"/>
          <w:bCs w:val="1"/>
          <w:color w:val="00005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Q: What is a “broker non-vote”?</w:t>
      </w:r>
    </w:p>
    <w:p>
      <w:pPr>
        <w:spacing w:after="0" w:line="96" w:lineRule="exact"/>
        <w:rPr>
          <w:rFonts w:ascii="Arial" w:cs="Arial" w:eastAsia="Arial" w:hAnsi="Arial"/>
          <w:sz w:val="20"/>
          <w:szCs w:val="20"/>
          <w:b w:val="1"/>
          <w:bCs w:val="1"/>
          <w:color w:val="auto"/>
        </w:rPr>
      </w:pPr>
    </w:p>
    <w:p>
      <w:pPr>
        <w:jc w:val="both"/>
        <w:ind w:left="900" w:hanging="376"/>
        <w:spacing w:after="0" w:line="229" w:lineRule="auto"/>
        <w:tabs>
          <w:tab w:leader="none" w:pos="958" w:val="left"/>
        </w:tabs>
        <w:numPr>
          <w:ilvl w:val="1"/>
          <w:numId w:val="17"/>
        </w:numPr>
        <w:rPr>
          <w:rFonts w:ascii="Arial" w:cs="Arial" w:eastAsia="Arial" w:hAnsi="Arial"/>
          <w:sz w:val="20"/>
          <w:szCs w:val="20"/>
          <w:color w:val="auto"/>
        </w:rPr>
      </w:pPr>
      <w:r>
        <w:rPr>
          <w:rFonts w:ascii="Arial" w:cs="Arial" w:eastAsia="Arial" w:hAnsi="Arial"/>
          <w:sz w:val="20"/>
          <w:szCs w:val="20"/>
          <w:color w:val="auto"/>
        </w:rPr>
        <w:t>“Broker non-votes” are shares held by brokers or nominees which are present in person or represented by Proxy, but which are not voted on a particular matter because instructions have not been received from the beneficial owner. Under the rules of the Financial Industry Regulatory Authority, member brokers generally may not vote shares held by them in street name for customers unless they are permitted to do so under the rules of any national securities exchange of which they are a member. Under the rules of the New York Stock Exchange, New York Stock Exchange-member brokers who hold shares of Common Stock in street name for their customers and have transmitted our Proxy solicitation materials to their customers, but do not receive voting instructions from such customers, are not permitted to vote on nonroutine matters. Under the New York Stock Exchange rules, each of the proposals other than the ratification of the selection of the Company’s independent registered public accounting firm is deemed to be a nonroutine matter with respect to which brokers and nominees may not exercise their voting discretion without receiving instructions from the beneficial owner of the shares.</w:t>
      </w:r>
    </w:p>
    <w:p>
      <w:pPr>
        <w:spacing w:after="0" w:line="284" w:lineRule="exact"/>
        <w:rPr>
          <w:rFonts w:ascii="Arial" w:cs="Arial" w:eastAsia="Arial" w:hAnsi="Arial"/>
          <w:sz w:val="20"/>
          <w:szCs w:val="20"/>
          <w:color w:val="auto"/>
        </w:rPr>
      </w:pPr>
    </w:p>
    <w:p>
      <w:pPr>
        <w:ind w:left="440" w:hanging="432"/>
        <w:spacing w:after="0"/>
        <w:tabs>
          <w:tab w:leader="none" w:pos="44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Q: What is the effect of a broker non-vote?</w:t>
      </w:r>
    </w:p>
    <w:p>
      <w:pPr>
        <w:spacing w:after="0" w:line="96" w:lineRule="exact"/>
        <w:rPr>
          <w:rFonts w:ascii="Arial" w:cs="Arial" w:eastAsia="Arial" w:hAnsi="Arial"/>
          <w:sz w:val="20"/>
          <w:szCs w:val="20"/>
          <w:b w:val="1"/>
          <w:bCs w:val="1"/>
          <w:color w:val="auto"/>
        </w:rPr>
      </w:pPr>
    </w:p>
    <w:p>
      <w:pPr>
        <w:jc w:val="both"/>
        <w:ind w:left="900" w:hanging="376"/>
        <w:spacing w:after="0" w:line="241" w:lineRule="auto"/>
        <w:tabs>
          <w:tab w:leader="none" w:pos="958" w:val="left"/>
        </w:tabs>
        <w:numPr>
          <w:ilvl w:val="1"/>
          <w:numId w:val="17"/>
        </w:numPr>
        <w:rPr>
          <w:rFonts w:ascii="Arial" w:cs="Arial" w:eastAsia="Arial" w:hAnsi="Arial"/>
          <w:sz w:val="20"/>
          <w:szCs w:val="20"/>
          <w:color w:val="auto"/>
        </w:rPr>
      </w:pPr>
      <w:r>
        <w:rPr>
          <w:rFonts w:ascii="Arial" w:cs="Arial" w:eastAsia="Arial" w:hAnsi="Arial"/>
          <w:sz w:val="20"/>
          <w:szCs w:val="20"/>
          <w:color w:val="auto"/>
        </w:rPr>
        <w:t>Broker non-votes will be counted for the purpose of determining the presence or absence of a quorum but will not be considered present and entitled to vote on any matter for which a broker, bank or other nominee does not have authority.</w:t>
      </w:r>
    </w:p>
    <w:p>
      <w:pPr>
        <w:spacing w:after="0" w:line="63" w:lineRule="exact"/>
        <w:rPr>
          <w:sz w:val="20"/>
          <w:szCs w:val="20"/>
          <w:color w:val="auto"/>
        </w:rPr>
      </w:pPr>
    </w:p>
    <w:p>
      <w:pPr>
        <w:jc w:val="both"/>
        <w:ind w:left="900"/>
        <w:spacing w:after="0" w:line="260" w:lineRule="auto"/>
        <w:rPr>
          <w:sz w:val="20"/>
          <w:szCs w:val="20"/>
          <w:color w:val="auto"/>
        </w:rPr>
      </w:pPr>
      <w:r>
        <w:rPr>
          <w:rFonts w:ascii="Arial" w:cs="Arial" w:eastAsia="Arial" w:hAnsi="Arial"/>
          <w:sz w:val="19"/>
          <w:szCs w:val="19"/>
          <w:color w:val="auto"/>
        </w:rPr>
        <w:t>For the Annual Meeting, pursuant to the rules of the New York Stock Exchange, your broker, bank or other nominee will be permitted to vote for you without instruction only with respect to Proposal 3 regarding the ratification of PricewaterhouseCoopers LLP. A broker non-vote will not have any impact on the outcome of any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-24765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616585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0005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hanging="412"/>
        <w:spacing w:after="0"/>
        <w:tabs>
          <w:tab w:leader="none" w:pos="54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Q: What is the vote required to approve each proposal?</w:t>
      </w:r>
    </w:p>
    <w:p>
      <w:pPr>
        <w:spacing w:after="0" w:line="110" w:lineRule="exact"/>
        <w:rPr>
          <w:rFonts w:ascii="Arial" w:cs="Arial" w:eastAsia="Arial" w:hAnsi="Arial"/>
          <w:sz w:val="19"/>
          <w:szCs w:val="19"/>
          <w:b w:val="1"/>
          <w:bCs w:val="1"/>
          <w:color w:val="auto"/>
        </w:rPr>
      </w:pPr>
    </w:p>
    <w:p>
      <w:pPr>
        <w:ind w:left="1000" w:hanging="356"/>
        <w:spacing w:after="0"/>
        <w:tabs>
          <w:tab w:leader="none" w:pos="1000" w:val="left"/>
        </w:tabs>
        <w:numPr>
          <w:ilvl w:val="1"/>
          <w:numId w:val="18"/>
        </w:numPr>
        <w:rPr>
          <w:rFonts w:ascii="Arial" w:cs="Arial" w:eastAsia="Arial" w:hAnsi="Arial"/>
          <w:sz w:val="19"/>
          <w:szCs w:val="19"/>
          <w:color w:val="auto"/>
        </w:rPr>
      </w:pPr>
      <w:r>
        <w:rPr>
          <w:rFonts w:ascii="Arial" w:cs="Arial" w:eastAsia="Arial" w:hAnsi="Arial"/>
          <w:sz w:val="16"/>
          <w:szCs w:val="16"/>
          <w:color w:val="auto"/>
        </w:rPr>
        <w:t xml:space="preserve">    </w:t>
      </w:r>
    </w:p>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jc w:val="center"/>
              <w:ind w:left="213"/>
              <w:spacing w:after="0" w:line="173" w:lineRule="exact"/>
              <w:rPr>
                <w:sz w:val="20"/>
                <w:szCs w:val="20"/>
                <w:color w:val="auto"/>
              </w:rPr>
            </w:pPr>
            <w:r>
              <w:rPr>
                <w:rFonts w:ascii="Arial" w:cs="Arial" w:eastAsia="Arial" w:hAnsi="Arial"/>
                <w:sz w:val="17"/>
                <w:szCs w:val="17"/>
                <w:b w:val="1"/>
                <w:bCs w:val="1"/>
                <w:color w:val="052666"/>
              </w:rPr>
              <w:t>Signed But</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40" w:type="dxa"/>
            <w:vAlign w:val="bottom"/>
            <w:vMerge w:val="restart"/>
          </w:tcPr>
          <w:p>
            <w:pPr>
              <w:spacing w:after="0"/>
              <w:rPr>
                <w:sz w:val="20"/>
                <w:szCs w:val="20"/>
                <w:color w:val="auto"/>
              </w:rPr>
            </w:pPr>
            <w:r>
              <w:rPr>
                <w:rFonts w:ascii="Arial" w:cs="Arial" w:eastAsia="Arial" w:hAnsi="Arial"/>
                <w:sz w:val="17"/>
                <w:szCs w:val="17"/>
                <w:b w:val="1"/>
                <w:bCs w:val="1"/>
                <w:color w:val="052666"/>
              </w:rPr>
              <w:t>Item of Business</w:t>
            </w:r>
          </w:p>
        </w:tc>
        <w:tc>
          <w:tcPr>
            <w:tcW w:w="3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center"/>
              <w:ind w:left="113"/>
              <w:spacing w:after="0"/>
              <w:rPr>
                <w:sz w:val="20"/>
                <w:szCs w:val="20"/>
                <w:color w:val="auto"/>
              </w:rPr>
            </w:pPr>
            <w:r>
              <w:rPr>
                <w:rFonts w:ascii="Arial" w:cs="Arial" w:eastAsia="Arial" w:hAnsi="Arial"/>
                <w:sz w:val="17"/>
                <w:szCs w:val="17"/>
                <w:b w:val="1"/>
                <w:bCs w:val="1"/>
                <w:color w:val="052666"/>
                <w:w w:val="99"/>
              </w:rPr>
              <w:t>Withholding</w:t>
            </w:r>
          </w:p>
        </w:tc>
        <w:tc>
          <w:tcPr>
            <w:tcW w:w="1620" w:type="dxa"/>
            <w:vAlign w:val="bottom"/>
          </w:tcPr>
          <w:p>
            <w:pPr>
              <w:jc w:val="center"/>
              <w:ind w:left="213"/>
              <w:spacing w:after="0"/>
              <w:rPr>
                <w:sz w:val="20"/>
                <w:szCs w:val="20"/>
                <w:color w:val="auto"/>
              </w:rPr>
            </w:pPr>
            <w:r>
              <w:rPr>
                <w:rFonts w:ascii="Arial" w:cs="Arial" w:eastAsia="Arial" w:hAnsi="Arial"/>
                <w:sz w:val="17"/>
                <w:szCs w:val="17"/>
                <w:b w:val="1"/>
                <w:bCs w:val="1"/>
                <w:color w:val="052666"/>
              </w:rPr>
              <w:t>Unmarked</w:t>
            </w:r>
          </w:p>
        </w:tc>
        <w:tc>
          <w:tcPr>
            <w:tcW w:w="1240" w:type="dxa"/>
            <w:vAlign w:val="bottom"/>
          </w:tcPr>
          <w:p>
            <w:pPr>
              <w:jc w:val="center"/>
              <w:ind w:left="173"/>
              <w:spacing w:after="0"/>
              <w:rPr>
                <w:sz w:val="20"/>
                <w:szCs w:val="20"/>
                <w:color w:val="auto"/>
              </w:rPr>
            </w:pPr>
            <w:r>
              <w:rPr>
                <w:rFonts w:ascii="Arial" w:cs="Arial" w:eastAsia="Arial" w:hAnsi="Arial"/>
                <w:sz w:val="17"/>
                <w:szCs w:val="17"/>
                <w:b w:val="1"/>
                <w:bCs w:val="1"/>
                <w:color w:val="052666"/>
                <w:w w:val="98"/>
              </w:rPr>
              <w:t>Broker</w:t>
            </w:r>
          </w:p>
        </w:tc>
        <w:tc>
          <w:tcPr>
            <w:tcW w:w="0" w:type="dxa"/>
            <w:vAlign w:val="bottom"/>
          </w:tcPr>
          <w:p>
            <w:pPr>
              <w:spacing w:after="0"/>
              <w:rPr>
                <w:sz w:val="1"/>
                <w:szCs w:val="1"/>
                <w:color w:val="auto"/>
              </w:rPr>
            </w:pPr>
          </w:p>
        </w:tc>
      </w:tr>
      <w:tr>
        <w:trPr>
          <w:trHeight w:val="158"/>
        </w:trPr>
        <w:tc>
          <w:tcPr>
            <w:tcW w:w="2340" w:type="dxa"/>
            <w:vAlign w:val="bottom"/>
            <w:vMerge w:val="continue"/>
          </w:tcPr>
          <w:p>
            <w:pPr>
              <w:spacing w:after="0"/>
              <w:rPr>
                <w:sz w:val="13"/>
                <w:szCs w:val="13"/>
                <w:color w:val="auto"/>
              </w:rPr>
            </w:pPr>
          </w:p>
        </w:tc>
        <w:tc>
          <w:tcPr>
            <w:tcW w:w="3380" w:type="dxa"/>
            <w:vAlign w:val="bottom"/>
            <w:vMerge w:val="restart"/>
          </w:tcPr>
          <w:p>
            <w:pPr>
              <w:ind w:left="620"/>
              <w:spacing w:after="0"/>
              <w:rPr>
                <w:sz w:val="20"/>
                <w:szCs w:val="20"/>
                <w:color w:val="auto"/>
              </w:rPr>
            </w:pPr>
            <w:r>
              <w:rPr>
                <w:rFonts w:ascii="Arial" w:cs="Arial" w:eastAsia="Arial" w:hAnsi="Arial"/>
                <w:sz w:val="17"/>
                <w:szCs w:val="17"/>
                <w:b w:val="1"/>
                <w:bCs w:val="1"/>
                <w:color w:val="052666"/>
              </w:rPr>
              <w:t>Votes Required for Approval</w:t>
            </w:r>
          </w:p>
        </w:tc>
        <w:tc>
          <w:tcPr>
            <w:tcW w:w="1320" w:type="dxa"/>
            <w:vAlign w:val="bottom"/>
            <w:vMerge w:val="restart"/>
          </w:tcPr>
          <w:p>
            <w:pPr>
              <w:ind w:left="260"/>
              <w:spacing w:after="0"/>
              <w:rPr>
                <w:sz w:val="20"/>
                <w:szCs w:val="20"/>
                <w:color w:val="auto"/>
              </w:rPr>
            </w:pPr>
            <w:r>
              <w:rPr>
                <w:rFonts w:ascii="Arial" w:cs="Arial" w:eastAsia="Arial" w:hAnsi="Arial"/>
                <w:sz w:val="17"/>
                <w:szCs w:val="17"/>
                <w:b w:val="1"/>
                <w:bCs w:val="1"/>
                <w:color w:val="052666"/>
              </w:rPr>
              <w:t>Abstentions</w:t>
            </w:r>
          </w:p>
        </w:tc>
        <w:tc>
          <w:tcPr>
            <w:tcW w:w="1340" w:type="dxa"/>
            <w:vAlign w:val="bottom"/>
            <w:vMerge w:val="restart"/>
          </w:tcPr>
          <w:p>
            <w:pPr>
              <w:jc w:val="center"/>
              <w:ind w:left="133"/>
              <w:spacing w:after="0"/>
              <w:rPr>
                <w:sz w:val="20"/>
                <w:szCs w:val="20"/>
                <w:color w:val="auto"/>
              </w:rPr>
            </w:pPr>
            <w:r>
              <w:rPr>
                <w:rFonts w:ascii="Arial" w:cs="Arial" w:eastAsia="Arial" w:hAnsi="Arial"/>
                <w:sz w:val="17"/>
                <w:szCs w:val="17"/>
                <w:b w:val="1"/>
                <w:bCs w:val="1"/>
                <w:color w:val="052666"/>
              </w:rPr>
              <w:t>Authority</w:t>
            </w:r>
          </w:p>
        </w:tc>
        <w:tc>
          <w:tcPr>
            <w:tcW w:w="1620" w:type="dxa"/>
            <w:vAlign w:val="bottom"/>
            <w:vMerge w:val="restart"/>
          </w:tcPr>
          <w:p>
            <w:pPr>
              <w:jc w:val="center"/>
              <w:ind w:left="213"/>
              <w:spacing w:after="0"/>
              <w:rPr>
                <w:sz w:val="20"/>
                <w:szCs w:val="20"/>
                <w:color w:val="auto"/>
              </w:rPr>
            </w:pPr>
            <w:r>
              <w:rPr>
                <w:rFonts w:ascii="Arial" w:cs="Arial" w:eastAsia="Arial" w:hAnsi="Arial"/>
                <w:sz w:val="17"/>
                <w:szCs w:val="17"/>
                <w:b w:val="1"/>
                <w:bCs w:val="1"/>
                <w:color w:val="052666"/>
                <w:w w:val="99"/>
              </w:rPr>
              <w:t>Proxy Cards</w:t>
            </w:r>
          </w:p>
        </w:tc>
        <w:tc>
          <w:tcPr>
            <w:tcW w:w="1240" w:type="dxa"/>
            <w:vAlign w:val="bottom"/>
            <w:vMerge w:val="restart"/>
          </w:tcPr>
          <w:p>
            <w:pPr>
              <w:jc w:val="center"/>
              <w:ind w:left="173"/>
              <w:spacing w:after="0"/>
              <w:rPr>
                <w:sz w:val="20"/>
                <w:szCs w:val="20"/>
                <w:color w:val="auto"/>
              </w:rPr>
            </w:pPr>
            <w:r>
              <w:rPr>
                <w:rFonts w:ascii="Arial" w:cs="Arial" w:eastAsia="Arial" w:hAnsi="Arial"/>
                <w:sz w:val="17"/>
                <w:szCs w:val="17"/>
                <w:b w:val="1"/>
                <w:bCs w:val="1"/>
                <w:color w:val="052666"/>
              </w:rPr>
              <w:t>Non-Votes</w:t>
            </w:r>
          </w:p>
        </w:tc>
        <w:tc>
          <w:tcPr>
            <w:tcW w:w="0" w:type="dxa"/>
            <w:vAlign w:val="bottom"/>
          </w:tcPr>
          <w:p>
            <w:pPr>
              <w:spacing w:after="0"/>
              <w:rPr>
                <w:sz w:val="1"/>
                <w:szCs w:val="1"/>
                <w:color w:val="auto"/>
              </w:rPr>
            </w:pPr>
          </w:p>
        </w:tc>
      </w:tr>
      <w:tr>
        <w:trPr>
          <w:trHeight w:val="92"/>
        </w:trPr>
        <w:tc>
          <w:tcPr>
            <w:tcW w:w="2340" w:type="dxa"/>
            <w:vAlign w:val="bottom"/>
            <w:tcBorders>
              <w:bottom w:val="single" w:sz="8" w:color="052666"/>
            </w:tcBorders>
          </w:tcPr>
          <w:p>
            <w:pPr>
              <w:spacing w:after="0"/>
              <w:rPr>
                <w:sz w:val="7"/>
                <w:szCs w:val="7"/>
                <w:color w:val="auto"/>
              </w:rPr>
            </w:pPr>
          </w:p>
        </w:tc>
        <w:tc>
          <w:tcPr>
            <w:tcW w:w="3380" w:type="dxa"/>
            <w:vAlign w:val="bottom"/>
            <w:tcBorders>
              <w:bottom w:val="single" w:sz="8" w:color="052666"/>
            </w:tcBorders>
            <w:vMerge w:val="continue"/>
          </w:tcPr>
          <w:p>
            <w:pPr>
              <w:spacing w:after="0"/>
              <w:rPr>
                <w:sz w:val="7"/>
                <w:szCs w:val="7"/>
                <w:color w:val="auto"/>
              </w:rPr>
            </w:pPr>
          </w:p>
        </w:tc>
        <w:tc>
          <w:tcPr>
            <w:tcW w:w="1320" w:type="dxa"/>
            <w:vAlign w:val="bottom"/>
            <w:tcBorders>
              <w:bottom w:val="single" w:sz="8" w:color="052666"/>
            </w:tcBorders>
            <w:vMerge w:val="continue"/>
          </w:tcPr>
          <w:p>
            <w:pPr>
              <w:spacing w:after="0"/>
              <w:rPr>
                <w:sz w:val="7"/>
                <w:szCs w:val="7"/>
                <w:color w:val="auto"/>
              </w:rPr>
            </w:pPr>
          </w:p>
        </w:tc>
        <w:tc>
          <w:tcPr>
            <w:tcW w:w="1340" w:type="dxa"/>
            <w:vAlign w:val="bottom"/>
            <w:tcBorders>
              <w:bottom w:val="single" w:sz="8" w:color="052666"/>
            </w:tcBorders>
            <w:vMerge w:val="continue"/>
          </w:tcPr>
          <w:p>
            <w:pPr>
              <w:spacing w:after="0"/>
              <w:rPr>
                <w:sz w:val="7"/>
                <w:szCs w:val="7"/>
                <w:color w:val="auto"/>
              </w:rPr>
            </w:pPr>
          </w:p>
        </w:tc>
        <w:tc>
          <w:tcPr>
            <w:tcW w:w="1620" w:type="dxa"/>
            <w:vAlign w:val="bottom"/>
            <w:tcBorders>
              <w:bottom w:val="single" w:sz="8" w:color="052666"/>
            </w:tcBorders>
            <w:vMerge w:val="continue"/>
          </w:tcPr>
          <w:p>
            <w:pPr>
              <w:spacing w:after="0"/>
              <w:rPr>
                <w:sz w:val="7"/>
                <w:szCs w:val="7"/>
                <w:color w:val="auto"/>
              </w:rPr>
            </w:pPr>
          </w:p>
        </w:tc>
        <w:tc>
          <w:tcPr>
            <w:tcW w:w="1240" w:type="dxa"/>
            <w:vAlign w:val="bottom"/>
            <w:tcBorders>
              <w:bottom w:val="single" w:sz="8" w:color="05266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line="183" w:lineRule="exact"/>
              <w:rPr>
                <w:sz w:val="20"/>
                <w:szCs w:val="20"/>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Election of</w:t>
            </w:r>
          </w:p>
        </w:tc>
        <w:tc>
          <w:tcPr>
            <w:tcW w:w="3380" w:type="dxa"/>
            <w:vAlign w:val="bottom"/>
            <w:tcBorders>
              <w:top w:val="single" w:sz="8" w:color="EDEDED"/>
            </w:tcBorders>
          </w:tcPr>
          <w:p>
            <w:pPr>
              <w:ind w:left="40"/>
              <w:spacing w:after="0" w:line="183" w:lineRule="exact"/>
              <w:rPr>
                <w:sz w:val="20"/>
                <w:szCs w:val="20"/>
                <w:color w:val="auto"/>
              </w:rPr>
            </w:pPr>
            <w:r>
              <w:rPr>
                <w:rFonts w:ascii="Arial" w:cs="Arial" w:eastAsia="Arial" w:hAnsi="Arial"/>
                <w:sz w:val="18"/>
                <w:szCs w:val="18"/>
                <w:color w:val="auto"/>
              </w:rPr>
              <w:t>One Class III director will be elected by</w:t>
            </w:r>
          </w:p>
        </w:tc>
        <w:tc>
          <w:tcPr>
            <w:tcW w:w="1320" w:type="dxa"/>
            <w:vAlign w:val="bottom"/>
            <w:tcBorders>
              <w:top w:val="single" w:sz="8" w:color="EDEDED"/>
            </w:tcBorders>
          </w:tcPr>
          <w:p>
            <w:pPr>
              <w:ind w:left="40"/>
              <w:spacing w:after="0" w:line="183" w:lineRule="exact"/>
              <w:rPr>
                <w:sz w:val="20"/>
                <w:szCs w:val="20"/>
                <w:color w:val="auto"/>
              </w:rPr>
            </w:pPr>
            <w:r>
              <w:rPr>
                <w:rFonts w:ascii="Arial" w:cs="Arial" w:eastAsia="Arial" w:hAnsi="Arial"/>
                <w:sz w:val="18"/>
                <w:szCs w:val="18"/>
                <w:color w:val="auto"/>
              </w:rPr>
              <w:t>Not applicable</w:t>
            </w:r>
          </w:p>
        </w:tc>
        <w:tc>
          <w:tcPr>
            <w:tcW w:w="1340" w:type="dxa"/>
            <w:vAlign w:val="bottom"/>
            <w:tcBorders>
              <w:top w:val="single" w:sz="8" w:color="EDEDED"/>
            </w:tcBorders>
          </w:tcPr>
          <w:p>
            <w:pPr>
              <w:ind w:left="60"/>
              <w:spacing w:after="0" w:line="183" w:lineRule="exact"/>
              <w:rPr>
                <w:sz w:val="20"/>
                <w:szCs w:val="20"/>
                <w:color w:val="auto"/>
              </w:rPr>
            </w:pPr>
            <w:r>
              <w:rPr>
                <w:rFonts w:ascii="Arial" w:cs="Arial" w:eastAsia="Arial" w:hAnsi="Arial"/>
                <w:sz w:val="18"/>
                <w:szCs w:val="18"/>
                <w:color w:val="auto"/>
              </w:rPr>
              <w:t>No effect</w:t>
            </w:r>
          </w:p>
        </w:tc>
        <w:tc>
          <w:tcPr>
            <w:tcW w:w="2860" w:type="dxa"/>
            <w:vAlign w:val="bottom"/>
            <w:tcBorders>
              <w:top w:val="single" w:sz="8" w:color="EDEDED"/>
            </w:tcBorders>
            <w:gridSpan w:val="2"/>
          </w:tcPr>
          <w:p>
            <w:pPr>
              <w:ind w:left="60"/>
              <w:spacing w:after="0" w:line="183" w:lineRule="exact"/>
              <w:rPr>
                <w:sz w:val="20"/>
                <w:szCs w:val="20"/>
                <w:color w:val="auto"/>
              </w:rPr>
            </w:pPr>
            <w:r>
              <w:rPr>
                <w:rFonts w:ascii="Arial" w:cs="Arial" w:eastAsia="Arial" w:hAnsi="Arial"/>
                <w:sz w:val="18"/>
                <w:szCs w:val="18"/>
                <w:color w:val="auto"/>
              </w:rPr>
              <w:t>Count as votes FOR No effect on</w:t>
            </w:r>
          </w:p>
        </w:tc>
        <w:tc>
          <w:tcPr>
            <w:tcW w:w="0" w:type="dxa"/>
            <w:vAlign w:val="bottom"/>
          </w:tcPr>
          <w:p>
            <w:pPr>
              <w:spacing w:after="0"/>
              <w:rPr>
                <w:sz w:val="1"/>
                <w:szCs w:val="1"/>
                <w:color w:val="auto"/>
              </w:rPr>
            </w:pPr>
          </w:p>
        </w:tc>
      </w:tr>
      <w:tr>
        <w:trPr>
          <w:trHeight w:val="203"/>
        </w:trPr>
        <w:tc>
          <w:tcPr>
            <w:tcW w:w="234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3380" w:type="dxa"/>
            <w:vAlign w:val="bottom"/>
          </w:tcPr>
          <w:p>
            <w:pPr>
              <w:ind w:left="40"/>
              <w:spacing w:after="0" w:line="202" w:lineRule="exact"/>
              <w:rPr>
                <w:sz w:val="20"/>
                <w:szCs w:val="20"/>
                <w:color w:val="auto"/>
              </w:rPr>
            </w:pPr>
            <w:r>
              <w:rPr>
                <w:rFonts w:ascii="Arial" w:cs="Arial" w:eastAsia="Arial" w:hAnsi="Arial"/>
                <w:sz w:val="18"/>
                <w:szCs w:val="18"/>
                <w:color w:val="auto"/>
              </w:rPr>
              <w:t>the highest number of affirmative votes of</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ind w:left="140"/>
              <w:spacing w:after="0" w:line="202" w:lineRule="exact"/>
              <w:rPr>
                <w:sz w:val="20"/>
                <w:szCs w:val="20"/>
                <w:color w:val="auto"/>
              </w:rPr>
            </w:pPr>
            <w:r>
              <w:rPr>
                <w:rFonts w:ascii="Arial" w:cs="Arial" w:eastAsia="Arial" w:hAnsi="Arial"/>
                <w:sz w:val="18"/>
                <w:szCs w:val="18"/>
                <w:color w:val="auto"/>
              </w:rPr>
              <w:t>voting</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380" w:type="dxa"/>
            <w:vAlign w:val="bottom"/>
          </w:tcPr>
          <w:p>
            <w:pPr>
              <w:ind w:left="40"/>
              <w:spacing w:after="0" w:line="202" w:lineRule="exact"/>
              <w:rPr>
                <w:sz w:val="20"/>
                <w:szCs w:val="20"/>
                <w:color w:val="auto"/>
              </w:rPr>
            </w:pPr>
            <w:r>
              <w:rPr>
                <w:rFonts w:ascii="Arial" w:cs="Arial" w:eastAsia="Arial" w:hAnsi="Arial"/>
                <w:sz w:val="18"/>
                <w:szCs w:val="18"/>
                <w:color w:val="auto"/>
              </w:rPr>
              <w:t>the shares of Class A and Class C</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380" w:type="dxa"/>
            <w:vAlign w:val="bottom"/>
          </w:tcPr>
          <w:p>
            <w:pPr>
              <w:ind w:left="40"/>
              <w:spacing w:after="0" w:line="202" w:lineRule="exact"/>
              <w:rPr>
                <w:sz w:val="20"/>
                <w:szCs w:val="20"/>
                <w:color w:val="auto"/>
              </w:rPr>
            </w:pPr>
            <w:r>
              <w:rPr>
                <w:rFonts w:ascii="Arial" w:cs="Arial" w:eastAsia="Arial" w:hAnsi="Arial"/>
                <w:sz w:val="18"/>
                <w:szCs w:val="18"/>
                <w:color w:val="auto"/>
              </w:rPr>
              <w:t>Common Stock, voting together as a</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380" w:type="dxa"/>
            <w:vAlign w:val="bottom"/>
          </w:tcPr>
          <w:p>
            <w:pPr>
              <w:ind w:left="40"/>
              <w:spacing w:after="0" w:line="202" w:lineRule="exact"/>
              <w:rPr>
                <w:sz w:val="20"/>
                <w:szCs w:val="20"/>
                <w:color w:val="auto"/>
              </w:rPr>
            </w:pPr>
            <w:r>
              <w:rPr>
                <w:rFonts w:ascii="Arial" w:cs="Arial" w:eastAsia="Arial" w:hAnsi="Arial"/>
                <w:sz w:val="18"/>
                <w:szCs w:val="18"/>
                <w:color w:val="auto"/>
              </w:rPr>
              <w:t>single class, present in person or</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380" w:type="dxa"/>
            <w:vAlign w:val="bottom"/>
          </w:tcPr>
          <w:p>
            <w:pPr>
              <w:ind w:left="40"/>
              <w:spacing w:after="0" w:line="202" w:lineRule="exact"/>
              <w:rPr>
                <w:sz w:val="20"/>
                <w:szCs w:val="20"/>
                <w:color w:val="auto"/>
              </w:rPr>
            </w:pPr>
            <w:r>
              <w:rPr>
                <w:rFonts w:ascii="Arial" w:cs="Arial" w:eastAsia="Arial" w:hAnsi="Arial"/>
                <w:sz w:val="18"/>
                <w:szCs w:val="18"/>
                <w:color w:val="auto"/>
              </w:rPr>
              <w:t>represented by Proxy and entitled to</w:t>
            </w: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3380" w:type="dxa"/>
            <w:vAlign w:val="bottom"/>
          </w:tcPr>
          <w:p>
            <w:pPr>
              <w:ind w:left="40"/>
              <w:spacing w:after="0"/>
              <w:rPr>
                <w:sz w:val="20"/>
                <w:szCs w:val="20"/>
                <w:color w:val="auto"/>
              </w:rPr>
            </w:pPr>
            <w:r>
              <w:rPr>
                <w:rFonts w:ascii="Arial" w:cs="Arial" w:eastAsia="Arial" w:hAnsi="Arial"/>
                <w:sz w:val="18"/>
                <w:szCs w:val="18"/>
                <w:color w:val="auto"/>
              </w:rPr>
              <w:t>vote.</w:t>
            </w: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-927735</wp:posOffset>
            </wp:positionV>
            <wp:extent cx="7132320" cy="1954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spacing w:after="0" w:line="106"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One Class III director will be elected by</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highest number of affirmative votes of</w:t>
      </w:r>
    </w:p>
    <w:p>
      <w:pPr>
        <w:ind w:left="2380"/>
        <w:spacing w:after="0" w:line="234" w:lineRule="auto"/>
        <w:rPr>
          <w:sz w:val="20"/>
          <w:szCs w:val="20"/>
          <w:color w:val="auto"/>
        </w:rPr>
      </w:pPr>
      <w:r>
        <w:rPr>
          <w:rFonts w:ascii="Arial" w:cs="Arial" w:eastAsia="Arial" w:hAnsi="Arial"/>
          <w:sz w:val="18"/>
          <w:szCs w:val="18"/>
          <w:color w:val="auto"/>
        </w:rPr>
        <w:t>the shares of Class B and Class D</w:t>
      </w:r>
    </w:p>
    <w:p>
      <w:pPr>
        <w:ind w:left="2380"/>
        <w:spacing w:after="0" w:line="235" w:lineRule="auto"/>
        <w:rPr>
          <w:sz w:val="20"/>
          <w:szCs w:val="20"/>
          <w:color w:val="auto"/>
        </w:rPr>
      </w:pPr>
      <w:r>
        <w:rPr>
          <w:rFonts w:ascii="Arial" w:cs="Arial" w:eastAsia="Arial" w:hAnsi="Arial"/>
          <w:sz w:val="18"/>
          <w:szCs w:val="18"/>
          <w:color w:val="auto"/>
        </w:rPr>
        <w:t>Common Stock, voting together as a</w:t>
      </w:r>
    </w:p>
    <w:p>
      <w:pPr>
        <w:ind w:left="2380"/>
        <w:spacing w:after="0" w:line="235" w:lineRule="auto"/>
        <w:rPr>
          <w:sz w:val="20"/>
          <w:szCs w:val="20"/>
          <w:color w:val="auto"/>
        </w:rPr>
      </w:pPr>
      <w:r>
        <w:rPr>
          <w:rFonts w:ascii="Arial" w:cs="Arial" w:eastAsia="Arial" w:hAnsi="Arial"/>
          <w:sz w:val="18"/>
          <w:szCs w:val="18"/>
          <w:color w:val="auto"/>
        </w:rPr>
        <w:t>single class, present in person or</w:t>
      </w:r>
    </w:p>
    <w:p>
      <w:pPr>
        <w:ind w:left="2380"/>
        <w:spacing w:after="0" w:line="235" w:lineRule="auto"/>
        <w:rPr>
          <w:sz w:val="20"/>
          <w:szCs w:val="20"/>
          <w:color w:val="auto"/>
        </w:rPr>
      </w:pPr>
      <w:r>
        <w:rPr>
          <w:rFonts w:ascii="Arial" w:cs="Arial" w:eastAsia="Arial" w:hAnsi="Arial"/>
          <w:sz w:val="18"/>
          <w:szCs w:val="18"/>
          <w:color w:val="auto"/>
        </w:rPr>
        <w:t>represented by Proxy and entitled to</w:t>
      </w:r>
    </w:p>
    <w:p>
      <w:pPr>
        <w:ind w:left="2380"/>
        <w:spacing w:after="0"/>
        <w:rPr>
          <w:sz w:val="20"/>
          <w:szCs w:val="20"/>
          <w:color w:val="auto"/>
        </w:rPr>
      </w:pPr>
      <w:r>
        <w:rPr>
          <w:rFonts w:ascii="Arial" w:cs="Arial" w:eastAsia="Arial" w:hAnsi="Arial"/>
          <w:sz w:val="18"/>
          <w:szCs w:val="18"/>
          <w:color w:val="auto"/>
        </w:rPr>
        <w:t>vote.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Advisory</w:t>
            </w:r>
          </w:p>
        </w:tc>
        <w:tc>
          <w:tcPr>
            <w:tcW w:w="3300" w:type="dxa"/>
            <w:vAlign w:val="bottom"/>
          </w:tcPr>
          <w:p>
            <w:pPr>
              <w:ind w:left="60"/>
              <w:spacing w:after="0"/>
              <w:rPr>
                <w:sz w:val="20"/>
                <w:szCs w:val="20"/>
                <w:color w:val="auto"/>
              </w:rPr>
            </w:pPr>
            <w:r>
              <w:rPr>
                <w:rFonts w:ascii="Arial" w:cs="Arial" w:eastAsia="Arial" w:hAnsi="Arial"/>
                <w:sz w:val="18"/>
                <w:szCs w:val="18"/>
                <w:color w:val="auto"/>
              </w:rPr>
              <w:t>Majority of the votes cast by holders of</w:t>
            </w:r>
          </w:p>
        </w:tc>
        <w:tc>
          <w:tcPr>
            <w:tcW w:w="1300" w:type="dxa"/>
            <w:vAlign w:val="bottom"/>
          </w:tcPr>
          <w:p>
            <w:pPr>
              <w:ind w:left="140"/>
              <w:spacing w:after="0"/>
              <w:rPr>
                <w:sz w:val="20"/>
                <w:szCs w:val="20"/>
                <w:color w:val="auto"/>
              </w:rPr>
            </w:pPr>
            <w:r>
              <w:rPr>
                <w:rFonts w:ascii="Arial" w:cs="Arial" w:eastAsia="Arial" w:hAnsi="Arial"/>
                <w:sz w:val="18"/>
                <w:szCs w:val="18"/>
                <w:color w:val="auto"/>
              </w:rPr>
              <w:t>No effect on</w:t>
            </w:r>
          </w:p>
        </w:tc>
        <w:tc>
          <w:tcPr>
            <w:tcW w:w="1420" w:type="dxa"/>
            <w:vAlign w:val="bottom"/>
          </w:tcPr>
          <w:p>
            <w:pPr>
              <w:ind w:left="180"/>
              <w:spacing w:after="0"/>
              <w:rPr>
                <w:sz w:val="20"/>
                <w:szCs w:val="20"/>
                <w:color w:val="auto"/>
              </w:rPr>
            </w:pPr>
            <w:r>
              <w:rPr>
                <w:rFonts w:ascii="Arial" w:cs="Arial" w:eastAsia="Arial" w:hAnsi="Arial"/>
                <w:sz w:val="18"/>
                <w:szCs w:val="18"/>
                <w:color w:val="auto"/>
              </w:rPr>
              <w:t>Not applicable</w:t>
            </w:r>
          </w:p>
        </w:tc>
        <w:tc>
          <w:tcPr>
            <w:tcW w:w="2900" w:type="dxa"/>
            <w:vAlign w:val="bottom"/>
          </w:tcPr>
          <w:p>
            <w:pPr>
              <w:ind w:left="100"/>
              <w:spacing w:after="0"/>
              <w:rPr>
                <w:sz w:val="20"/>
                <w:szCs w:val="20"/>
                <w:color w:val="auto"/>
              </w:rPr>
            </w:pPr>
            <w:r>
              <w:rPr>
                <w:rFonts w:ascii="Arial" w:cs="Arial" w:eastAsia="Arial" w:hAnsi="Arial"/>
                <w:sz w:val="18"/>
                <w:szCs w:val="18"/>
                <w:color w:val="auto"/>
              </w:rPr>
              <w:t>Count as votes FOR No effect on</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(nonbinding) Vote of Named</w:t>
            </w:r>
          </w:p>
        </w:tc>
        <w:tc>
          <w:tcPr>
            <w:tcW w:w="3300" w:type="dxa"/>
            <w:vAlign w:val="bottom"/>
          </w:tcPr>
          <w:p>
            <w:pPr>
              <w:ind w:left="60"/>
              <w:spacing w:after="0" w:line="202" w:lineRule="exact"/>
              <w:rPr>
                <w:sz w:val="20"/>
                <w:szCs w:val="20"/>
                <w:color w:val="auto"/>
              </w:rPr>
            </w:pPr>
            <w:r>
              <w:rPr>
                <w:rFonts w:ascii="Arial" w:cs="Arial" w:eastAsia="Arial" w:hAnsi="Arial"/>
                <w:sz w:val="18"/>
                <w:szCs w:val="18"/>
                <w:color w:val="auto"/>
              </w:rPr>
              <w:t>Class A, B, C and D Common Stock,</w:t>
            </w:r>
          </w:p>
        </w:tc>
        <w:tc>
          <w:tcPr>
            <w:tcW w:w="1300" w:type="dxa"/>
            <w:vAlign w:val="bottom"/>
          </w:tcPr>
          <w:p>
            <w:pPr>
              <w:ind w:left="140"/>
              <w:spacing w:after="0" w:line="202" w:lineRule="exact"/>
              <w:rPr>
                <w:sz w:val="20"/>
                <w:szCs w:val="20"/>
                <w:color w:val="auto"/>
              </w:rPr>
            </w:pPr>
            <w:r>
              <w:rPr>
                <w:rFonts w:ascii="Arial" w:cs="Arial" w:eastAsia="Arial" w:hAnsi="Arial"/>
                <w:sz w:val="18"/>
                <w:szCs w:val="18"/>
                <w:color w:val="auto"/>
              </w:rPr>
              <w:t>voting</w:t>
            </w:r>
          </w:p>
        </w:tc>
        <w:tc>
          <w:tcPr>
            <w:tcW w:w="1420" w:type="dxa"/>
            <w:vAlign w:val="bottom"/>
          </w:tcPr>
          <w:p>
            <w:pPr>
              <w:spacing w:after="0"/>
              <w:rPr>
                <w:sz w:val="17"/>
                <w:szCs w:val="17"/>
                <w:color w:val="auto"/>
              </w:rPr>
            </w:pPr>
          </w:p>
        </w:tc>
        <w:tc>
          <w:tcPr>
            <w:tcW w:w="2900" w:type="dxa"/>
            <w:vAlign w:val="bottom"/>
          </w:tcPr>
          <w:p>
            <w:pPr>
              <w:ind w:left="1800"/>
              <w:spacing w:after="0" w:line="202" w:lineRule="exact"/>
              <w:rPr>
                <w:sz w:val="20"/>
                <w:szCs w:val="20"/>
                <w:color w:val="auto"/>
              </w:rPr>
            </w:pPr>
            <w:r>
              <w:rPr>
                <w:rFonts w:ascii="Arial" w:cs="Arial" w:eastAsia="Arial" w:hAnsi="Arial"/>
                <w:sz w:val="18"/>
                <w:szCs w:val="18"/>
                <w:color w:val="auto"/>
              </w:rPr>
              <w:t>voting</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color w:val="auto"/>
              </w:rPr>
              <w:t>Executive Officer</w:t>
            </w:r>
          </w:p>
        </w:tc>
        <w:tc>
          <w:tcPr>
            <w:tcW w:w="3300" w:type="dxa"/>
            <w:vAlign w:val="bottom"/>
          </w:tcPr>
          <w:p>
            <w:pPr>
              <w:ind w:left="60"/>
              <w:spacing w:after="0" w:line="202" w:lineRule="exact"/>
              <w:rPr>
                <w:sz w:val="20"/>
                <w:szCs w:val="20"/>
                <w:color w:val="auto"/>
              </w:rPr>
            </w:pPr>
            <w:r>
              <w:rPr>
                <w:rFonts w:ascii="Arial" w:cs="Arial" w:eastAsia="Arial" w:hAnsi="Arial"/>
                <w:sz w:val="18"/>
                <w:szCs w:val="18"/>
                <w:color w:val="auto"/>
              </w:rPr>
              <w:t>present in person or represented by</w:t>
            </w: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39"/>
        </w:trPr>
        <w:tc>
          <w:tcPr>
            <w:tcW w:w="2320" w:type="dxa"/>
            <w:vAlign w:val="bottom"/>
          </w:tcPr>
          <w:p>
            <w:pPr>
              <w:spacing w:after="0"/>
              <w:rPr>
                <w:sz w:val="20"/>
                <w:szCs w:val="20"/>
                <w:color w:val="auto"/>
              </w:rPr>
            </w:pPr>
            <w:r>
              <w:rPr>
                <w:rFonts w:ascii="Arial" w:cs="Arial" w:eastAsia="Arial" w:hAnsi="Arial"/>
                <w:sz w:val="18"/>
                <w:szCs w:val="18"/>
                <w:color w:val="auto"/>
              </w:rPr>
              <w:t>Compensation</w:t>
            </w:r>
          </w:p>
        </w:tc>
        <w:tc>
          <w:tcPr>
            <w:tcW w:w="3300" w:type="dxa"/>
            <w:vAlign w:val="bottom"/>
          </w:tcPr>
          <w:p>
            <w:pPr>
              <w:ind w:left="60"/>
              <w:spacing w:after="0"/>
              <w:rPr>
                <w:sz w:val="20"/>
                <w:szCs w:val="20"/>
                <w:color w:val="auto"/>
              </w:rPr>
            </w:pPr>
            <w:r>
              <w:rPr>
                <w:rFonts w:ascii="Arial" w:cs="Arial" w:eastAsia="Arial" w:hAnsi="Arial"/>
                <w:sz w:val="18"/>
                <w:szCs w:val="18"/>
                <w:color w:val="auto"/>
              </w:rPr>
              <w:t>Proxy and entitled to vote.</w:t>
            </w: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90"/>
        </w:trPr>
        <w:tc>
          <w:tcPr>
            <w:tcW w:w="23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900" w:type="dxa"/>
            <w:vAlign w:val="bottom"/>
          </w:tcPr>
          <w:p>
            <w:pPr>
              <w:spacing w:after="0"/>
              <w:rPr>
                <w:sz w:val="7"/>
                <w:szCs w:val="7"/>
                <w:color w:val="auto"/>
              </w:rPr>
            </w:pPr>
          </w:p>
        </w:tc>
      </w:tr>
      <w:tr>
        <w:trPr>
          <w:trHeight w:val="184"/>
        </w:trPr>
        <w:tc>
          <w:tcPr>
            <w:tcW w:w="2320" w:type="dxa"/>
            <w:vAlign w:val="bottom"/>
            <w:shd w:val="clear" w:color="auto" w:fill="EDEDED"/>
          </w:tcPr>
          <w:p>
            <w:pPr>
              <w:spacing w:after="0" w:line="183" w:lineRule="exact"/>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Ratification of</w:t>
            </w:r>
          </w:p>
        </w:tc>
        <w:tc>
          <w:tcPr>
            <w:tcW w:w="3300" w:type="dxa"/>
            <w:vAlign w:val="bottom"/>
            <w:shd w:val="clear" w:color="auto" w:fill="EDEDED"/>
          </w:tcPr>
          <w:p>
            <w:pPr>
              <w:ind w:left="60"/>
              <w:spacing w:after="0" w:line="183" w:lineRule="exact"/>
              <w:rPr>
                <w:sz w:val="20"/>
                <w:szCs w:val="20"/>
                <w:color w:val="auto"/>
              </w:rPr>
            </w:pPr>
            <w:r>
              <w:rPr>
                <w:rFonts w:ascii="Arial" w:cs="Arial" w:eastAsia="Arial" w:hAnsi="Arial"/>
                <w:sz w:val="18"/>
                <w:szCs w:val="18"/>
                <w:color w:val="auto"/>
              </w:rPr>
              <w:t>Majority of the votes cast by holders of</w:t>
            </w:r>
          </w:p>
        </w:tc>
        <w:tc>
          <w:tcPr>
            <w:tcW w:w="1300" w:type="dxa"/>
            <w:vAlign w:val="bottom"/>
            <w:shd w:val="clear" w:color="auto" w:fill="EDEDED"/>
          </w:tcPr>
          <w:p>
            <w:pPr>
              <w:ind w:left="140"/>
              <w:spacing w:after="0" w:line="183" w:lineRule="exact"/>
              <w:rPr>
                <w:sz w:val="20"/>
                <w:szCs w:val="20"/>
                <w:color w:val="auto"/>
              </w:rPr>
            </w:pPr>
            <w:r>
              <w:rPr>
                <w:rFonts w:ascii="Arial" w:cs="Arial" w:eastAsia="Arial" w:hAnsi="Arial"/>
                <w:sz w:val="18"/>
                <w:szCs w:val="18"/>
                <w:color w:val="auto"/>
              </w:rPr>
              <w:t>No effect on</w:t>
            </w:r>
          </w:p>
        </w:tc>
        <w:tc>
          <w:tcPr>
            <w:tcW w:w="1420" w:type="dxa"/>
            <w:vAlign w:val="bottom"/>
            <w:shd w:val="clear" w:color="auto" w:fill="EDEDED"/>
          </w:tcPr>
          <w:p>
            <w:pPr>
              <w:ind w:left="180"/>
              <w:spacing w:after="0" w:line="183" w:lineRule="exact"/>
              <w:rPr>
                <w:sz w:val="20"/>
                <w:szCs w:val="20"/>
                <w:color w:val="auto"/>
              </w:rPr>
            </w:pPr>
            <w:r>
              <w:rPr>
                <w:rFonts w:ascii="Arial" w:cs="Arial" w:eastAsia="Arial" w:hAnsi="Arial"/>
                <w:sz w:val="18"/>
                <w:szCs w:val="18"/>
                <w:color w:val="auto"/>
              </w:rPr>
              <w:t>Not applicable</w:t>
            </w:r>
          </w:p>
        </w:tc>
        <w:tc>
          <w:tcPr>
            <w:tcW w:w="2900" w:type="dxa"/>
            <w:vAlign w:val="bottom"/>
            <w:shd w:val="clear" w:color="auto" w:fill="EDEDED"/>
          </w:tcPr>
          <w:p>
            <w:pPr>
              <w:ind w:left="100"/>
              <w:spacing w:after="0" w:line="183" w:lineRule="exact"/>
              <w:rPr>
                <w:sz w:val="20"/>
                <w:szCs w:val="20"/>
                <w:color w:val="auto"/>
              </w:rPr>
            </w:pPr>
            <w:r>
              <w:rPr>
                <w:rFonts w:ascii="Arial" w:cs="Arial" w:eastAsia="Arial" w:hAnsi="Arial"/>
                <w:sz w:val="18"/>
                <w:szCs w:val="18"/>
                <w:color w:val="auto"/>
              </w:rPr>
              <w:t>Count as votes FOR Not</w:t>
            </w:r>
          </w:p>
        </w:tc>
      </w:tr>
      <w:tr>
        <w:trPr>
          <w:trHeight w:val="203"/>
        </w:trPr>
        <w:tc>
          <w:tcPr>
            <w:tcW w:w="2320" w:type="dxa"/>
            <w:vAlign w:val="bottom"/>
            <w:shd w:val="clear" w:color="auto" w:fill="EDEDED"/>
          </w:tcPr>
          <w:p>
            <w:pPr>
              <w:spacing w:after="0" w:line="202" w:lineRule="exact"/>
              <w:rPr>
                <w:sz w:val="20"/>
                <w:szCs w:val="20"/>
                <w:color w:val="auto"/>
              </w:rPr>
            </w:pPr>
            <w:r>
              <w:rPr>
                <w:rFonts w:ascii="Arial" w:cs="Arial" w:eastAsia="Arial" w:hAnsi="Arial"/>
                <w:sz w:val="18"/>
                <w:szCs w:val="18"/>
                <w:color w:val="auto"/>
              </w:rPr>
              <w:t>Independent Registered</w:t>
            </w:r>
          </w:p>
        </w:tc>
        <w:tc>
          <w:tcPr>
            <w:tcW w:w="3300" w:type="dxa"/>
            <w:vAlign w:val="bottom"/>
            <w:shd w:val="clear" w:color="auto" w:fill="EDEDED"/>
          </w:tcPr>
          <w:p>
            <w:pPr>
              <w:ind w:left="60"/>
              <w:spacing w:after="0" w:line="202" w:lineRule="exact"/>
              <w:rPr>
                <w:sz w:val="20"/>
                <w:szCs w:val="20"/>
                <w:color w:val="auto"/>
              </w:rPr>
            </w:pPr>
            <w:r>
              <w:rPr>
                <w:rFonts w:ascii="Arial" w:cs="Arial" w:eastAsia="Arial" w:hAnsi="Arial"/>
                <w:sz w:val="18"/>
                <w:szCs w:val="18"/>
                <w:color w:val="auto"/>
              </w:rPr>
              <w:t>Class A, B, C and D Common Stock,</w:t>
            </w:r>
          </w:p>
        </w:tc>
        <w:tc>
          <w:tcPr>
            <w:tcW w:w="1300" w:type="dxa"/>
            <w:vAlign w:val="bottom"/>
            <w:shd w:val="clear" w:color="auto" w:fill="EDEDED"/>
          </w:tcPr>
          <w:p>
            <w:pPr>
              <w:ind w:left="140"/>
              <w:spacing w:after="0" w:line="202" w:lineRule="exact"/>
              <w:rPr>
                <w:sz w:val="20"/>
                <w:szCs w:val="20"/>
                <w:color w:val="auto"/>
              </w:rPr>
            </w:pPr>
            <w:r>
              <w:rPr>
                <w:rFonts w:ascii="Arial" w:cs="Arial" w:eastAsia="Arial" w:hAnsi="Arial"/>
                <w:sz w:val="18"/>
                <w:szCs w:val="18"/>
                <w:color w:val="auto"/>
              </w:rPr>
              <w:t>voting</w:t>
            </w:r>
          </w:p>
        </w:tc>
        <w:tc>
          <w:tcPr>
            <w:tcW w:w="1420" w:type="dxa"/>
            <w:vAlign w:val="bottom"/>
            <w:shd w:val="clear" w:color="auto" w:fill="EDEDED"/>
          </w:tcPr>
          <w:p>
            <w:pPr>
              <w:spacing w:after="0"/>
              <w:rPr>
                <w:sz w:val="17"/>
                <w:szCs w:val="17"/>
                <w:color w:val="auto"/>
              </w:rPr>
            </w:pPr>
          </w:p>
        </w:tc>
        <w:tc>
          <w:tcPr>
            <w:tcW w:w="2900" w:type="dxa"/>
            <w:vAlign w:val="bottom"/>
            <w:shd w:val="clear" w:color="auto" w:fill="EDEDED"/>
          </w:tcPr>
          <w:p>
            <w:pPr>
              <w:ind w:left="1800"/>
              <w:spacing w:after="0" w:line="202" w:lineRule="exact"/>
              <w:rPr>
                <w:sz w:val="20"/>
                <w:szCs w:val="20"/>
                <w:color w:val="auto"/>
              </w:rPr>
            </w:pPr>
            <w:r>
              <w:rPr>
                <w:rFonts w:ascii="Arial" w:cs="Arial" w:eastAsia="Arial" w:hAnsi="Arial"/>
                <w:sz w:val="18"/>
                <w:szCs w:val="18"/>
                <w:color w:val="auto"/>
              </w:rPr>
              <w:t>applicable</w:t>
            </w:r>
          </w:p>
        </w:tc>
      </w:tr>
      <w:tr>
        <w:trPr>
          <w:trHeight w:val="203"/>
        </w:trPr>
        <w:tc>
          <w:tcPr>
            <w:tcW w:w="2320" w:type="dxa"/>
            <w:vAlign w:val="bottom"/>
            <w:shd w:val="clear" w:color="auto" w:fill="EDEDED"/>
          </w:tcPr>
          <w:p>
            <w:pPr>
              <w:spacing w:after="0" w:line="202" w:lineRule="exact"/>
              <w:rPr>
                <w:sz w:val="20"/>
                <w:szCs w:val="20"/>
                <w:color w:val="auto"/>
              </w:rPr>
            </w:pPr>
            <w:r>
              <w:rPr>
                <w:rFonts w:ascii="Arial" w:cs="Arial" w:eastAsia="Arial" w:hAnsi="Arial"/>
                <w:sz w:val="18"/>
                <w:szCs w:val="18"/>
                <w:color w:val="auto"/>
              </w:rPr>
              <w:t>Public Accounting Firm</w:t>
            </w:r>
          </w:p>
        </w:tc>
        <w:tc>
          <w:tcPr>
            <w:tcW w:w="3300" w:type="dxa"/>
            <w:vAlign w:val="bottom"/>
            <w:shd w:val="clear" w:color="auto" w:fill="EDEDED"/>
          </w:tcPr>
          <w:p>
            <w:pPr>
              <w:ind w:left="60"/>
              <w:spacing w:after="0" w:line="202" w:lineRule="exact"/>
              <w:rPr>
                <w:sz w:val="20"/>
                <w:szCs w:val="20"/>
                <w:color w:val="auto"/>
              </w:rPr>
            </w:pPr>
            <w:r>
              <w:rPr>
                <w:rFonts w:ascii="Arial" w:cs="Arial" w:eastAsia="Arial" w:hAnsi="Arial"/>
                <w:sz w:val="18"/>
                <w:szCs w:val="18"/>
                <w:color w:val="auto"/>
              </w:rPr>
              <w:t>present in person or represented by</w:t>
            </w:r>
          </w:p>
        </w:tc>
        <w:tc>
          <w:tcPr>
            <w:tcW w:w="1300" w:type="dxa"/>
            <w:vAlign w:val="bottom"/>
            <w:shd w:val="clear" w:color="auto" w:fill="EDEDED"/>
          </w:tcPr>
          <w:p>
            <w:pPr>
              <w:spacing w:after="0"/>
              <w:rPr>
                <w:sz w:val="17"/>
                <w:szCs w:val="17"/>
                <w:color w:val="auto"/>
              </w:rPr>
            </w:pPr>
          </w:p>
        </w:tc>
        <w:tc>
          <w:tcPr>
            <w:tcW w:w="1420" w:type="dxa"/>
            <w:vAlign w:val="bottom"/>
            <w:shd w:val="clear" w:color="auto" w:fill="EDEDED"/>
          </w:tcPr>
          <w:p>
            <w:pPr>
              <w:spacing w:after="0"/>
              <w:rPr>
                <w:sz w:val="17"/>
                <w:szCs w:val="17"/>
                <w:color w:val="auto"/>
              </w:rPr>
            </w:pPr>
          </w:p>
        </w:tc>
        <w:tc>
          <w:tcPr>
            <w:tcW w:w="2900" w:type="dxa"/>
            <w:vAlign w:val="bottom"/>
            <w:shd w:val="clear" w:color="auto" w:fill="EDEDED"/>
          </w:tcPr>
          <w:p>
            <w:pPr>
              <w:spacing w:after="0"/>
              <w:rPr>
                <w:sz w:val="17"/>
                <w:szCs w:val="17"/>
                <w:color w:val="auto"/>
              </w:rPr>
            </w:pPr>
          </w:p>
        </w:tc>
      </w:tr>
      <w:tr>
        <w:trPr>
          <w:trHeight w:val="239"/>
        </w:trPr>
        <w:tc>
          <w:tcPr>
            <w:tcW w:w="2320" w:type="dxa"/>
            <w:vAlign w:val="bottom"/>
            <w:shd w:val="clear" w:color="auto" w:fill="EDEDED"/>
          </w:tcPr>
          <w:p>
            <w:pPr>
              <w:spacing w:after="0"/>
              <w:rPr>
                <w:sz w:val="20"/>
                <w:szCs w:val="20"/>
                <w:color w:val="auto"/>
              </w:rPr>
            </w:pPr>
          </w:p>
        </w:tc>
        <w:tc>
          <w:tcPr>
            <w:tcW w:w="3300" w:type="dxa"/>
            <w:vAlign w:val="bottom"/>
            <w:shd w:val="clear" w:color="auto" w:fill="EDEDED"/>
          </w:tcPr>
          <w:p>
            <w:pPr>
              <w:ind w:left="60"/>
              <w:spacing w:after="0"/>
              <w:rPr>
                <w:sz w:val="20"/>
                <w:szCs w:val="20"/>
                <w:color w:val="auto"/>
              </w:rPr>
            </w:pPr>
            <w:r>
              <w:rPr>
                <w:rFonts w:ascii="Arial" w:cs="Arial" w:eastAsia="Arial" w:hAnsi="Arial"/>
                <w:sz w:val="18"/>
                <w:szCs w:val="18"/>
                <w:color w:val="auto"/>
              </w:rPr>
              <w:t>Proxy and entitled to vote.</w:t>
            </w:r>
          </w:p>
        </w:tc>
        <w:tc>
          <w:tcPr>
            <w:tcW w:w="1300" w:type="dxa"/>
            <w:vAlign w:val="bottom"/>
            <w:shd w:val="clear" w:color="auto" w:fill="EDEDED"/>
          </w:tcPr>
          <w:p>
            <w:pPr>
              <w:spacing w:after="0"/>
              <w:rPr>
                <w:sz w:val="20"/>
                <w:szCs w:val="20"/>
                <w:color w:val="auto"/>
              </w:rPr>
            </w:pPr>
          </w:p>
        </w:tc>
        <w:tc>
          <w:tcPr>
            <w:tcW w:w="1420" w:type="dxa"/>
            <w:vAlign w:val="bottom"/>
            <w:shd w:val="clear" w:color="auto" w:fill="EDEDED"/>
          </w:tcPr>
          <w:p>
            <w:pPr>
              <w:spacing w:after="0"/>
              <w:rPr>
                <w:sz w:val="20"/>
                <w:szCs w:val="20"/>
                <w:color w:val="auto"/>
              </w:rPr>
            </w:pPr>
          </w:p>
        </w:tc>
        <w:tc>
          <w:tcPr>
            <w:tcW w:w="2900" w:type="dxa"/>
            <w:vAlign w:val="bottom"/>
            <w:shd w:val="clear" w:color="auto" w:fill="EDEDED"/>
          </w:tcPr>
          <w:p>
            <w:pPr>
              <w:spacing w:after="0"/>
              <w:rPr>
                <w:sz w:val="20"/>
                <w:szCs w:val="20"/>
                <w:color w:val="auto"/>
              </w:rPr>
            </w:pPr>
          </w:p>
        </w:tc>
      </w:tr>
      <w:tr>
        <w:trPr>
          <w:trHeight w:val="63"/>
        </w:trPr>
        <w:tc>
          <w:tcPr>
            <w:tcW w:w="2320" w:type="dxa"/>
            <w:vAlign w:val="bottom"/>
            <w:shd w:val="clear" w:color="auto" w:fill="EDEDED"/>
          </w:tcPr>
          <w:p>
            <w:pPr>
              <w:spacing w:after="0"/>
              <w:rPr>
                <w:sz w:val="5"/>
                <w:szCs w:val="5"/>
                <w:color w:val="auto"/>
              </w:rPr>
            </w:pPr>
          </w:p>
        </w:tc>
        <w:tc>
          <w:tcPr>
            <w:tcW w:w="3300" w:type="dxa"/>
            <w:vAlign w:val="bottom"/>
            <w:shd w:val="clear" w:color="auto" w:fill="EDEDED"/>
          </w:tcPr>
          <w:p>
            <w:pPr>
              <w:spacing w:after="0"/>
              <w:rPr>
                <w:sz w:val="5"/>
                <w:szCs w:val="5"/>
                <w:color w:val="auto"/>
              </w:rPr>
            </w:pPr>
          </w:p>
        </w:tc>
        <w:tc>
          <w:tcPr>
            <w:tcW w:w="1300" w:type="dxa"/>
            <w:vAlign w:val="bottom"/>
            <w:shd w:val="clear" w:color="auto" w:fill="EDEDED"/>
          </w:tcPr>
          <w:p>
            <w:pPr>
              <w:spacing w:after="0"/>
              <w:rPr>
                <w:sz w:val="5"/>
                <w:szCs w:val="5"/>
                <w:color w:val="auto"/>
              </w:rPr>
            </w:pPr>
          </w:p>
        </w:tc>
        <w:tc>
          <w:tcPr>
            <w:tcW w:w="1420" w:type="dxa"/>
            <w:vAlign w:val="bottom"/>
            <w:shd w:val="clear" w:color="auto" w:fill="EDEDED"/>
          </w:tcPr>
          <w:p>
            <w:pPr>
              <w:spacing w:after="0"/>
              <w:rPr>
                <w:sz w:val="5"/>
                <w:szCs w:val="5"/>
                <w:color w:val="auto"/>
              </w:rPr>
            </w:pPr>
          </w:p>
        </w:tc>
        <w:tc>
          <w:tcPr>
            <w:tcW w:w="2900" w:type="dxa"/>
            <w:vAlign w:val="bottom"/>
            <w:shd w:val="clear" w:color="auto" w:fill="EDEDED"/>
          </w:tcPr>
          <w:p>
            <w:pPr>
              <w:spacing w:after="0"/>
              <w:rPr>
                <w:sz w:val="5"/>
                <w:szCs w:val="5"/>
                <w:color w:val="auto"/>
              </w:rPr>
            </w:pPr>
          </w:p>
        </w:tc>
      </w:tr>
    </w:tbl>
    <w:p>
      <w:pPr>
        <w:spacing w:after="0" w:line="8"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47" w:lineRule="auto"/>
        <w:rPr>
          <w:sz w:val="20"/>
          <w:szCs w:val="20"/>
          <w:color w:val="auto"/>
        </w:rPr>
      </w:pPr>
      <w:r>
        <w:rPr>
          <w:rFonts w:ascii="Arial" w:cs="Arial" w:eastAsia="Arial" w:hAnsi="Arial"/>
          <w:sz w:val="18"/>
          <w:szCs w:val="18"/>
          <w:b w:val="1"/>
          <w:bCs w:val="1"/>
          <w:color w:val="auto"/>
        </w:rPr>
        <w:t xml:space="preserve">Proposal 4: </w:t>
      </w:r>
      <w:r>
        <w:rPr>
          <w:rFonts w:ascii="Arial" w:cs="Arial" w:eastAsia="Arial" w:hAnsi="Arial"/>
          <w:sz w:val="18"/>
          <w:szCs w:val="18"/>
          <w:color w:val="auto"/>
        </w:rPr>
        <w:t>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to report votes based on UHS shareholder money at risk</w:t>
      </w:r>
    </w:p>
    <w:p>
      <w:pPr>
        <w:spacing w:after="0" w:line="20" w:lineRule="exact"/>
        <w:rPr>
          <w:sz w:val="20"/>
          <w:szCs w:val="20"/>
          <w:color w:val="auto"/>
        </w:rPr>
      </w:pPr>
      <w:r>
        <w:rPr>
          <w:sz w:val="20"/>
          <w:szCs w:val="20"/>
          <w:color w:val="auto"/>
        </w:rPr>
        <w:br w:type="column"/>
      </w:r>
    </w:p>
    <w:p>
      <w:pPr>
        <w:spacing w:after="0"/>
        <w:tabs>
          <w:tab w:leader="none" w:pos="3360" w:val="left"/>
          <w:tab w:leader="none" w:pos="4700" w:val="left"/>
          <w:tab w:leader="none" w:pos="6040" w:val="left"/>
          <w:tab w:leader="none" w:pos="7740" w:val="left"/>
        </w:tabs>
        <w:rPr>
          <w:sz w:val="20"/>
          <w:szCs w:val="20"/>
          <w:color w:val="auto"/>
        </w:rPr>
      </w:pPr>
      <w:r>
        <w:rPr>
          <w:rFonts w:ascii="Arial" w:cs="Arial" w:eastAsia="Arial" w:hAnsi="Arial"/>
          <w:sz w:val="18"/>
          <w:szCs w:val="18"/>
          <w:color w:val="auto"/>
        </w:rPr>
        <w:t>Majority of the votes cast by holders of</w:t>
      </w:r>
      <w:r>
        <w:rPr>
          <w:sz w:val="20"/>
          <w:szCs w:val="20"/>
          <w:color w:val="auto"/>
        </w:rPr>
        <w:tab/>
      </w:r>
      <w:r>
        <w:rPr>
          <w:rFonts w:ascii="Arial" w:cs="Arial" w:eastAsia="Arial" w:hAnsi="Arial"/>
          <w:sz w:val="18"/>
          <w:szCs w:val="18"/>
          <w:color w:val="auto"/>
        </w:rPr>
        <w:t>No effect on</w:t>
      </w:r>
      <w:r>
        <w:rPr>
          <w:sz w:val="20"/>
          <w:szCs w:val="20"/>
          <w:color w:val="auto"/>
        </w:rPr>
        <w:tab/>
      </w:r>
      <w:r>
        <w:rPr>
          <w:rFonts w:ascii="Arial" w:cs="Arial" w:eastAsia="Arial" w:hAnsi="Arial"/>
          <w:sz w:val="18"/>
          <w:szCs w:val="18"/>
          <w:color w:val="auto"/>
        </w:rPr>
        <w:t>Not applicable</w:t>
        <w:tab/>
        <w:t>Count as votes</w:t>
      </w:r>
      <w:r>
        <w:rPr>
          <w:sz w:val="20"/>
          <w:szCs w:val="20"/>
          <w:color w:val="auto"/>
        </w:rPr>
        <w:tab/>
      </w:r>
      <w:r>
        <w:rPr>
          <w:rFonts w:ascii="Arial" w:cs="Arial" w:eastAsia="Arial" w:hAnsi="Arial"/>
          <w:sz w:val="18"/>
          <w:szCs w:val="18"/>
          <w:color w:val="auto"/>
        </w:rPr>
        <w:t>No effect on</w:t>
      </w:r>
    </w:p>
    <w:p>
      <w:pPr>
        <w:spacing w:after="0" w:line="9" w:lineRule="exact"/>
        <w:rPr>
          <w:sz w:val="20"/>
          <w:szCs w:val="20"/>
          <w:color w:val="auto"/>
        </w:rPr>
      </w:pPr>
    </w:p>
    <w:p>
      <w:pPr>
        <w:spacing w:after="0"/>
        <w:tabs>
          <w:tab w:leader="none" w:pos="3360" w:val="left"/>
          <w:tab w:leader="none" w:pos="6040" w:val="left"/>
          <w:tab w:leader="none" w:pos="7740" w:val="left"/>
        </w:tabs>
        <w:rPr>
          <w:sz w:val="20"/>
          <w:szCs w:val="20"/>
          <w:color w:val="auto"/>
        </w:rPr>
      </w:pPr>
      <w:r>
        <w:rPr>
          <w:rFonts w:ascii="Arial" w:cs="Arial" w:eastAsia="Arial" w:hAnsi="Arial"/>
          <w:sz w:val="18"/>
          <w:szCs w:val="18"/>
          <w:color w:val="auto"/>
        </w:rPr>
        <w:t>Class A, B, C and D Common Stock,</w:t>
      </w:r>
      <w:r>
        <w:rPr>
          <w:sz w:val="20"/>
          <w:szCs w:val="20"/>
          <w:color w:val="auto"/>
        </w:rPr>
        <w:tab/>
      </w:r>
      <w:r>
        <w:rPr>
          <w:rFonts w:ascii="Arial" w:cs="Arial" w:eastAsia="Arial" w:hAnsi="Arial"/>
          <w:sz w:val="18"/>
          <w:szCs w:val="18"/>
          <w:color w:val="auto"/>
        </w:rPr>
        <w:t>voting</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7"/>
          <w:szCs w:val="17"/>
          <w:color w:val="auto"/>
        </w:rPr>
        <w:t>voting</w:t>
      </w:r>
    </w:p>
    <w:p>
      <w:pPr>
        <w:spacing w:after="0" w:line="234" w:lineRule="auto"/>
        <w:rPr>
          <w:sz w:val="20"/>
          <w:szCs w:val="20"/>
          <w:color w:val="auto"/>
        </w:rPr>
      </w:pPr>
      <w:r>
        <w:rPr>
          <w:rFonts w:ascii="Arial" w:cs="Arial" w:eastAsia="Arial" w:hAnsi="Arial"/>
          <w:sz w:val="18"/>
          <w:szCs w:val="18"/>
          <w:color w:val="auto"/>
        </w:rPr>
        <w:t>present in person or represented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Proxy and entitled to vote.</w:t>
      </w:r>
    </w:p>
    <w:p>
      <w:pPr>
        <w:spacing w:after="0" w:line="80" w:lineRule="exact"/>
        <w:rPr>
          <w:sz w:val="20"/>
          <w:szCs w:val="20"/>
          <w:color w:val="auto"/>
        </w:rPr>
      </w:pPr>
    </w:p>
    <w:p>
      <w:pPr>
        <w:sectPr>
          <w:pgSz w:w="11900" w:h="16838" w:orient="portrait"/>
          <w:cols w:equalWidth="0" w:num="2">
            <w:col w:w="2180" w:space="200"/>
            <w:col w:w="886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240" w:type="dxa"/>
            <w:vAlign w:val="bottom"/>
            <w:shd w:val="clear" w:color="auto" w:fill="EDEDED"/>
          </w:tcPr>
          <w:p>
            <w:pPr>
              <w:spacing w:after="0"/>
              <w:rPr>
                <w:sz w:val="20"/>
                <w:szCs w:val="20"/>
                <w:color w:val="auto"/>
              </w:rPr>
            </w:pPr>
            <w:r>
              <w:rPr>
                <w:rFonts w:ascii="Arial" w:cs="Arial" w:eastAsia="Arial" w:hAnsi="Arial"/>
                <w:sz w:val="18"/>
                <w:szCs w:val="18"/>
                <w:b w:val="1"/>
                <w:bCs w:val="1"/>
                <w:color w:val="auto"/>
              </w:rPr>
              <w:t xml:space="preserve">Proposal 5: </w:t>
            </w:r>
            <w:r>
              <w:rPr>
                <w:rFonts w:ascii="Arial" w:cs="Arial" w:eastAsia="Arial" w:hAnsi="Arial"/>
                <w:sz w:val="18"/>
                <w:szCs w:val="18"/>
                <w:color w:val="auto"/>
              </w:rPr>
              <w:t>Stockholder</w:t>
            </w:r>
          </w:p>
        </w:tc>
        <w:tc>
          <w:tcPr>
            <w:tcW w:w="3380" w:type="dxa"/>
            <w:vAlign w:val="bottom"/>
            <w:shd w:val="clear" w:color="auto" w:fill="EDEDED"/>
          </w:tcPr>
          <w:p>
            <w:pPr>
              <w:ind w:left="140"/>
              <w:spacing w:after="0"/>
              <w:rPr>
                <w:sz w:val="20"/>
                <w:szCs w:val="20"/>
                <w:color w:val="auto"/>
              </w:rPr>
            </w:pPr>
            <w:r>
              <w:rPr>
                <w:rFonts w:ascii="Arial" w:cs="Arial" w:eastAsia="Arial" w:hAnsi="Arial"/>
                <w:sz w:val="18"/>
                <w:szCs w:val="18"/>
                <w:color w:val="auto"/>
              </w:rPr>
              <w:t>Majority of the votes cast by holders of</w:t>
            </w:r>
          </w:p>
        </w:tc>
        <w:tc>
          <w:tcPr>
            <w:tcW w:w="1300" w:type="dxa"/>
            <w:vAlign w:val="bottom"/>
            <w:shd w:val="clear" w:color="auto" w:fill="EDEDED"/>
          </w:tcPr>
          <w:p>
            <w:pPr>
              <w:ind w:left="140"/>
              <w:spacing w:after="0"/>
              <w:rPr>
                <w:sz w:val="20"/>
                <w:szCs w:val="20"/>
                <w:color w:val="auto"/>
              </w:rPr>
            </w:pPr>
            <w:r>
              <w:rPr>
                <w:rFonts w:ascii="Arial" w:cs="Arial" w:eastAsia="Arial" w:hAnsi="Arial"/>
                <w:sz w:val="18"/>
                <w:szCs w:val="18"/>
                <w:color w:val="auto"/>
              </w:rPr>
              <w:t>No effect on</w:t>
            </w:r>
          </w:p>
        </w:tc>
        <w:tc>
          <w:tcPr>
            <w:tcW w:w="2980" w:type="dxa"/>
            <w:vAlign w:val="bottom"/>
            <w:shd w:val="clear" w:color="auto" w:fill="EDEDED"/>
          </w:tcPr>
          <w:p>
            <w:pPr>
              <w:ind w:left="180"/>
              <w:spacing w:after="0"/>
              <w:rPr>
                <w:sz w:val="20"/>
                <w:szCs w:val="20"/>
                <w:color w:val="auto"/>
              </w:rPr>
            </w:pPr>
            <w:r>
              <w:rPr>
                <w:rFonts w:ascii="Arial" w:cs="Arial" w:eastAsia="Arial" w:hAnsi="Arial"/>
                <w:sz w:val="18"/>
                <w:szCs w:val="18"/>
                <w:color w:val="auto"/>
              </w:rPr>
              <w:t>Not applicable  Count as votes</w:t>
            </w:r>
          </w:p>
        </w:tc>
        <w:tc>
          <w:tcPr>
            <w:tcW w:w="1340" w:type="dxa"/>
            <w:vAlign w:val="bottom"/>
            <w:shd w:val="clear" w:color="auto" w:fill="EDEDED"/>
          </w:tcPr>
          <w:p>
            <w:pPr>
              <w:ind w:left="240"/>
              <w:spacing w:after="0"/>
              <w:rPr>
                <w:sz w:val="20"/>
                <w:szCs w:val="20"/>
                <w:color w:val="auto"/>
              </w:rPr>
            </w:pPr>
            <w:r>
              <w:rPr>
                <w:rFonts w:ascii="Arial" w:cs="Arial" w:eastAsia="Arial" w:hAnsi="Arial"/>
                <w:sz w:val="18"/>
                <w:szCs w:val="18"/>
                <w:color w:val="auto"/>
              </w:rPr>
              <w:t>No effect on</w:t>
            </w:r>
          </w:p>
        </w:tc>
      </w:tr>
      <w:tr>
        <w:trPr>
          <w:trHeight w:val="203"/>
        </w:trPr>
        <w:tc>
          <w:tcPr>
            <w:tcW w:w="2240" w:type="dxa"/>
            <w:vAlign w:val="bottom"/>
            <w:shd w:val="clear" w:color="auto" w:fill="EDEDED"/>
          </w:tcPr>
          <w:p>
            <w:pPr>
              <w:spacing w:after="0" w:line="202" w:lineRule="exact"/>
              <w:rPr>
                <w:sz w:val="20"/>
                <w:szCs w:val="20"/>
                <w:color w:val="auto"/>
              </w:rPr>
            </w:pPr>
            <w:r>
              <w:rPr>
                <w:rFonts w:ascii="Arial" w:cs="Arial" w:eastAsia="Arial" w:hAnsi="Arial"/>
                <w:sz w:val="18"/>
                <w:szCs w:val="18"/>
                <w:color w:val="auto"/>
              </w:rPr>
              <w:t>Proposal to adopt a policy</w:t>
            </w:r>
          </w:p>
        </w:tc>
        <w:tc>
          <w:tcPr>
            <w:tcW w:w="3380" w:type="dxa"/>
            <w:vAlign w:val="bottom"/>
            <w:shd w:val="clear" w:color="auto" w:fill="EDEDED"/>
          </w:tcPr>
          <w:p>
            <w:pPr>
              <w:ind w:left="140"/>
              <w:spacing w:after="0" w:line="202" w:lineRule="exact"/>
              <w:rPr>
                <w:sz w:val="20"/>
                <w:szCs w:val="20"/>
                <w:color w:val="auto"/>
              </w:rPr>
            </w:pPr>
            <w:r>
              <w:rPr>
                <w:rFonts w:ascii="Arial" w:cs="Arial" w:eastAsia="Arial" w:hAnsi="Arial"/>
                <w:sz w:val="18"/>
                <w:szCs w:val="18"/>
                <w:color w:val="auto"/>
              </w:rPr>
              <w:t>Class A, B, C and D Common Stock,</w:t>
            </w:r>
          </w:p>
        </w:tc>
        <w:tc>
          <w:tcPr>
            <w:tcW w:w="1300" w:type="dxa"/>
            <w:vAlign w:val="bottom"/>
            <w:shd w:val="clear" w:color="auto" w:fill="EDEDED"/>
          </w:tcPr>
          <w:p>
            <w:pPr>
              <w:ind w:left="140"/>
              <w:spacing w:after="0" w:line="202" w:lineRule="exact"/>
              <w:rPr>
                <w:sz w:val="20"/>
                <w:szCs w:val="20"/>
                <w:color w:val="auto"/>
              </w:rPr>
            </w:pPr>
            <w:r>
              <w:rPr>
                <w:rFonts w:ascii="Arial" w:cs="Arial" w:eastAsia="Arial" w:hAnsi="Arial"/>
                <w:sz w:val="18"/>
                <w:szCs w:val="18"/>
                <w:color w:val="auto"/>
              </w:rPr>
              <w:t>voting</w:t>
            </w:r>
          </w:p>
        </w:tc>
        <w:tc>
          <w:tcPr>
            <w:tcW w:w="2980" w:type="dxa"/>
            <w:vAlign w:val="bottom"/>
            <w:shd w:val="clear" w:color="auto" w:fill="EDEDED"/>
          </w:tcPr>
          <w:p>
            <w:pPr>
              <w:ind w:left="1520"/>
              <w:spacing w:after="0" w:line="202" w:lineRule="exact"/>
              <w:rPr>
                <w:sz w:val="20"/>
                <w:szCs w:val="20"/>
                <w:color w:val="auto"/>
              </w:rPr>
            </w:pPr>
            <w:r>
              <w:rPr>
                <w:rFonts w:ascii="Arial" w:cs="Arial" w:eastAsia="Arial" w:hAnsi="Arial"/>
                <w:sz w:val="18"/>
                <w:szCs w:val="18"/>
                <w:color w:val="auto"/>
              </w:rPr>
              <w:t>AGAINST</w:t>
            </w:r>
          </w:p>
        </w:tc>
        <w:tc>
          <w:tcPr>
            <w:tcW w:w="1340" w:type="dxa"/>
            <w:vAlign w:val="bottom"/>
            <w:shd w:val="clear" w:color="auto" w:fill="EDEDED"/>
          </w:tcPr>
          <w:p>
            <w:pPr>
              <w:ind w:left="240"/>
              <w:spacing w:after="0" w:line="202" w:lineRule="exact"/>
              <w:rPr>
                <w:sz w:val="20"/>
                <w:szCs w:val="20"/>
                <w:color w:val="auto"/>
              </w:rPr>
            </w:pPr>
            <w:r>
              <w:rPr>
                <w:rFonts w:ascii="Arial" w:cs="Arial" w:eastAsia="Arial" w:hAnsi="Arial"/>
                <w:sz w:val="18"/>
                <w:szCs w:val="18"/>
                <w:color w:val="auto"/>
              </w:rPr>
              <w:t>voting</w:t>
            </w:r>
          </w:p>
        </w:tc>
      </w:tr>
      <w:tr>
        <w:trPr>
          <w:trHeight w:val="203"/>
        </w:trPr>
        <w:tc>
          <w:tcPr>
            <w:tcW w:w="2240" w:type="dxa"/>
            <w:vAlign w:val="bottom"/>
            <w:shd w:val="clear" w:color="auto" w:fill="EDEDED"/>
          </w:tcPr>
          <w:p>
            <w:pPr>
              <w:spacing w:after="0" w:line="202" w:lineRule="exact"/>
              <w:rPr>
                <w:sz w:val="20"/>
                <w:szCs w:val="20"/>
                <w:color w:val="auto"/>
              </w:rPr>
            </w:pPr>
            <w:r>
              <w:rPr>
                <w:rFonts w:ascii="Arial" w:cs="Arial" w:eastAsia="Arial" w:hAnsi="Arial"/>
                <w:sz w:val="18"/>
                <w:szCs w:val="18"/>
                <w:color w:val="auto"/>
              </w:rPr>
              <w:t>requiring Universal Health</w:t>
            </w:r>
          </w:p>
        </w:tc>
        <w:tc>
          <w:tcPr>
            <w:tcW w:w="3380" w:type="dxa"/>
            <w:vAlign w:val="bottom"/>
            <w:shd w:val="clear" w:color="auto" w:fill="EDEDED"/>
          </w:tcPr>
          <w:p>
            <w:pPr>
              <w:ind w:left="140"/>
              <w:spacing w:after="0" w:line="202" w:lineRule="exact"/>
              <w:rPr>
                <w:sz w:val="20"/>
                <w:szCs w:val="20"/>
                <w:color w:val="auto"/>
              </w:rPr>
            </w:pPr>
            <w:r>
              <w:rPr>
                <w:rFonts w:ascii="Arial" w:cs="Arial" w:eastAsia="Arial" w:hAnsi="Arial"/>
                <w:sz w:val="18"/>
                <w:szCs w:val="18"/>
                <w:color w:val="auto"/>
              </w:rPr>
              <w:t>present in person or represented by</w:t>
            </w:r>
          </w:p>
        </w:tc>
        <w:tc>
          <w:tcPr>
            <w:tcW w:w="1300" w:type="dxa"/>
            <w:vAlign w:val="bottom"/>
            <w:shd w:val="clear" w:color="auto" w:fill="EDEDED"/>
          </w:tcPr>
          <w:p>
            <w:pPr>
              <w:spacing w:after="0"/>
              <w:rPr>
                <w:sz w:val="17"/>
                <w:szCs w:val="17"/>
                <w:color w:val="auto"/>
              </w:rPr>
            </w:pPr>
          </w:p>
        </w:tc>
        <w:tc>
          <w:tcPr>
            <w:tcW w:w="2980" w:type="dxa"/>
            <w:vAlign w:val="bottom"/>
            <w:shd w:val="clear" w:color="auto" w:fill="EDEDED"/>
          </w:tcPr>
          <w:p>
            <w:pPr>
              <w:spacing w:after="0"/>
              <w:rPr>
                <w:sz w:val="17"/>
                <w:szCs w:val="17"/>
                <w:color w:val="auto"/>
              </w:rPr>
            </w:pPr>
          </w:p>
        </w:tc>
        <w:tc>
          <w:tcPr>
            <w:tcW w:w="1340" w:type="dxa"/>
            <w:vAlign w:val="bottom"/>
            <w:shd w:val="clear" w:color="auto" w:fill="EDEDED"/>
          </w:tcPr>
          <w:p>
            <w:pPr>
              <w:spacing w:after="0"/>
              <w:rPr>
                <w:sz w:val="17"/>
                <w:szCs w:val="17"/>
                <w:color w:val="auto"/>
              </w:rPr>
            </w:pPr>
          </w:p>
        </w:tc>
      </w:tr>
      <w:tr>
        <w:trPr>
          <w:trHeight w:val="203"/>
        </w:trPr>
        <w:tc>
          <w:tcPr>
            <w:tcW w:w="2240" w:type="dxa"/>
            <w:vAlign w:val="bottom"/>
            <w:shd w:val="clear" w:color="auto" w:fill="EDEDED"/>
          </w:tcPr>
          <w:p>
            <w:pPr>
              <w:spacing w:after="0" w:line="202" w:lineRule="exact"/>
              <w:rPr>
                <w:sz w:val="20"/>
                <w:szCs w:val="20"/>
                <w:color w:val="auto"/>
              </w:rPr>
            </w:pPr>
            <w:r>
              <w:rPr>
                <w:rFonts w:ascii="Arial" w:cs="Arial" w:eastAsia="Arial" w:hAnsi="Arial"/>
                <w:sz w:val="18"/>
                <w:szCs w:val="18"/>
                <w:color w:val="auto"/>
              </w:rPr>
              <w:t>Services, Inc. to publicly</w:t>
            </w:r>
          </w:p>
        </w:tc>
        <w:tc>
          <w:tcPr>
            <w:tcW w:w="3380" w:type="dxa"/>
            <w:vAlign w:val="bottom"/>
            <w:shd w:val="clear" w:color="auto" w:fill="EDEDED"/>
          </w:tcPr>
          <w:p>
            <w:pPr>
              <w:ind w:left="140"/>
              <w:spacing w:after="0" w:line="202" w:lineRule="exact"/>
              <w:rPr>
                <w:sz w:val="20"/>
                <w:szCs w:val="20"/>
                <w:color w:val="auto"/>
              </w:rPr>
            </w:pPr>
            <w:r>
              <w:rPr>
                <w:rFonts w:ascii="Arial" w:cs="Arial" w:eastAsia="Arial" w:hAnsi="Arial"/>
                <w:sz w:val="18"/>
                <w:szCs w:val="18"/>
                <w:color w:val="auto"/>
              </w:rPr>
              <w:t>Proxy and entitled to vote.</w:t>
            </w:r>
          </w:p>
        </w:tc>
        <w:tc>
          <w:tcPr>
            <w:tcW w:w="1300" w:type="dxa"/>
            <w:vAlign w:val="bottom"/>
            <w:shd w:val="clear" w:color="auto" w:fill="EDEDED"/>
          </w:tcPr>
          <w:p>
            <w:pPr>
              <w:spacing w:after="0"/>
              <w:rPr>
                <w:sz w:val="17"/>
                <w:szCs w:val="17"/>
                <w:color w:val="auto"/>
              </w:rPr>
            </w:pPr>
          </w:p>
        </w:tc>
        <w:tc>
          <w:tcPr>
            <w:tcW w:w="2980" w:type="dxa"/>
            <w:vAlign w:val="bottom"/>
            <w:shd w:val="clear" w:color="auto" w:fill="EDEDED"/>
          </w:tcPr>
          <w:p>
            <w:pPr>
              <w:spacing w:after="0"/>
              <w:rPr>
                <w:sz w:val="17"/>
                <w:szCs w:val="17"/>
                <w:color w:val="auto"/>
              </w:rPr>
            </w:pPr>
          </w:p>
        </w:tc>
        <w:tc>
          <w:tcPr>
            <w:tcW w:w="1340" w:type="dxa"/>
            <w:vAlign w:val="bottom"/>
            <w:shd w:val="clear" w:color="auto" w:fill="EDEDED"/>
          </w:tcPr>
          <w:p>
            <w:pPr>
              <w:spacing w:after="0"/>
              <w:rPr>
                <w:sz w:val="17"/>
                <w:szCs w:val="17"/>
                <w:color w:val="auto"/>
              </w:rPr>
            </w:pPr>
          </w:p>
        </w:tc>
      </w:tr>
      <w:tr>
        <w:trPr>
          <w:trHeight w:val="203"/>
        </w:trPr>
        <w:tc>
          <w:tcPr>
            <w:tcW w:w="2240" w:type="dxa"/>
            <w:vAlign w:val="bottom"/>
            <w:shd w:val="clear" w:color="auto" w:fill="EDEDED"/>
          </w:tcPr>
          <w:p>
            <w:pPr>
              <w:spacing w:after="0" w:line="202" w:lineRule="exact"/>
              <w:rPr>
                <w:sz w:val="20"/>
                <w:szCs w:val="20"/>
                <w:color w:val="auto"/>
              </w:rPr>
            </w:pPr>
            <w:r>
              <w:rPr>
                <w:rFonts w:ascii="Arial" w:cs="Arial" w:eastAsia="Arial" w:hAnsi="Arial"/>
                <w:sz w:val="18"/>
                <w:szCs w:val="18"/>
                <w:color w:val="auto"/>
              </w:rPr>
              <w:t>disclose its workforce</w:t>
            </w:r>
          </w:p>
        </w:tc>
        <w:tc>
          <w:tcPr>
            <w:tcW w:w="3380" w:type="dxa"/>
            <w:vAlign w:val="bottom"/>
            <w:shd w:val="clear" w:color="auto" w:fill="EDEDED"/>
          </w:tcPr>
          <w:p>
            <w:pPr>
              <w:spacing w:after="0"/>
              <w:rPr>
                <w:sz w:val="17"/>
                <w:szCs w:val="17"/>
                <w:color w:val="auto"/>
              </w:rPr>
            </w:pPr>
          </w:p>
        </w:tc>
        <w:tc>
          <w:tcPr>
            <w:tcW w:w="1300" w:type="dxa"/>
            <w:vAlign w:val="bottom"/>
            <w:shd w:val="clear" w:color="auto" w:fill="EDEDED"/>
          </w:tcPr>
          <w:p>
            <w:pPr>
              <w:spacing w:after="0"/>
              <w:rPr>
                <w:sz w:val="17"/>
                <w:szCs w:val="17"/>
                <w:color w:val="auto"/>
              </w:rPr>
            </w:pPr>
          </w:p>
        </w:tc>
        <w:tc>
          <w:tcPr>
            <w:tcW w:w="2980" w:type="dxa"/>
            <w:vAlign w:val="bottom"/>
            <w:shd w:val="clear" w:color="auto" w:fill="EDEDED"/>
          </w:tcPr>
          <w:p>
            <w:pPr>
              <w:spacing w:after="0"/>
              <w:rPr>
                <w:sz w:val="17"/>
                <w:szCs w:val="17"/>
                <w:color w:val="auto"/>
              </w:rPr>
            </w:pPr>
          </w:p>
        </w:tc>
        <w:tc>
          <w:tcPr>
            <w:tcW w:w="1340" w:type="dxa"/>
            <w:vAlign w:val="bottom"/>
            <w:shd w:val="clear" w:color="auto" w:fill="EDEDED"/>
          </w:tcPr>
          <w:p>
            <w:pPr>
              <w:spacing w:after="0"/>
              <w:rPr>
                <w:sz w:val="17"/>
                <w:szCs w:val="17"/>
                <w:color w:val="auto"/>
              </w:rPr>
            </w:pPr>
          </w:p>
        </w:tc>
      </w:tr>
      <w:tr>
        <w:trPr>
          <w:trHeight w:val="239"/>
        </w:trPr>
        <w:tc>
          <w:tcPr>
            <w:tcW w:w="2240" w:type="dxa"/>
            <w:vAlign w:val="bottom"/>
            <w:shd w:val="clear" w:color="auto" w:fill="EDEDED"/>
          </w:tcPr>
          <w:p>
            <w:pPr>
              <w:spacing w:after="0"/>
              <w:rPr>
                <w:sz w:val="20"/>
                <w:szCs w:val="20"/>
                <w:color w:val="auto"/>
              </w:rPr>
            </w:pPr>
            <w:r>
              <w:rPr>
                <w:rFonts w:ascii="Arial" w:cs="Arial" w:eastAsia="Arial" w:hAnsi="Arial"/>
                <w:sz w:val="18"/>
                <w:szCs w:val="18"/>
                <w:color w:val="auto"/>
              </w:rPr>
              <w:t>diversity</w:t>
            </w:r>
          </w:p>
        </w:tc>
        <w:tc>
          <w:tcPr>
            <w:tcW w:w="3380" w:type="dxa"/>
            <w:vAlign w:val="bottom"/>
            <w:shd w:val="clear" w:color="auto" w:fill="EDEDED"/>
          </w:tcPr>
          <w:p>
            <w:pPr>
              <w:spacing w:after="0"/>
              <w:rPr>
                <w:sz w:val="20"/>
                <w:szCs w:val="20"/>
                <w:color w:val="auto"/>
              </w:rPr>
            </w:pPr>
          </w:p>
        </w:tc>
        <w:tc>
          <w:tcPr>
            <w:tcW w:w="1300" w:type="dxa"/>
            <w:vAlign w:val="bottom"/>
            <w:shd w:val="clear" w:color="auto" w:fill="EDEDED"/>
          </w:tcPr>
          <w:p>
            <w:pPr>
              <w:spacing w:after="0"/>
              <w:rPr>
                <w:sz w:val="20"/>
                <w:szCs w:val="20"/>
                <w:color w:val="auto"/>
              </w:rPr>
            </w:pPr>
          </w:p>
        </w:tc>
        <w:tc>
          <w:tcPr>
            <w:tcW w:w="2980" w:type="dxa"/>
            <w:vAlign w:val="bottom"/>
            <w:shd w:val="clear" w:color="auto" w:fill="EDEDED"/>
          </w:tcPr>
          <w:p>
            <w:pPr>
              <w:spacing w:after="0"/>
              <w:rPr>
                <w:sz w:val="20"/>
                <w:szCs w:val="20"/>
                <w:color w:val="auto"/>
              </w:rPr>
            </w:pPr>
          </w:p>
        </w:tc>
        <w:tc>
          <w:tcPr>
            <w:tcW w:w="1340" w:type="dxa"/>
            <w:vAlign w:val="bottom"/>
            <w:shd w:val="clear" w:color="auto" w:fill="EDEDED"/>
          </w:tcPr>
          <w:p>
            <w:pPr>
              <w:spacing w:after="0"/>
              <w:rPr>
                <w:sz w:val="20"/>
                <w:szCs w:val="20"/>
                <w:color w:val="auto"/>
              </w:rPr>
            </w:pPr>
          </w:p>
        </w:tc>
      </w:tr>
      <w:tr>
        <w:trPr>
          <w:trHeight w:val="63"/>
        </w:trPr>
        <w:tc>
          <w:tcPr>
            <w:tcW w:w="2240" w:type="dxa"/>
            <w:vAlign w:val="bottom"/>
            <w:tcBorders>
              <w:bottom w:val="single" w:sz="8" w:color="7F7F7F"/>
            </w:tcBorders>
            <w:shd w:val="clear" w:color="auto" w:fill="EDEDED"/>
          </w:tcPr>
          <w:p>
            <w:pPr>
              <w:spacing w:after="0"/>
              <w:rPr>
                <w:sz w:val="5"/>
                <w:szCs w:val="5"/>
                <w:color w:val="auto"/>
              </w:rPr>
            </w:pPr>
          </w:p>
        </w:tc>
        <w:tc>
          <w:tcPr>
            <w:tcW w:w="3380" w:type="dxa"/>
            <w:vAlign w:val="bottom"/>
            <w:tcBorders>
              <w:bottom w:val="single" w:sz="8" w:color="7F7F7F"/>
            </w:tcBorders>
            <w:shd w:val="clear" w:color="auto" w:fill="EDEDED"/>
          </w:tcPr>
          <w:p>
            <w:pPr>
              <w:spacing w:after="0"/>
              <w:rPr>
                <w:sz w:val="5"/>
                <w:szCs w:val="5"/>
                <w:color w:val="auto"/>
              </w:rPr>
            </w:pPr>
          </w:p>
        </w:tc>
        <w:tc>
          <w:tcPr>
            <w:tcW w:w="1300" w:type="dxa"/>
            <w:vAlign w:val="bottom"/>
            <w:tcBorders>
              <w:bottom w:val="single" w:sz="8" w:color="7F7F7F"/>
            </w:tcBorders>
            <w:shd w:val="clear" w:color="auto" w:fill="EDEDED"/>
          </w:tcPr>
          <w:p>
            <w:pPr>
              <w:spacing w:after="0"/>
              <w:rPr>
                <w:sz w:val="5"/>
                <w:szCs w:val="5"/>
                <w:color w:val="auto"/>
              </w:rPr>
            </w:pPr>
          </w:p>
        </w:tc>
        <w:tc>
          <w:tcPr>
            <w:tcW w:w="2980" w:type="dxa"/>
            <w:vAlign w:val="bottom"/>
            <w:tcBorders>
              <w:bottom w:val="single" w:sz="8" w:color="7F7F7F"/>
            </w:tcBorders>
            <w:shd w:val="clear" w:color="auto" w:fill="EDEDED"/>
          </w:tcPr>
          <w:p>
            <w:pPr>
              <w:spacing w:after="0"/>
              <w:rPr>
                <w:sz w:val="5"/>
                <w:szCs w:val="5"/>
                <w:color w:val="auto"/>
              </w:rPr>
            </w:pPr>
          </w:p>
        </w:tc>
        <w:tc>
          <w:tcPr>
            <w:tcW w:w="1340" w:type="dxa"/>
            <w:vAlign w:val="bottom"/>
            <w:tcBorders>
              <w:bottom w:val="single" w:sz="8" w:color="7F7F7F"/>
            </w:tcBorders>
            <w:shd w:val="clear" w:color="auto" w:fill="EDEDED"/>
          </w:tcPr>
          <w:p>
            <w:pPr>
              <w:spacing w:after="0"/>
              <w:rPr>
                <w:sz w:val="5"/>
                <w:szCs w:val="5"/>
                <w:color w:val="auto"/>
              </w:rPr>
            </w:pPr>
          </w:p>
        </w:tc>
      </w:tr>
    </w:tbl>
    <w:p>
      <w:pPr>
        <w:spacing w:after="0" w:line="300" w:lineRule="exact"/>
        <w:rPr>
          <w:sz w:val="20"/>
          <w:szCs w:val="20"/>
          <w:color w:val="auto"/>
        </w:rPr>
      </w:pPr>
    </w:p>
    <w:p>
      <w:pPr>
        <w:ind w:left="560" w:hanging="432"/>
        <w:spacing w:after="0"/>
        <w:tabs>
          <w:tab w:leader="none" w:pos="56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Q: Who will count the votes?</w:t>
      </w:r>
    </w:p>
    <w:p>
      <w:pPr>
        <w:spacing w:after="0" w:line="96" w:lineRule="exact"/>
        <w:rPr>
          <w:rFonts w:ascii="Arial" w:cs="Arial" w:eastAsia="Arial" w:hAnsi="Arial"/>
          <w:sz w:val="20"/>
          <w:szCs w:val="20"/>
          <w:b w:val="1"/>
          <w:bCs w:val="1"/>
          <w:color w:val="auto"/>
        </w:rPr>
      </w:pPr>
    </w:p>
    <w:p>
      <w:pPr>
        <w:ind w:left="1020" w:hanging="376"/>
        <w:spacing w:after="0" w:line="257" w:lineRule="auto"/>
        <w:tabs>
          <w:tab w:leader="none" w:pos="1078"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Secretary will count the Class A and Class C votes. Our transfer agent will count the Class B and Class D votes and serve as inspector of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 w:name="page12"/>
    <w:bookmarkEnd w:id="11"/>
    <w:p>
      <w:pPr>
        <w:ind w:left="9260"/>
        <w:spacing w:after="0"/>
        <w:rPr>
          <w:sz w:val="20"/>
          <w:szCs w:val="20"/>
          <w:color w:val="auto"/>
        </w:rPr>
      </w:pPr>
      <w:r>
        <w:rPr>
          <w:rFonts w:ascii="Arial" w:cs="Arial" w:eastAsia="Arial" w:hAnsi="Arial"/>
          <w:sz w:val="16"/>
          <w:szCs w:val="16"/>
          <w:b w:val="1"/>
          <w:bCs w:val="1"/>
          <w:color w:val="00005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Q: When are stockholder proposals or director nominations due for the 2027 Annual Meeting?</w:t>
      </w:r>
    </w:p>
    <w:p>
      <w:pPr>
        <w:spacing w:after="0" w:line="96" w:lineRule="exact"/>
        <w:rPr>
          <w:rFonts w:ascii="Arial" w:cs="Arial" w:eastAsia="Arial" w:hAnsi="Arial"/>
          <w:sz w:val="20"/>
          <w:szCs w:val="20"/>
          <w:b w:val="1"/>
          <w:bCs w:val="1"/>
          <w:color w:val="auto"/>
        </w:rPr>
      </w:pPr>
    </w:p>
    <w:p>
      <w:pPr>
        <w:jc w:val="both"/>
        <w:ind w:left="900" w:hanging="376"/>
        <w:spacing w:after="0" w:line="233" w:lineRule="auto"/>
        <w:tabs>
          <w:tab w:leader="none" w:pos="958"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stockholder proposal intended to be included in the proxy materials for the 2027 Annual Meeting must be received by us no later than December 10, 2026. Such proposals should be sent in writing by courier or certified mail to our Secretary at Universal Health Services, Inc., Universal Corporate Center, 367 South Gulph Road, P.O. Box 61558, King of Prussia, Pennsylvania 19406. Any stockholder proposal must also be in proper form and substance, as determined in accordance with the Securities Exchange Act of 1934, as amended (the “Exchange Act”), and the rules and regulations promulgated thereunder.</w:t>
      </w:r>
    </w:p>
    <w:p>
      <w:pPr>
        <w:spacing w:after="0" w:line="64" w:lineRule="exact"/>
        <w:rPr>
          <w:sz w:val="20"/>
          <w:szCs w:val="20"/>
          <w:color w:val="auto"/>
        </w:rPr>
      </w:pPr>
    </w:p>
    <w:p>
      <w:pPr>
        <w:jc w:val="both"/>
        <w:ind w:left="900"/>
        <w:spacing w:after="0" w:line="217" w:lineRule="auto"/>
        <w:rPr>
          <w:sz w:val="20"/>
          <w:szCs w:val="20"/>
          <w:color w:val="auto"/>
        </w:rPr>
      </w:pPr>
      <w:r>
        <w:rPr>
          <w:rFonts w:ascii="Arial" w:cs="Arial" w:eastAsia="Arial" w:hAnsi="Arial"/>
          <w:sz w:val="20"/>
          <w:szCs w:val="20"/>
          <w:color w:val="auto"/>
        </w:rPr>
        <w:t>In addition, our Amended and Restated Bylaws require that the Company be given advanced notice of stockholder proposals containing nominations for election to the Board of Directors or other matters which stockholders wish to present for action at an annual meeting. These requirements are separate from, and in addition to, the requirements discussed above to have the stockholder proposal included in the proxy materials for the 2027 Annual Meeting pursuant to the SEC’s rules. The Company’s Amended and Restated Bylaws separately require that any stockholder proposal intended to be brought before the annual meeting of stockholders, including a proposal nominating one or more persons for election as directors, be received in writing by our Secretary at the address listed above not later than the close of business on the 90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nor earlier than the close of business on the 120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prior to the first anniversary of the preceding year’s annual meeting, for the 2027 Annual Meeting being between January 20, 2027 and February 19, 2027, provided, however, that in the event that the date of the 2027 Annual Meeting is advanced by more than 30 days, or delayed by more than 30 days, from the first anniversary of the 2026 Annual Meeting, the notice must be received no earlier than the close of business on the 120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prior to such meeting and not later than the close of business on the later of the 90th day prior to such meeting or the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day on which public announcement of the date of such meeting is first made.</w:t>
      </w:r>
    </w:p>
    <w:p>
      <w:pPr>
        <w:spacing w:after="0" w:line="74" w:lineRule="exact"/>
        <w:rPr>
          <w:sz w:val="20"/>
          <w:szCs w:val="20"/>
          <w:color w:val="auto"/>
        </w:rPr>
      </w:pPr>
    </w:p>
    <w:p>
      <w:pPr>
        <w:jc w:val="both"/>
        <w:ind w:left="900"/>
        <w:spacing w:after="0" w:line="224" w:lineRule="auto"/>
        <w:rPr>
          <w:sz w:val="20"/>
          <w:szCs w:val="20"/>
          <w:color w:val="auto"/>
        </w:rPr>
      </w:pPr>
      <w:r>
        <w:rPr>
          <w:rFonts w:ascii="Arial" w:cs="Arial" w:eastAsia="Arial" w:hAnsi="Arial"/>
          <w:sz w:val="20"/>
          <w:szCs w:val="20"/>
          <w:color w:val="auto"/>
        </w:rPr>
        <w:t>Our Amended and Restated Bylaws set forth certain informational requirements for stockholders’ nominations of directors and other proposals. In addition to satisfying the requirements under our Amended and Restated Bylaws, in order to comply with the universal proxy rules, stockholders who intend to solicit proxies in support of director nominees, other than the Company’s nominees, must provide notice that sets forth the information required by Rule 14a-19 under the Exchange Act to our Secretary at the address listed above by no later than 60 days prior to the first anniversary of the preceding year’s annual meeting, for the 2027 Annual Meeting being March 21, 2027, provided, however, that in the event that the date of the 2027 Annual Meeting has changed by more than 30 calendar days from the first anniversary of the 2026 Annual Meeting, the notice must be provided by the later of 60 days prior to the date of the 2027 Annual Meeting or the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day on which public announcement of the date of such meeting is first made by the Company.</w:t>
      </w:r>
    </w:p>
    <w:p>
      <w:pPr>
        <w:spacing w:after="0" w:line="285"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Q: Can I receive more than one set of Annual Meeting materials?</w:t>
      </w:r>
    </w:p>
    <w:p>
      <w:pPr>
        <w:spacing w:after="0" w:line="96" w:lineRule="exact"/>
        <w:rPr>
          <w:rFonts w:ascii="Arial" w:cs="Arial" w:eastAsia="Arial" w:hAnsi="Arial"/>
          <w:sz w:val="20"/>
          <w:szCs w:val="20"/>
          <w:b w:val="1"/>
          <w:bCs w:val="1"/>
          <w:color w:val="auto"/>
        </w:rPr>
      </w:pPr>
    </w:p>
    <w:p>
      <w:pPr>
        <w:jc w:val="both"/>
        <w:ind w:left="900" w:hanging="376"/>
        <w:spacing w:after="0" w:line="231" w:lineRule="auto"/>
        <w:tabs>
          <w:tab w:leader="none" w:pos="958"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you share an address with another stockholder, each stockholder may not receive a separate copy of our Annual Report and Proxy Statement. We will promptly deliver a separate copy of either document to any stockholder upon written or oral request to our Secretary at Universal Health Services, Inc., Universal Corporate Center, 367 South Gulph Road, P.O. Box 61558, King of Prussia, Pennsylvania 19406, telephone (610) 768-3300. If you share an address with another stockholder and (i) would like to receive multiple copies of the Proxy Statement or Annual Report to Stockholders in the future, or (ii) if you are receiving multiple copies and would like to receive only one copy per household in the future, please contact your bank, broker, or other nominee record holder, or you may contact us at the above address and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9</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616585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0005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30.  Q: How can I obtain additional information about the Company?</w:t>
      </w:r>
    </w:p>
    <w:p>
      <w:pPr>
        <w:spacing w:after="0" w:line="96" w:lineRule="exact"/>
        <w:rPr>
          <w:sz w:val="20"/>
          <w:szCs w:val="20"/>
          <w:color w:val="auto"/>
        </w:rPr>
      </w:pPr>
    </w:p>
    <w:p>
      <w:pPr>
        <w:jc w:val="both"/>
        <w:ind w:left="1020" w:hanging="376"/>
        <w:spacing w:after="0" w:line="234" w:lineRule="auto"/>
        <w:tabs>
          <w:tab w:leader="none" w:pos="1078"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Copies of our annual, quarterly and current reports we file with the SEC, and any amendments to those reports, are available free of charge on our website, which is located at https://uhs.com. Copies of these reports will be sent without charge to any stockholder requesting it in writing to our Secretary at Universal Health Services, Inc., Universal Corporate Center, P.O. Box 61558, 367 South Gulph Road, King of Prussia, Pennsylvania 19406. The information posted on our website is not incorporated into this Proxy Statement.</w:t>
      </w:r>
    </w:p>
    <w:p>
      <w:pPr>
        <w:spacing w:after="0" w:line="67" w:lineRule="exact"/>
        <w:rPr>
          <w:sz w:val="20"/>
          <w:szCs w:val="20"/>
          <w:color w:val="auto"/>
        </w:rPr>
      </w:pPr>
    </w:p>
    <w:p>
      <w:pPr>
        <w:jc w:val="both"/>
        <w:ind w:left="1020"/>
        <w:spacing w:after="0" w:line="237" w:lineRule="auto"/>
        <w:rPr>
          <w:sz w:val="20"/>
          <w:szCs w:val="20"/>
          <w:color w:val="auto"/>
        </w:rPr>
      </w:pPr>
      <w:r>
        <w:rPr>
          <w:rFonts w:ascii="Arial" w:cs="Arial" w:eastAsia="Arial" w:hAnsi="Arial"/>
          <w:sz w:val="20"/>
          <w:szCs w:val="20"/>
          <w:color w:val="auto"/>
        </w:rPr>
        <w:t>As required by Delaware law, the names of registered shareholders entitled to vote at the virtual Annual Meeting will be available for a period of ten days ending on the day before the date of the Annual Meeting for any purpose germane to the Annual Meeting, between the hours of 9:00 a.m. and 4:00 p.m., at our principal executive offices at Universal Corporate Center, 367 South Gulph Road, P.O. Box 61558, King of Prussia, Pennsylvania 19406.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 w:name="page14"/>
    <w:bookmarkEnd w:id="13"/>
    <w:p>
      <w:pPr>
        <w:jc w:val="both"/>
        <w:spacing w:after="0" w:line="284" w:lineRule="auto"/>
        <w:rPr>
          <w:sz w:val="20"/>
          <w:szCs w:val="20"/>
          <w:color w:val="auto"/>
        </w:rPr>
      </w:pPr>
      <w:r>
        <w:rPr>
          <w:rFonts w:ascii="Arial" w:cs="Arial" w:eastAsia="Arial" w:hAnsi="Arial"/>
          <w:sz w:val="40"/>
          <w:szCs w:val="40"/>
          <w:b w:val="1"/>
          <w:bCs w:val="1"/>
          <w:color w:val="052666"/>
        </w:rPr>
        <w:t>SECURITY OWNERSHIP OF CERTAIN BENEFICIAL OWNERS AND MANAGEMENT</w:t>
      </w:r>
    </w:p>
    <w:p>
      <w:pPr>
        <w:spacing w:after="0" w:line="5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following table sets forth as of March 23, 2026, the number of shares of our equity securities and the percentage of each class beneficially owned, within the meaning of Securities and Exchange Commission Rule 13d-3, and the percentage of our general voting power currently held, by (i) all stockholders known by us to own more than 5% of any class of our equity securities, (ii) all of our directors and nominees who are stockholders, (iii) the executive officers named in the Summary Compensation Table and (iv) all directors and executive officers as a group. Except as otherwise specified, the named beneficial owner has sole voting and investment power.</w:t>
      </w:r>
    </w:p>
    <w:p>
      <w:pPr>
        <w:spacing w:after="0" w:line="113" w:lineRule="exact"/>
        <w:rPr>
          <w:sz w:val="20"/>
          <w:szCs w:val="20"/>
          <w:color w:val="auto"/>
        </w:rPr>
      </w:pPr>
    </w:p>
    <w:tbl>
      <w:tblPr>
        <w:tblLayout w:type="fixed"/>
        <w:tblInd w:w="240" w:type="dxa"/>
        <w:tblCellMar>
          <w:top w:w="0" w:type="dxa"/>
          <w:left w:w="0" w:type="dxa"/>
          <w:bottom w:w="0" w:type="dxa"/>
          <w:right w:w="0" w:type="dxa"/>
        </w:tblCellMar>
      </w:tblPr>
      <w:tr>
        <w:trPr>
          <w:trHeight w:val="135"/>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2"/>
          </w:tcPr>
          <w:p>
            <w:pPr>
              <w:ind w:left="1360"/>
              <w:spacing w:after="0"/>
              <w:rPr>
                <w:sz w:val="20"/>
                <w:szCs w:val="20"/>
                <w:color w:val="auto"/>
              </w:rPr>
            </w:pPr>
            <w:r>
              <w:rPr>
                <w:rFonts w:ascii="Arial" w:cs="Arial" w:eastAsia="Arial" w:hAnsi="Arial"/>
                <w:sz w:val="11"/>
                <w:szCs w:val="11"/>
                <w:b w:val="1"/>
                <w:bCs w:val="1"/>
                <w:color w:val="052666"/>
                <w:w w:val="99"/>
              </w:rPr>
              <w:t>Title of Class</w:t>
            </w:r>
          </w:p>
        </w:tc>
        <w:tc>
          <w:tcPr>
            <w:tcW w:w="6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ind w:right="106"/>
              <w:spacing w:after="0"/>
              <w:rPr>
                <w:sz w:val="20"/>
                <w:szCs w:val="20"/>
                <w:color w:val="auto"/>
              </w:rPr>
            </w:pPr>
            <w:r>
              <w:rPr>
                <w:rFonts w:ascii="Arial" w:cs="Arial" w:eastAsia="Arial" w:hAnsi="Arial"/>
                <w:sz w:val="11"/>
                <w:szCs w:val="11"/>
                <w:b w:val="1"/>
                <w:bCs w:val="1"/>
                <w:color w:val="052666"/>
                <w:w w:val="97"/>
              </w:rPr>
              <w:t>Percentage</w:t>
            </w:r>
          </w:p>
        </w:tc>
        <w:tc>
          <w:tcPr>
            <w:tcW w:w="0" w:type="dxa"/>
            <w:vAlign w:val="bottom"/>
          </w:tcPr>
          <w:p>
            <w:pPr>
              <w:spacing w:after="0"/>
              <w:rPr>
                <w:sz w:val="1"/>
                <w:szCs w:val="1"/>
                <w:color w:val="auto"/>
              </w:rPr>
            </w:pPr>
          </w:p>
        </w:tc>
      </w:tr>
      <w:tr>
        <w:trPr>
          <w:trHeight w:val="102"/>
        </w:trPr>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9"/>
              </w:rPr>
              <w:t>Class A</w:t>
            </w:r>
          </w:p>
        </w:tc>
        <w:tc>
          <w:tcPr>
            <w:tcW w:w="900" w:type="dxa"/>
            <w:vAlign w:val="bottom"/>
          </w:tcPr>
          <w:p>
            <w:pPr>
              <w:spacing w:after="0"/>
              <w:rPr>
                <w:sz w:val="10"/>
                <w:szCs w:val="10"/>
                <w:color w:val="auto"/>
              </w:rPr>
            </w:pPr>
          </w:p>
        </w:tc>
        <w:tc>
          <w:tcPr>
            <w:tcW w:w="206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052666"/>
                <w:w w:val="99"/>
              </w:rPr>
              <w:t>Class B</w:t>
            </w:r>
          </w:p>
        </w:tc>
        <w:tc>
          <w:tcPr>
            <w:tcW w:w="660" w:type="dxa"/>
            <w:vAlign w:val="bottom"/>
          </w:tcPr>
          <w:p>
            <w:pPr>
              <w:spacing w:after="0"/>
              <w:rPr>
                <w:sz w:val="10"/>
                <w:szCs w:val="10"/>
                <w:color w:val="auto"/>
              </w:rPr>
            </w:pPr>
          </w:p>
        </w:tc>
        <w:tc>
          <w:tcPr>
            <w:tcW w:w="7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9"/>
              </w:rPr>
              <w:t>Class C</w:t>
            </w:r>
          </w:p>
        </w:tc>
        <w:tc>
          <w:tcPr>
            <w:tcW w:w="900" w:type="dxa"/>
            <w:vAlign w:val="bottom"/>
          </w:tcPr>
          <w:p>
            <w:pPr>
              <w:spacing w:after="0"/>
              <w:rPr>
                <w:sz w:val="10"/>
                <w:szCs w:val="10"/>
                <w:color w:val="auto"/>
              </w:rPr>
            </w:pPr>
          </w:p>
        </w:tc>
        <w:tc>
          <w:tcPr>
            <w:tcW w:w="9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9"/>
              </w:rPr>
              <w:t>Class 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052666"/>
                <w:w w:val="99"/>
              </w:rPr>
              <w:t>of General</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052666"/>
                <w:w w:val="96"/>
              </w:rPr>
              <w:t>Common</w:t>
            </w:r>
          </w:p>
        </w:tc>
        <w:tc>
          <w:tcPr>
            <w:tcW w:w="900" w:type="dxa"/>
            <w:vAlign w:val="bottom"/>
          </w:tcPr>
          <w:p>
            <w:pPr>
              <w:spacing w:after="0"/>
              <w:rPr>
                <w:sz w:val="9"/>
                <w:szCs w:val="9"/>
                <w:color w:val="auto"/>
              </w:rPr>
            </w:pPr>
          </w:p>
        </w:tc>
        <w:tc>
          <w:tcPr>
            <w:tcW w:w="2060" w:type="dxa"/>
            <w:vAlign w:val="bottom"/>
            <w:gridSpan w:val="2"/>
          </w:tcPr>
          <w:p>
            <w:pPr>
              <w:jc w:val="center"/>
              <w:ind w:right="340"/>
              <w:spacing w:after="0" w:line="108" w:lineRule="exact"/>
              <w:rPr>
                <w:sz w:val="20"/>
                <w:szCs w:val="20"/>
                <w:color w:val="auto"/>
              </w:rPr>
            </w:pPr>
            <w:r>
              <w:rPr>
                <w:rFonts w:ascii="Arial" w:cs="Arial" w:eastAsia="Arial" w:hAnsi="Arial"/>
                <w:sz w:val="11"/>
                <w:szCs w:val="11"/>
                <w:b w:val="1"/>
                <w:bCs w:val="1"/>
                <w:color w:val="052666"/>
              </w:rPr>
              <w:t>Common</w:t>
            </w:r>
          </w:p>
        </w:tc>
        <w:tc>
          <w:tcPr>
            <w:tcW w:w="660" w:type="dxa"/>
            <w:vAlign w:val="bottom"/>
          </w:tcPr>
          <w:p>
            <w:pPr>
              <w:spacing w:after="0"/>
              <w:rPr>
                <w:sz w:val="9"/>
                <w:szCs w:val="9"/>
                <w:color w:val="auto"/>
              </w:rPr>
            </w:pPr>
          </w:p>
        </w:tc>
        <w:tc>
          <w:tcPr>
            <w:tcW w:w="76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052666"/>
              </w:rPr>
              <w:t>Common</w:t>
            </w:r>
          </w:p>
        </w:tc>
        <w:tc>
          <w:tcPr>
            <w:tcW w:w="900" w:type="dxa"/>
            <w:vAlign w:val="bottom"/>
          </w:tcPr>
          <w:p>
            <w:pPr>
              <w:spacing w:after="0"/>
              <w:rPr>
                <w:sz w:val="9"/>
                <w:szCs w:val="9"/>
                <w:color w:val="auto"/>
              </w:rPr>
            </w:pPr>
          </w:p>
        </w:tc>
        <w:tc>
          <w:tcPr>
            <w:tcW w:w="96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052666"/>
                <w:w w:val="96"/>
              </w:rPr>
              <w:t>Common</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center"/>
              <w:ind w:right="106"/>
              <w:spacing w:after="0" w:line="108" w:lineRule="exact"/>
              <w:rPr>
                <w:sz w:val="20"/>
                <w:szCs w:val="20"/>
                <w:color w:val="auto"/>
              </w:rPr>
            </w:pPr>
            <w:r>
              <w:rPr>
                <w:rFonts w:ascii="Arial" w:cs="Arial" w:eastAsia="Arial" w:hAnsi="Arial"/>
                <w:sz w:val="11"/>
                <w:szCs w:val="11"/>
                <w:b w:val="1"/>
                <w:bCs w:val="1"/>
                <w:color w:val="052666"/>
                <w:w w:val="99"/>
              </w:rPr>
              <w:t>Voting</w:t>
            </w:r>
          </w:p>
        </w:tc>
        <w:tc>
          <w:tcPr>
            <w:tcW w:w="0" w:type="dxa"/>
            <w:vAlign w:val="bottom"/>
          </w:tcPr>
          <w:p>
            <w:pPr>
              <w:spacing w:after="0"/>
              <w:rPr>
                <w:sz w:val="1"/>
                <w:szCs w:val="1"/>
                <w:color w:val="auto"/>
              </w:rPr>
            </w:pPr>
          </w:p>
        </w:tc>
      </w:tr>
      <w:tr>
        <w:trPr>
          <w:trHeight w:val="142"/>
        </w:trPr>
        <w:tc>
          <w:tcPr>
            <w:tcW w:w="1460" w:type="dxa"/>
            <w:vAlign w:val="bottom"/>
            <w:gridSpan w:val="3"/>
          </w:tcPr>
          <w:p>
            <w:pPr>
              <w:ind w:left="180"/>
              <w:spacing w:after="0"/>
              <w:rPr>
                <w:sz w:val="20"/>
                <w:szCs w:val="20"/>
                <w:color w:val="auto"/>
              </w:rPr>
            </w:pPr>
            <w:r>
              <w:rPr>
                <w:rFonts w:ascii="Arial" w:cs="Arial" w:eastAsia="Arial" w:hAnsi="Arial"/>
                <w:sz w:val="11"/>
                <w:szCs w:val="11"/>
                <w:b w:val="1"/>
                <w:bCs w:val="1"/>
                <w:color w:val="052666"/>
              </w:rPr>
              <w:t>Name and Address of</w:t>
            </w:r>
          </w:p>
        </w:tc>
        <w:tc>
          <w:tcPr>
            <w:tcW w:w="140" w:type="dxa"/>
            <w:vAlign w:val="bottom"/>
          </w:tcPr>
          <w:p>
            <w:pPr>
              <w:spacing w:after="0"/>
              <w:rPr>
                <w:sz w:val="12"/>
                <w:szCs w:val="12"/>
                <w:color w:val="auto"/>
              </w:rPr>
            </w:pPr>
          </w:p>
        </w:tc>
        <w:tc>
          <w:tcPr>
            <w:tcW w:w="1360" w:type="dxa"/>
            <w:vAlign w:val="bottom"/>
          </w:tcPr>
          <w:p>
            <w:pPr>
              <w:jc w:val="center"/>
              <w:ind w:right="46"/>
              <w:spacing w:after="0" w:line="135" w:lineRule="exact"/>
              <w:rPr>
                <w:sz w:val="20"/>
                <w:szCs w:val="20"/>
                <w:color w:val="auto"/>
              </w:rPr>
            </w:pPr>
            <w:r>
              <w:rPr>
                <w:rFonts w:ascii="Arial" w:cs="Arial" w:eastAsia="Arial" w:hAnsi="Arial"/>
                <w:sz w:val="11"/>
                <w:szCs w:val="11"/>
                <w:b w:val="1"/>
                <w:bCs w:val="1"/>
                <w:color w:val="052666"/>
                <w:w w:val="91"/>
              </w:rPr>
              <w:t>Stock</w:t>
            </w:r>
            <w:r>
              <w:rPr>
                <w:rFonts w:ascii="Arial" w:cs="Arial" w:eastAsia="Arial" w:hAnsi="Arial"/>
                <w:sz w:val="14"/>
                <w:szCs w:val="14"/>
                <w:b w:val="1"/>
                <w:bCs w:val="1"/>
                <w:color w:val="052666"/>
                <w:w w:val="91"/>
                <w:vertAlign w:val="superscript"/>
              </w:rPr>
              <w:t>(2)</w:t>
            </w:r>
          </w:p>
        </w:tc>
        <w:tc>
          <w:tcPr>
            <w:tcW w:w="900" w:type="dxa"/>
            <w:vAlign w:val="bottom"/>
          </w:tcPr>
          <w:p>
            <w:pPr>
              <w:spacing w:after="0"/>
              <w:rPr>
                <w:sz w:val="12"/>
                <w:szCs w:val="12"/>
                <w:color w:val="auto"/>
              </w:rPr>
            </w:pPr>
          </w:p>
        </w:tc>
        <w:tc>
          <w:tcPr>
            <w:tcW w:w="2060" w:type="dxa"/>
            <w:vAlign w:val="bottom"/>
            <w:gridSpan w:val="2"/>
          </w:tcPr>
          <w:p>
            <w:pPr>
              <w:jc w:val="center"/>
              <w:ind w:right="360"/>
              <w:spacing w:after="0" w:line="135" w:lineRule="exact"/>
              <w:rPr>
                <w:sz w:val="20"/>
                <w:szCs w:val="20"/>
                <w:color w:val="auto"/>
              </w:rPr>
            </w:pPr>
            <w:r>
              <w:rPr>
                <w:rFonts w:ascii="Arial" w:cs="Arial" w:eastAsia="Arial" w:hAnsi="Arial"/>
                <w:sz w:val="11"/>
                <w:szCs w:val="11"/>
                <w:b w:val="1"/>
                <w:bCs w:val="1"/>
                <w:color w:val="052666"/>
                <w:w w:val="91"/>
              </w:rPr>
              <w:t>Stock</w:t>
            </w:r>
            <w:r>
              <w:rPr>
                <w:rFonts w:ascii="Arial" w:cs="Arial" w:eastAsia="Arial" w:hAnsi="Arial"/>
                <w:sz w:val="14"/>
                <w:szCs w:val="14"/>
                <w:b w:val="1"/>
                <w:bCs w:val="1"/>
                <w:color w:val="052666"/>
                <w:w w:val="91"/>
                <w:vertAlign w:val="superscript"/>
              </w:rPr>
              <w:t>(2)</w:t>
            </w:r>
          </w:p>
        </w:tc>
        <w:tc>
          <w:tcPr>
            <w:tcW w:w="660" w:type="dxa"/>
            <w:vAlign w:val="bottom"/>
          </w:tcPr>
          <w:p>
            <w:pPr>
              <w:spacing w:after="0"/>
              <w:rPr>
                <w:sz w:val="12"/>
                <w:szCs w:val="12"/>
                <w:color w:val="auto"/>
              </w:rPr>
            </w:pPr>
          </w:p>
        </w:tc>
        <w:tc>
          <w:tcPr>
            <w:tcW w:w="760" w:type="dxa"/>
            <w:vAlign w:val="bottom"/>
          </w:tcPr>
          <w:p>
            <w:pPr>
              <w:jc w:val="center"/>
              <w:ind w:right="46"/>
              <w:spacing w:after="0" w:line="135" w:lineRule="exact"/>
              <w:rPr>
                <w:sz w:val="20"/>
                <w:szCs w:val="20"/>
                <w:color w:val="auto"/>
              </w:rPr>
            </w:pPr>
            <w:r>
              <w:rPr>
                <w:rFonts w:ascii="Arial" w:cs="Arial" w:eastAsia="Arial" w:hAnsi="Arial"/>
                <w:sz w:val="11"/>
                <w:szCs w:val="11"/>
                <w:b w:val="1"/>
                <w:bCs w:val="1"/>
                <w:color w:val="052666"/>
                <w:w w:val="91"/>
              </w:rPr>
              <w:t>Stock</w:t>
            </w:r>
            <w:r>
              <w:rPr>
                <w:rFonts w:ascii="Arial" w:cs="Arial" w:eastAsia="Arial" w:hAnsi="Arial"/>
                <w:sz w:val="14"/>
                <w:szCs w:val="14"/>
                <w:b w:val="1"/>
                <w:bCs w:val="1"/>
                <w:color w:val="052666"/>
                <w:w w:val="91"/>
                <w:vertAlign w:val="superscript"/>
              </w:rPr>
              <w:t>(2)</w:t>
            </w:r>
          </w:p>
        </w:tc>
        <w:tc>
          <w:tcPr>
            <w:tcW w:w="900" w:type="dxa"/>
            <w:vAlign w:val="bottom"/>
          </w:tcPr>
          <w:p>
            <w:pPr>
              <w:spacing w:after="0"/>
              <w:rPr>
                <w:sz w:val="12"/>
                <w:szCs w:val="12"/>
                <w:color w:val="auto"/>
              </w:rPr>
            </w:pPr>
          </w:p>
        </w:tc>
        <w:tc>
          <w:tcPr>
            <w:tcW w:w="960" w:type="dxa"/>
            <w:vAlign w:val="bottom"/>
          </w:tcPr>
          <w:p>
            <w:pPr>
              <w:jc w:val="center"/>
              <w:ind w:right="46"/>
              <w:spacing w:after="0" w:line="135" w:lineRule="exact"/>
              <w:rPr>
                <w:sz w:val="20"/>
                <w:szCs w:val="20"/>
                <w:color w:val="auto"/>
              </w:rPr>
            </w:pPr>
            <w:r>
              <w:rPr>
                <w:rFonts w:ascii="Arial" w:cs="Arial" w:eastAsia="Arial" w:hAnsi="Arial"/>
                <w:sz w:val="11"/>
                <w:szCs w:val="11"/>
                <w:b w:val="1"/>
                <w:bCs w:val="1"/>
                <w:color w:val="052666"/>
                <w:w w:val="91"/>
              </w:rPr>
              <w:t>Stock</w:t>
            </w:r>
            <w:r>
              <w:rPr>
                <w:rFonts w:ascii="Arial" w:cs="Arial" w:eastAsia="Arial" w:hAnsi="Arial"/>
                <w:sz w:val="14"/>
                <w:szCs w:val="14"/>
                <w:b w:val="1"/>
                <w:bCs w:val="1"/>
                <w:color w:val="052666"/>
                <w:w w:val="91"/>
                <w:vertAlign w:val="superscript"/>
              </w:rPr>
              <w:t>(2)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06"/>
              <w:spacing w:after="0" w:line="135" w:lineRule="exact"/>
              <w:rPr>
                <w:sz w:val="20"/>
                <w:szCs w:val="20"/>
                <w:color w:val="auto"/>
              </w:rPr>
            </w:pPr>
            <w:r>
              <w:rPr>
                <w:rFonts w:ascii="Arial" w:cs="Arial" w:eastAsia="Arial" w:hAnsi="Arial"/>
                <w:sz w:val="11"/>
                <w:szCs w:val="11"/>
                <w:b w:val="1"/>
                <w:bCs w:val="1"/>
                <w:color w:val="052666"/>
                <w:w w:val="94"/>
              </w:rPr>
              <w:t>Power</w:t>
            </w:r>
            <w:r>
              <w:rPr>
                <w:rFonts w:ascii="Arial" w:cs="Arial" w:eastAsia="Arial" w:hAnsi="Arial"/>
                <w:sz w:val="14"/>
                <w:szCs w:val="14"/>
                <w:b w:val="1"/>
                <w:bCs w:val="1"/>
                <w:color w:val="052666"/>
                <w:w w:val="94"/>
                <w:vertAlign w:val="superscript"/>
              </w:rPr>
              <w:t>(3)</w:t>
            </w:r>
          </w:p>
        </w:tc>
        <w:tc>
          <w:tcPr>
            <w:tcW w:w="0" w:type="dxa"/>
            <w:vAlign w:val="bottom"/>
          </w:tcPr>
          <w:p>
            <w:pPr>
              <w:spacing w:after="0"/>
              <w:rPr>
                <w:sz w:val="1"/>
                <w:szCs w:val="1"/>
                <w:color w:val="auto"/>
              </w:rPr>
            </w:pPr>
          </w:p>
        </w:tc>
      </w:tr>
      <w:tr>
        <w:trPr>
          <w:trHeight w:val="122"/>
        </w:trPr>
        <w:tc>
          <w:tcPr>
            <w:tcW w:w="1460" w:type="dxa"/>
            <w:vAlign w:val="bottom"/>
            <w:tcBorders>
              <w:bottom w:val="single" w:sz="8" w:color="052666"/>
            </w:tcBorders>
            <w:gridSpan w:val="3"/>
          </w:tcPr>
          <w:p>
            <w:pPr>
              <w:ind w:left="240"/>
              <w:spacing w:after="0" w:line="122" w:lineRule="exact"/>
              <w:rPr>
                <w:sz w:val="20"/>
                <w:szCs w:val="20"/>
                <w:color w:val="auto"/>
              </w:rPr>
            </w:pPr>
            <w:r>
              <w:rPr>
                <w:rFonts w:ascii="Arial" w:cs="Arial" w:eastAsia="Arial" w:hAnsi="Arial"/>
                <w:sz w:val="11"/>
                <w:szCs w:val="11"/>
                <w:b w:val="1"/>
                <w:bCs w:val="1"/>
                <w:color w:val="052666"/>
              </w:rPr>
              <w:t>Beneficial Owner</w:t>
            </w:r>
            <w:r>
              <w:rPr>
                <w:rFonts w:ascii="Arial" w:cs="Arial" w:eastAsia="Arial" w:hAnsi="Arial"/>
                <w:sz w:val="14"/>
                <w:szCs w:val="14"/>
                <w:b w:val="1"/>
                <w:bCs w:val="1"/>
                <w:color w:val="052666"/>
                <w:vertAlign w:val="superscript"/>
              </w:rPr>
              <w:t>(1)</w:t>
            </w:r>
          </w:p>
        </w:tc>
        <w:tc>
          <w:tcPr>
            <w:tcW w:w="140" w:type="dxa"/>
            <w:vAlign w:val="bottom"/>
            <w:tcBorders>
              <w:bottom w:val="single" w:sz="8" w:color="052666"/>
            </w:tcBorders>
          </w:tcPr>
          <w:p>
            <w:pPr>
              <w:spacing w:after="0"/>
              <w:rPr>
                <w:sz w:val="10"/>
                <w:szCs w:val="10"/>
                <w:color w:val="auto"/>
              </w:rPr>
            </w:pPr>
          </w:p>
        </w:tc>
        <w:tc>
          <w:tcPr>
            <w:tcW w:w="1360" w:type="dxa"/>
            <w:vAlign w:val="bottom"/>
            <w:tcBorders>
              <w:top w:val="single" w:sz="8" w:color="auto"/>
              <w:bottom w:val="single" w:sz="8" w:color="052666"/>
            </w:tcBorders>
          </w:tcPr>
          <w:p>
            <w:pPr>
              <w:jc w:val="center"/>
              <w:ind w:right="66"/>
              <w:spacing w:after="0" w:line="122" w:lineRule="exact"/>
              <w:rPr>
                <w:sz w:val="20"/>
                <w:szCs w:val="20"/>
                <w:color w:val="auto"/>
              </w:rPr>
            </w:pPr>
            <w:r>
              <w:rPr>
                <w:rFonts w:ascii="Arial" w:cs="Arial" w:eastAsia="Arial" w:hAnsi="Arial"/>
                <w:sz w:val="11"/>
                <w:szCs w:val="11"/>
                <w:b w:val="1"/>
                <w:bCs w:val="1"/>
                <w:color w:val="052666"/>
                <w:w w:val="97"/>
              </w:rPr>
              <w:t>Shares</w:t>
            </w:r>
          </w:p>
        </w:tc>
        <w:tc>
          <w:tcPr>
            <w:tcW w:w="900" w:type="dxa"/>
            <w:vAlign w:val="bottom"/>
            <w:tcBorders>
              <w:bottom w:val="single" w:sz="8" w:color="052666"/>
            </w:tcBorders>
          </w:tcPr>
          <w:p>
            <w:pPr>
              <w:jc w:val="right"/>
              <w:ind w:right="406"/>
              <w:spacing w:after="0" w:line="122" w:lineRule="exact"/>
              <w:rPr>
                <w:sz w:val="20"/>
                <w:szCs w:val="20"/>
                <w:color w:val="auto"/>
              </w:rPr>
            </w:pPr>
            <w:r>
              <w:rPr>
                <w:rFonts w:ascii="Arial" w:cs="Arial" w:eastAsia="Arial" w:hAnsi="Arial"/>
                <w:sz w:val="11"/>
                <w:szCs w:val="11"/>
                <w:b w:val="1"/>
                <w:bCs w:val="1"/>
                <w:color w:val="052666"/>
              </w:rPr>
              <w:t>%</w:t>
            </w:r>
          </w:p>
        </w:tc>
        <w:tc>
          <w:tcPr>
            <w:tcW w:w="1820" w:type="dxa"/>
            <w:vAlign w:val="bottom"/>
            <w:tcBorders>
              <w:top w:val="single" w:sz="8" w:color="auto"/>
              <w:bottom w:val="single" w:sz="8" w:color="052666"/>
            </w:tcBorders>
          </w:tcPr>
          <w:p>
            <w:pPr>
              <w:jc w:val="center"/>
              <w:ind w:right="46"/>
              <w:spacing w:after="0" w:line="122" w:lineRule="exact"/>
              <w:rPr>
                <w:sz w:val="20"/>
                <w:szCs w:val="20"/>
                <w:color w:val="auto"/>
              </w:rPr>
            </w:pPr>
            <w:r>
              <w:rPr>
                <w:rFonts w:ascii="Arial" w:cs="Arial" w:eastAsia="Arial" w:hAnsi="Arial"/>
                <w:sz w:val="11"/>
                <w:szCs w:val="11"/>
                <w:b w:val="1"/>
                <w:bCs w:val="1"/>
                <w:color w:val="052666"/>
                <w:w w:val="97"/>
              </w:rPr>
              <w:t>Shares</w:t>
            </w:r>
          </w:p>
        </w:tc>
        <w:tc>
          <w:tcPr>
            <w:tcW w:w="240" w:type="dxa"/>
            <w:vAlign w:val="bottom"/>
            <w:tcBorders>
              <w:bottom w:val="single" w:sz="8" w:color="052666"/>
            </w:tcBorders>
          </w:tcPr>
          <w:p>
            <w:pPr>
              <w:spacing w:after="0"/>
              <w:rPr>
                <w:sz w:val="10"/>
                <w:szCs w:val="10"/>
                <w:color w:val="auto"/>
              </w:rPr>
            </w:pPr>
          </w:p>
        </w:tc>
        <w:tc>
          <w:tcPr>
            <w:tcW w:w="660" w:type="dxa"/>
            <w:vAlign w:val="bottom"/>
            <w:tcBorders>
              <w:bottom w:val="single" w:sz="8" w:color="052666"/>
            </w:tcBorders>
          </w:tcPr>
          <w:p>
            <w:pPr>
              <w:jc w:val="right"/>
              <w:ind w:right="466"/>
              <w:spacing w:after="0" w:line="122" w:lineRule="exact"/>
              <w:rPr>
                <w:sz w:val="20"/>
                <w:szCs w:val="20"/>
                <w:color w:val="auto"/>
              </w:rPr>
            </w:pPr>
            <w:r>
              <w:rPr>
                <w:rFonts w:ascii="Arial" w:cs="Arial" w:eastAsia="Arial" w:hAnsi="Arial"/>
                <w:sz w:val="11"/>
                <w:szCs w:val="11"/>
                <w:b w:val="1"/>
                <w:bCs w:val="1"/>
                <w:color w:val="052666"/>
              </w:rPr>
              <w:t>%</w:t>
            </w:r>
          </w:p>
        </w:tc>
        <w:tc>
          <w:tcPr>
            <w:tcW w:w="760" w:type="dxa"/>
            <w:vAlign w:val="bottom"/>
            <w:tcBorders>
              <w:top w:val="single" w:sz="8" w:color="auto"/>
              <w:bottom w:val="single" w:sz="8" w:color="052666"/>
            </w:tcBorders>
          </w:tcPr>
          <w:p>
            <w:pPr>
              <w:jc w:val="center"/>
              <w:ind w:right="66"/>
              <w:spacing w:after="0" w:line="122" w:lineRule="exact"/>
              <w:rPr>
                <w:sz w:val="20"/>
                <w:szCs w:val="20"/>
                <w:color w:val="auto"/>
              </w:rPr>
            </w:pPr>
            <w:r>
              <w:rPr>
                <w:rFonts w:ascii="Arial" w:cs="Arial" w:eastAsia="Arial" w:hAnsi="Arial"/>
                <w:sz w:val="11"/>
                <w:szCs w:val="11"/>
                <w:b w:val="1"/>
                <w:bCs w:val="1"/>
                <w:color w:val="052666"/>
                <w:w w:val="97"/>
              </w:rPr>
              <w:t>Shares</w:t>
            </w:r>
          </w:p>
        </w:tc>
        <w:tc>
          <w:tcPr>
            <w:tcW w:w="900" w:type="dxa"/>
            <w:vAlign w:val="bottom"/>
            <w:tcBorders>
              <w:bottom w:val="single" w:sz="8" w:color="052666"/>
            </w:tcBorders>
          </w:tcPr>
          <w:p>
            <w:pPr>
              <w:jc w:val="right"/>
              <w:ind w:right="406"/>
              <w:spacing w:after="0" w:line="122" w:lineRule="exact"/>
              <w:rPr>
                <w:sz w:val="20"/>
                <w:szCs w:val="20"/>
                <w:color w:val="auto"/>
              </w:rPr>
            </w:pPr>
            <w:r>
              <w:rPr>
                <w:rFonts w:ascii="Arial" w:cs="Arial" w:eastAsia="Arial" w:hAnsi="Arial"/>
                <w:sz w:val="11"/>
                <w:szCs w:val="11"/>
                <w:b w:val="1"/>
                <w:bCs w:val="1"/>
                <w:color w:val="052666"/>
              </w:rPr>
              <w:t>%</w:t>
            </w:r>
          </w:p>
        </w:tc>
        <w:tc>
          <w:tcPr>
            <w:tcW w:w="960" w:type="dxa"/>
            <w:vAlign w:val="bottom"/>
            <w:tcBorders>
              <w:top w:val="single" w:sz="8" w:color="auto"/>
              <w:bottom w:val="single" w:sz="8" w:color="052666"/>
            </w:tcBorders>
          </w:tcPr>
          <w:p>
            <w:pPr>
              <w:jc w:val="center"/>
              <w:ind w:right="66"/>
              <w:spacing w:after="0" w:line="122" w:lineRule="exact"/>
              <w:rPr>
                <w:sz w:val="20"/>
                <w:szCs w:val="20"/>
                <w:color w:val="auto"/>
              </w:rPr>
            </w:pPr>
            <w:r>
              <w:rPr>
                <w:rFonts w:ascii="Arial" w:cs="Arial" w:eastAsia="Arial" w:hAnsi="Arial"/>
                <w:sz w:val="11"/>
                <w:szCs w:val="11"/>
                <w:b w:val="1"/>
                <w:bCs w:val="1"/>
                <w:color w:val="052666"/>
                <w:w w:val="97"/>
              </w:rPr>
              <w:t>Shares</w:t>
            </w:r>
          </w:p>
        </w:tc>
        <w:tc>
          <w:tcPr>
            <w:tcW w:w="400" w:type="dxa"/>
            <w:vAlign w:val="bottom"/>
            <w:tcBorders>
              <w:bottom w:val="single" w:sz="8" w:color="052666"/>
            </w:tcBorders>
          </w:tcPr>
          <w:p>
            <w:pPr>
              <w:ind w:left="160"/>
              <w:spacing w:after="0" w:line="122" w:lineRule="exact"/>
              <w:rPr>
                <w:sz w:val="20"/>
                <w:szCs w:val="20"/>
                <w:color w:val="auto"/>
              </w:rPr>
            </w:pPr>
            <w:r>
              <w:rPr>
                <w:rFonts w:ascii="Arial" w:cs="Arial" w:eastAsia="Arial" w:hAnsi="Arial"/>
                <w:sz w:val="11"/>
                <w:szCs w:val="11"/>
                <w:b w:val="1"/>
                <w:bCs w:val="1"/>
                <w:color w:val="052666"/>
              </w:rPr>
              <w:t>%</w:t>
            </w:r>
          </w:p>
        </w:tc>
        <w:tc>
          <w:tcPr>
            <w:tcW w:w="120" w:type="dxa"/>
            <w:vAlign w:val="bottom"/>
            <w:tcBorders>
              <w:bottom w:val="single" w:sz="8" w:color="052666"/>
            </w:tcBorders>
          </w:tcPr>
          <w:p>
            <w:pPr>
              <w:spacing w:after="0"/>
              <w:rPr>
                <w:sz w:val="10"/>
                <w:szCs w:val="10"/>
                <w:color w:val="auto"/>
              </w:rPr>
            </w:pPr>
          </w:p>
        </w:tc>
        <w:tc>
          <w:tcPr>
            <w:tcW w:w="1060" w:type="dxa"/>
            <w:vAlign w:val="bottom"/>
            <w:tcBorders>
              <w:top w:val="single" w:sz="8" w:color="auto"/>
              <w:bottom w:val="single" w:sz="8" w:color="052666"/>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840" w:type="dxa"/>
            <w:vAlign w:val="bottom"/>
            <w:shd w:val="clear" w:color="auto" w:fill="EDEDED"/>
          </w:tcPr>
          <w:p>
            <w:pPr>
              <w:ind w:left="20"/>
              <w:spacing w:after="0"/>
              <w:rPr>
                <w:sz w:val="20"/>
                <w:szCs w:val="20"/>
                <w:color w:val="auto"/>
              </w:rPr>
            </w:pPr>
            <w:r>
              <w:rPr>
                <w:rFonts w:ascii="Arial" w:cs="Arial" w:eastAsia="Arial" w:hAnsi="Arial"/>
                <w:sz w:val="11"/>
                <w:szCs w:val="11"/>
                <w:color w:val="auto"/>
              </w:rPr>
              <w:t>Alan B. Miller</w:t>
            </w:r>
          </w:p>
        </w:tc>
        <w:tc>
          <w:tcPr>
            <w:tcW w:w="160" w:type="dxa"/>
            <w:vAlign w:val="bottom"/>
            <w:shd w:val="clear" w:color="auto" w:fill="EDEDED"/>
          </w:tcPr>
          <w:p>
            <w:pPr>
              <w:spacing w:after="0"/>
              <w:rPr>
                <w:sz w:val="20"/>
                <w:szCs w:val="20"/>
                <w:color w:val="auto"/>
              </w:rPr>
            </w:pPr>
          </w:p>
        </w:tc>
        <w:tc>
          <w:tcPr>
            <w:tcW w:w="460" w:type="dxa"/>
            <w:vAlign w:val="bottom"/>
            <w:shd w:val="clear" w:color="auto" w:fill="EDEDED"/>
          </w:tcPr>
          <w:p>
            <w:pPr>
              <w:spacing w:after="0"/>
              <w:rPr>
                <w:sz w:val="20"/>
                <w:szCs w:val="20"/>
                <w:color w:val="auto"/>
              </w:rPr>
            </w:pPr>
          </w:p>
        </w:tc>
        <w:tc>
          <w:tcPr>
            <w:tcW w:w="1500" w:type="dxa"/>
            <w:vAlign w:val="bottom"/>
            <w:gridSpan w:val="2"/>
            <w:shd w:val="clear" w:color="auto" w:fill="EDEDED"/>
          </w:tcPr>
          <w:p>
            <w:pPr>
              <w:jc w:val="right"/>
              <w:ind w:right="46"/>
              <w:spacing w:after="0"/>
              <w:rPr>
                <w:sz w:val="20"/>
                <w:szCs w:val="20"/>
                <w:color w:val="auto"/>
              </w:rPr>
            </w:pPr>
            <w:r>
              <w:rPr>
                <w:rFonts w:ascii="Arial" w:cs="Arial" w:eastAsia="Arial" w:hAnsi="Arial"/>
                <w:sz w:val="11"/>
                <w:szCs w:val="11"/>
                <w:color w:val="auto"/>
              </w:rPr>
              <w:t>5,112,384(6)(17)</w:t>
            </w:r>
          </w:p>
        </w:tc>
        <w:tc>
          <w:tcPr>
            <w:tcW w:w="900" w:type="dxa"/>
            <w:vAlign w:val="bottom"/>
            <w:shd w:val="clear" w:color="auto" w:fill="EDEDED"/>
          </w:tcPr>
          <w:p>
            <w:pPr>
              <w:jc w:val="right"/>
              <w:ind w:right="86"/>
              <w:spacing w:after="0"/>
              <w:rPr>
                <w:sz w:val="20"/>
                <w:szCs w:val="20"/>
                <w:color w:val="auto"/>
              </w:rPr>
            </w:pPr>
            <w:r>
              <w:rPr>
                <w:rFonts w:ascii="Arial" w:cs="Arial" w:eastAsia="Arial" w:hAnsi="Arial"/>
                <w:sz w:val="11"/>
                <w:szCs w:val="11"/>
                <w:color w:val="auto"/>
              </w:rPr>
              <w:t>77.8%</w:t>
            </w:r>
          </w:p>
        </w:tc>
        <w:tc>
          <w:tcPr>
            <w:tcW w:w="182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7,746,839(4)(11)(12)(18)(20)</w:t>
            </w:r>
          </w:p>
        </w:tc>
        <w:tc>
          <w:tcPr>
            <w:tcW w:w="240" w:type="dxa"/>
            <w:vAlign w:val="bottom"/>
            <w:shd w:val="clear" w:color="auto" w:fill="EDEDED"/>
          </w:tcPr>
          <w:p>
            <w:pPr>
              <w:spacing w:after="0"/>
              <w:rPr>
                <w:sz w:val="20"/>
                <w:szCs w:val="20"/>
                <w:color w:val="auto"/>
              </w:rPr>
            </w:pPr>
          </w:p>
        </w:tc>
        <w:tc>
          <w:tcPr>
            <w:tcW w:w="66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13.0%</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661,688</w:t>
            </w:r>
          </w:p>
        </w:tc>
        <w:tc>
          <w:tcPr>
            <w:tcW w:w="90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100%</w:t>
            </w:r>
          </w:p>
        </w:tc>
        <w:tc>
          <w:tcPr>
            <w:tcW w:w="960" w:type="dxa"/>
            <w:vAlign w:val="bottom"/>
            <w:shd w:val="clear" w:color="auto" w:fill="EDEDED"/>
          </w:tcPr>
          <w:p>
            <w:pPr>
              <w:ind w:left="740"/>
              <w:spacing w:after="0"/>
              <w:rPr>
                <w:sz w:val="20"/>
                <w:szCs w:val="20"/>
                <w:color w:val="auto"/>
              </w:rPr>
            </w:pPr>
            <w:r>
              <w:rPr>
                <w:rFonts w:ascii="Arial" w:cs="Arial" w:eastAsia="Arial" w:hAnsi="Arial"/>
                <w:sz w:val="11"/>
                <w:szCs w:val="11"/>
                <w:color w:val="auto"/>
              </w:rPr>
              <w:t>—</w:t>
            </w:r>
          </w:p>
        </w:tc>
        <w:tc>
          <w:tcPr>
            <w:tcW w:w="400" w:type="dxa"/>
            <w:vAlign w:val="bottom"/>
            <w:shd w:val="clear" w:color="auto" w:fill="EDEDED"/>
          </w:tcPr>
          <w:p>
            <w:pPr>
              <w:ind w:left="20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EDEDED"/>
          </w:tcPr>
          <w:p>
            <w:pPr>
              <w:jc w:val="right"/>
              <w:spacing w:after="0"/>
              <w:rPr>
                <w:sz w:val="20"/>
                <w:szCs w:val="20"/>
                <w:color w:val="auto"/>
              </w:rPr>
            </w:pPr>
            <w:r>
              <w:rPr>
                <w:rFonts w:ascii="Arial" w:cs="Arial" w:eastAsia="Arial" w:hAnsi="Arial"/>
                <w:sz w:val="11"/>
                <w:szCs w:val="11"/>
                <w:color w:val="auto"/>
              </w:rPr>
              <w:t>88.9%</w:t>
            </w:r>
          </w:p>
        </w:tc>
        <w:tc>
          <w:tcPr>
            <w:tcW w:w="0" w:type="dxa"/>
            <w:vAlign w:val="bottom"/>
          </w:tcPr>
          <w:p>
            <w:pPr>
              <w:spacing w:after="0"/>
              <w:rPr>
                <w:sz w:val="1"/>
                <w:szCs w:val="1"/>
                <w:color w:val="auto"/>
              </w:rPr>
            </w:pPr>
          </w:p>
        </w:tc>
      </w:tr>
      <w:tr>
        <w:trPr>
          <w:trHeight w:val="122"/>
        </w:trPr>
        <w:tc>
          <w:tcPr>
            <w:tcW w:w="840" w:type="dxa"/>
            <w:vAlign w:val="bottom"/>
          </w:tcPr>
          <w:p>
            <w:pPr>
              <w:ind w:left="20"/>
              <w:spacing w:after="0" w:line="122" w:lineRule="exact"/>
              <w:rPr>
                <w:sz w:val="20"/>
                <w:szCs w:val="20"/>
                <w:color w:val="auto"/>
              </w:rPr>
            </w:pPr>
            <w:r>
              <w:rPr>
                <w:rFonts w:ascii="Arial" w:cs="Arial" w:eastAsia="Arial" w:hAnsi="Arial"/>
                <w:sz w:val="11"/>
                <w:szCs w:val="11"/>
                <w:color w:val="auto"/>
              </w:rPr>
              <w:t>Marc D. Miller</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1,343,316(7)(14)(19)</w:t>
            </w:r>
          </w:p>
        </w:tc>
        <w:tc>
          <w:tcPr>
            <w:tcW w:w="9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20.4%</w:t>
            </w:r>
          </w:p>
        </w:tc>
        <w:tc>
          <w:tcPr>
            <w:tcW w:w="1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2,190,639(4)(11)(13)(16)</w:t>
            </w:r>
          </w:p>
        </w:tc>
        <w:tc>
          <w:tcPr>
            <w:tcW w:w="240" w:type="dxa"/>
            <w:vAlign w:val="bottom"/>
          </w:tcPr>
          <w:p>
            <w:pPr>
              <w:spacing w:after="0"/>
              <w:rPr>
                <w:sz w:val="10"/>
                <w:szCs w:val="10"/>
                <w:color w:val="auto"/>
              </w:rPr>
            </w:pPr>
          </w:p>
        </w:tc>
        <w:tc>
          <w:tcPr>
            <w:tcW w:w="6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4.0%</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ind w:left="74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ind w:left="200"/>
              <w:spacing w:after="0" w:line="122"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08"/>
        </w:trPr>
        <w:tc>
          <w:tcPr>
            <w:tcW w:w="1460" w:type="dxa"/>
            <w:vAlign w:val="bottom"/>
            <w:gridSpan w:val="3"/>
            <w:shd w:val="clear" w:color="auto" w:fill="EDEDED"/>
          </w:tcPr>
          <w:p>
            <w:pPr>
              <w:ind w:left="20"/>
              <w:spacing w:after="0" w:line="109" w:lineRule="exact"/>
              <w:rPr>
                <w:sz w:val="20"/>
                <w:szCs w:val="20"/>
                <w:color w:val="auto"/>
              </w:rPr>
            </w:pPr>
            <w:r>
              <w:rPr>
                <w:rFonts w:ascii="Arial" w:cs="Arial" w:eastAsia="Arial" w:hAnsi="Arial"/>
                <w:sz w:val="11"/>
                <w:szCs w:val="11"/>
                <w:color w:val="auto"/>
              </w:rPr>
              <w:t>Elliot J. Sussman, M.D.</w:t>
            </w:r>
          </w:p>
        </w:tc>
        <w:tc>
          <w:tcPr>
            <w:tcW w:w="140" w:type="dxa"/>
            <w:vAlign w:val="bottom"/>
            <w:shd w:val="clear" w:color="auto" w:fill="EDEDED"/>
          </w:tcPr>
          <w:p>
            <w:pPr>
              <w:spacing w:after="0"/>
              <w:rPr>
                <w:sz w:val="9"/>
                <w:szCs w:val="9"/>
                <w:color w:val="auto"/>
              </w:rPr>
            </w:pPr>
          </w:p>
        </w:tc>
        <w:tc>
          <w:tcPr>
            <w:tcW w:w="13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1820" w:type="dxa"/>
            <w:vAlign w:val="bottom"/>
            <w:shd w:val="clear" w:color="auto" w:fill="EDEDED"/>
          </w:tcPr>
          <w:p>
            <w:pPr>
              <w:spacing w:after="0"/>
              <w:rPr>
                <w:sz w:val="9"/>
                <w:szCs w:val="9"/>
                <w:color w:val="auto"/>
              </w:rPr>
            </w:pPr>
          </w:p>
        </w:tc>
        <w:tc>
          <w:tcPr>
            <w:tcW w:w="240" w:type="dxa"/>
            <w:vAlign w:val="bottom"/>
            <w:shd w:val="clear" w:color="auto" w:fill="EDEDED"/>
          </w:tcPr>
          <w:p>
            <w:pPr>
              <w:spacing w:after="0"/>
              <w:rPr>
                <w:sz w:val="9"/>
                <w:szCs w:val="9"/>
                <w:color w:val="auto"/>
              </w:rPr>
            </w:pPr>
          </w:p>
        </w:tc>
        <w:tc>
          <w:tcPr>
            <w:tcW w:w="660" w:type="dxa"/>
            <w:vAlign w:val="bottom"/>
            <w:shd w:val="clear" w:color="auto" w:fill="EDEDED"/>
          </w:tcPr>
          <w:p>
            <w:pPr>
              <w:spacing w:after="0"/>
              <w:rPr>
                <w:sz w:val="9"/>
                <w:szCs w:val="9"/>
                <w:color w:val="auto"/>
              </w:rPr>
            </w:pPr>
          </w:p>
        </w:tc>
        <w:tc>
          <w:tcPr>
            <w:tcW w:w="7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960" w:type="dxa"/>
            <w:vAlign w:val="bottom"/>
            <w:shd w:val="clear" w:color="auto" w:fill="EDEDED"/>
          </w:tcPr>
          <w:p>
            <w:pPr>
              <w:spacing w:after="0"/>
              <w:rPr>
                <w:sz w:val="9"/>
                <w:szCs w:val="9"/>
                <w:color w:val="auto"/>
              </w:rPr>
            </w:pPr>
          </w:p>
        </w:tc>
        <w:tc>
          <w:tcPr>
            <w:tcW w:w="40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06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60" w:type="dxa"/>
            <w:vAlign w:val="bottom"/>
            <w:gridSpan w:val="3"/>
            <w:shd w:val="clear" w:color="auto" w:fill="EDEDED"/>
          </w:tcPr>
          <w:p>
            <w:pPr>
              <w:ind w:left="20"/>
              <w:spacing w:after="0" w:line="122" w:lineRule="exact"/>
              <w:rPr>
                <w:sz w:val="20"/>
                <w:szCs w:val="20"/>
                <w:color w:val="auto"/>
              </w:rPr>
            </w:pPr>
            <w:r>
              <w:rPr>
                <w:rFonts w:ascii="Arial" w:cs="Arial" w:eastAsia="Arial" w:hAnsi="Arial"/>
                <w:sz w:val="11"/>
                <w:szCs w:val="11"/>
                <w:color w:val="auto"/>
              </w:rPr>
              <w:t>2365 Baypoint Way, The</w:t>
            </w:r>
          </w:p>
        </w:tc>
        <w:tc>
          <w:tcPr>
            <w:tcW w:w="140" w:type="dxa"/>
            <w:vAlign w:val="bottom"/>
            <w:shd w:val="clear" w:color="auto" w:fill="EDEDED"/>
          </w:tcPr>
          <w:p>
            <w:pPr>
              <w:spacing w:after="0"/>
              <w:rPr>
                <w:sz w:val="10"/>
                <w:szCs w:val="10"/>
                <w:color w:val="auto"/>
              </w:rPr>
            </w:pPr>
          </w:p>
        </w:tc>
        <w:tc>
          <w:tcPr>
            <w:tcW w:w="13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182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6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0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EDEDED"/>
          </w:tcPr>
          <w:p>
            <w:pPr>
              <w:ind w:left="20"/>
              <w:spacing w:after="0"/>
              <w:rPr>
                <w:sz w:val="20"/>
                <w:szCs w:val="20"/>
                <w:color w:val="auto"/>
              </w:rPr>
            </w:pPr>
            <w:r>
              <w:rPr>
                <w:rFonts w:ascii="Arial" w:cs="Arial" w:eastAsia="Arial" w:hAnsi="Arial"/>
                <w:sz w:val="11"/>
                <w:szCs w:val="11"/>
                <w:color w:val="auto"/>
              </w:rPr>
              <w:t>Villages, FL 32162</w:t>
            </w:r>
          </w:p>
        </w:tc>
        <w:tc>
          <w:tcPr>
            <w:tcW w:w="460" w:type="dxa"/>
            <w:vAlign w:val="bottom"/>
            <w:shd w:val="clear" w:color="auto" w:fill="EDEDED"/>
          </w:tcPr>
          <w:p>
            <w:pPr>
              <w:spacing w:after="0"/>
              <w:rPr>
                <w:sz w:val="11"/>
                <w:szCs w:val="11"/>
                <w:color w:val="auto"/>
              </w:rPr>
            </w:pPr>
          </w:p>
        </w:tc>
        <w:tc>
          <w:tcPr>
            <w:tcW w:w="140" w:type="dxa"/>
            <w:vAlign w:val="bottom"/>
            <w:shd w:val="clear" w:color="auto" w:fill="EDEDED"/>
          </w:tcPr>
          <w:p>
            <w:pPr>
              <w:spacing w:after="0"/>
              <w:rPr>
                <w:sz w:val="11"/>
                <w:szCs w:val="11"/>
                <w:color w:val="auto"/>
              </w:rPr>
            </w:pPr>
          </w:p>
        </w:tc>
        <w:tc>
          <w:tcPr>
            <w:tcW w:w="13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182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6,113(21)</w:t>
            </w:r>
          </w:p>
        </w:tc>
        <w:tc>
          <w:tcPr>
            <w:tcW w:w="240" w:type="dxa"/>
            <w:vAlign w:val="bottom"/>
            <w:shd w:val="clear" w:color="auto" w:fill="EDEDED"/>
          </w:tcPr>
          <w:p>
            <w:pPr>
              <w:spacing w:after="0"/>
              <w:rPr>
                <w:sz w:val="11"/>
                <w:szCs w:val="11"/>
                <w:color w:val="auto"/>
              </w:rPr>
            </w:pPr>
          </w:p>
        </w:tc>
        <w:tc>
          <w:tcPr>
            <w:tcW w:w="660" w:type="dxa"/>
            <w:vAlign w:val="bottom"/>
            <w:shd w:val="clear" w:color="auto" w:fill="EDEDED"/>
          </w:tcPr>
          <w:p>
            <w:pPr>
              <w:jc w:val="right"/>
              <w:ind w:right="246"/>
              <w:spacing w:after="0"/>
              <w:rPr>
                <w:sz w:val="20"/>
                <w:szCs w:val="20"/>
                <w:color w:val="auto"/>
              </w:rPr>
            </w:pPr>
            <w:r>
              <w:rPr>
                <w:rFonts w:ascii="Arial" w:cs="Arial" w:eastAsia="Arial" w:hAnsi="Arial"/>
                <w:sz w:val="11"/>
                <w:szCs w:val="11"/>
                <w:color w:val="auto"/>
              </w:rPr>
              <w:t>(5)</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shd w:val="clear" w:color="auto" w:fill="EDEDED"/>
          </w:tcPr>
          <w:p>
            <w:pPr>
              <w:ind w:left="740"/>
              <w:spacing w:after="0"/>
              <w:rPr>
                <w:sz w:val="20"/>
                <w:szCs w:val="20"/>
                <w:color w:val="auto"/>
              </w:rPr>
            </w:pPr>
            <w:r>
              <w:rPr>
                <w:rFonts w:ascii="Arial" w:cs="Arial" w:eastAsia="Arial" w:hAnsi="Arial"/>
                <w:sz w:val="11"/>
                <w:szCs w:val="11"/>
                <w:color w:val="auto"/>
              </w:rPr>
              <w:t>—</w:t>
            </w:r>
          </w:p>
        </w:tc>
        <w:tc>
          <w:tcPr>
            <w:tcW w:w="400" w:type="dxa"/>
            <w:vAlign w:val="bottom"/>
            <w:shd w:val="clear" w:color="auto" w:fill="EDEDED"/>
          </w:tcPr>
          <w:p>
            <w:pPr>
              <w:ind w:left="20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EDEDED"/>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8"/>
        </w:trPr>
        <w:tc>
          <w:tcPr>
            <w:tcW w:w="840" w:type="dxa"/>
            <w:vAlign w:val="bottom"/>
          </w:tcPr>
          <w:p>
            <w:pPr>
              <w:ind w:left="20"/>
              <w:spacing w:after="0" w:line="109" w:lineRule="exact"/>
              <w:rPr>
                <w:sz w:val="20"/>
                <w:szCs w:val="20"/>
                <w:color w:val="auto"/>
              </w:rPr>
            </w:pPr>
            <w:r>
              <w:rPr>
                <w:rFonts w:ascii="Arial" w:cs="Arial" w:eastAsia="Arial" w:hAnsi="Arial"/>
                <w:sz w:val="11"/>
                <w:szCs w:val="11"/>
                <w:color w:val="auto"/>
              </w:rPr>
              <w:t>Maria R. Singer</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40" w:type="dxa"/>
            <w:vAlign w:val="bottom"/>
          </w:tcPr>
          <w:p>
            <w:pPr>
              <w:ind w:left="20"/>
              <w:spacing w:after="0" w:line="122" w:lineRule="exact"/>
              <w:rPr>
                <w:sz w:val="20"/>
                <w:szCs w:val="20"/>
                <w:color w:val="auto"/>
              </w:rPr>
            </w:pPr>
            <w:r>
              <w:rPr>
                <w:rFonts w:ascii="Arial" w:cs="Arial" w:eastAsia="Arial" w:hAnsi="Arial"/>
                <w:sz w:val="11"/>
                <w:szCs w:val="11"/>
                <w:color w:val="auto"/>
                <w:w w:val="94"/>
              </w:rPr>
              <w:t>245 Park Avenue</w:t>
            </w:r>
          </w:p>
        </w:tc>
        <w:tc>
          <w:tcPr>
            <w:tcW w:w="160" w:type="dxa"/>
            <w:vAlign w:val="bottom"/>
          </w:tcPr>
          <w:p>
            <w:pPr>
              <w:spacing w:after="0"/>
              <w:rPr>
                <w:sz w:val="10"/>
                <w:szCs w:val="10"/>
                <w:color w:val="auto"/>
              </w:rPr>
            </w:pPr>
          </w:p>
        </w:tc>
        <w:tc>
          <w:tcPr>
            <w:tcW w:w="460" w:type="dxa"/>
            <w:vAlign w:val="bottom"/>
          </w:tcPr>
          <w:p>
            <w:pPr>
              <w:jc w:val="right"/>
              <w:ind w:right="166"/>
              <w:spacing w:after="0" w:line="122" w:lineRule="exact"/>
              <w:rPr>
                <w:sz w:val="20"/>
                <w:szCs w:val="20"/>
                <w:color w:val="auto"/>
              </w:rPr>
            </w:pPr>
            <w:r>
              <w:rPr>
                <w:rFonts w:ascii="Arial" w:cs="Arial" w:eastAsia="Arial" w:hAnsi="Arial"/>
                <w:sz w:val="11"/>
                <w:szCs w:val="11"/>
                <w:color w:val="auto"/>
                <w:w w:val="99"/>
              </w:rPr>
              <w:t>New</w:t>
            </w: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tcPr>
          <w:p>
            <w:pPr>
              <w:ind w:left="20"/>
              <w:spacing w:after="0"/>
              <w:rPr>
                <w:sz w:val="20"/>
                <w:szCs w:val="20"/>
                <w:color w:val="auto"/>
              </w:rPr>
            </w:pPr>
            <w:r>
              <w:rPr>
                <w:rFonts w:ascii="Arial" w:cs="Arial" w:eastAsia="Arial" w:hAnsi="Arial"/>
                <w:sz w:val="11"/>
                <w:szCs w:val="11"/>
                <w:color w:val="auto"/>
              </w:rPr>
              <w:t>York, NY 10167</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820" w:type="dxa"/>
            <w:vAlign w:val="bottom"/>
          </w:tcPr>
          <w:p>
            <w:pPr>
              <w:jc w:val="right"/>
              <w:ind w:right="46"/>
              <w:spacing w:after="0"/>
              <w:rPr>
                <w:sz w:val="20"/>
                <w:szCs w:val="20"/>
                <w:color w:val="auto"/>
              </w:rPr>
            </w:pPr>
            <w:r>
              <w:rPr>
                <w:rFonts w:ascii="Arial" w:cs="Arial" w:eastAsia="Arial" w:hAnsi="Arial"/>
                <w:sz w:val="11"/>
                <w:szCs w:val="11"/>
                <w:color w:val="auto"/>
              </w:rPr>
              <w:t>8,575(21)</w:t>
            </w:r>
          </w:p>
        </w:tc>
        <w:tc>
          <w:tcPr>
            <w:tcW w:w="240" w:type="dxa"/>
            <w:vAlign w:val="bottom"/>
          </w:tcPr>
          <w:p>
            <w:pPr>
              <w:spacing w:after="0"/>
              <w:rPr>
                <w:sz w:val="11"/>
                <w:szCs w:val="11"/>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color w:val="auto"/>
              </w:rPr>
              <w:t>(5)</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Pr>
          <w:p>
            <w:pPr>
              <w:ind w:left="74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8"/>
        </w:trPr>
        <w:tc>
          <w:tcPr>
            <w:tcW w:w="840" w:type="dxa"/>
            <w:vAlign w:val="bottom"/>
            <w:shd w:val="clear" w:color="auto" w:fill="EDEDED"/>
          </w:tcPr>
          <w:p>
            <w:pPr>
              <w:ind w:left="20"/>
              <w:spacing w:after="0" w:line="109" w:lineRule="exact"/>
              <w:rPr>
                <w:sz w:val="20"/>
                <w:szCs w:val="20"/>
                <w:color w:val="auto"/>
              </w:rPr>
            </w:pPr>
            <w:r>
              <w:rPr>
                <w:rFonts w:ascii="Arial" w:cs="Arial" w:eastAsia="Arial" w:hAnsi="Arial"/>
                <w:sz w:val="11"/>
                <w:szCs w:val="11"/>
                <w:color w:val="auto"/>
                <w:w w:val="94"/>
              </w:rPr>
              <w:t>Warren J. Nimetz</w:t>
            </w:r>
          </w:p>
        </w:tc>
        <w:tc>
          <w:tcPr>
            <w:tcW w:w="160" w:type="dxa"/>
            <w:vAlign w:val="bottom"/>
            <w:shd w:val="clear" w:color="auto" w:fill="EDEDED"/>
          </w:tcPr>
          <w:p>
            <w:pPr>
              <w:spacing w:after="0"/>
              <w:rPr>
                <w:sz w:val="9"/>
                <w:szCs w:val="9"/>
                <w:color w:val="auto"/>
              </w:rPr>
            </w:pPr>
          </w:p>
        </w:tc>
        <w:tc>
          <w:tcPr>
            <w:tcW w:w="460" w:type="dxa"/>
            <w:vAlign w:val="bottom"/>
            <w:shd w:val="clear" w:color="auto" w:fill="EDEDED"/>
          </w:tcPr>
          <w:p>
            <w:pPr>
              <w:spacing w:after="0"/>
              <w:rPr>
                <w:sz w:val="9"/>
                <w:szCs w:val="9"/>
                <w:color w:val="auto"/>
              </w:rPr>
            </w:pPr>
          </w:p>
        </w:tc>
        <w:tc>
          <w:tcPr>
            <w:tcW w:w="140" w:type="dxa"/>
            <w:vAlign w:val="bottom"/>
            <w:shd w:val="clear" w:color="auto" w:fill="EDEDED"/>
          </w:tcPr>
          <w:p>
            <w:pPr>
              <w:spacing w:after="0"/>
              <w:rPr>
                <w:sz w:val="9"/>
                <w:szCs w:val="9"/>
                <w:color w:val="auto"/>
              </w:rPr>
            </w:pPr>
          </w:p>
        </w:tc>
        <w:tc>
          <w:tcPr>
            <w:tcW w:w="13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1820" w:type="dxa"/>
            <w:vAlign w:val="bottom"/>
            <w:shd w:val="clear" w:color="auto" w:fill="EDEDED"/>
          </w:tcPr>
          <w:p>
            <w:pPr>
              <w:spacing w:after="0"/>
              <w:rPr>
                <w:sz w:val="9"/>
                <w:szCs w:val="9"/>
                <w:color w:val="auto"/>
              </w:rPr>
            </w:pPr>
          </w:p>
        </w:tc>
        <w:tc>
          <w:tcPr>
            <w:tcW w:w="240" w:type="dxa"/>
            <w:vAlign w:val="bottom"/>
            <w:shd w:val="clear" w:color="auto" w:fill="EDEDED"/>
          </w:tcPr>
          <w:p>
            <w:pPr>
              <w:spacing w:after="0"/>
              <w:rPr>
                <w:sz w:val="9"/>
                <w:szCs w:val="9"/>
                <w:color w:val="auto"/>
              </w:rPr>
            </w:pPr>
          </w:p>
        </w:tc>
        <w:tc>
          <w:tcPr>
            <w:tcW w:w="660" w:type="dxa"/>
            <w:vAlign w:val="bottom"/>
            <w:shd w:val="clear" w:color="auto" w:fill="EDEDED"/>
          </w:tcPr>
          <w:p>
            <w:pPr>
              <w:spacing w:after="0"/>
              <w:rPr>
                <w:sz w:val="9"/>
                <w:szCs w:val="9"/>
                <w:color w:val="auto"/>
              </w:rPr>
            </w:pPr>
          </w:p>
        </w:tc>
        <w:tc>
          <w:tcPr>
            <w:tcW w:w="7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960" w:type="dxa"/>
            <w:vAlign w:val="bottom"/>
            <w:shd w:val="clear" w:color="auto" w:fill="EDEDED"/>
          </w:tcPr>
          <w:p>
            <w:pPr>
              <w:spacing w:after="0"/>
              <w:rPr>
                <w:sz w:val="9"/>
                <w:szCs w:val="9"/>
                <w:color w:val="auto"/>
              </w:rPr>
            </w:pPr>
          </w:p>
        </w:tc>
        <w:tc>
          <w:tcPr>
            <w:tcW w:w="40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06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60" w:type="dxa"/>
            <w:vAlign w:val="bottom"/>
            <w:gridSpan w:val="3"/>
            <w:shd w:val="clear" w:color="auto" w:fill="EDEDED"/>
          </w:tcPr>
          <w:p>
            <w:pPr>
              <w:ind w:left="20"/>
              <w:spacing w:after="0" w:line="122" w:lineRule="exact"/>
              <w:rPr>
                <w:sz w:val="20"/>
                <w:szCs w:val="20"/>
                <w:color w:val="auto"/>
              </w:rPr>
            </w:pPr>
            <w:r>
              <w:rPr>
                <w:rFonts w:ascii="Arial" w:cs="Arial" w:eastAsia="Arial" w:hAnsi="Arial"/>
                <w:sz w:val="11"/>
                <w:szCs w:val="11"/>
                <w:color w:val="auto"/>
              </w:rPr>
              <w:t>Norton Rose Fulbright US</w:t>
            </w:r>
          </w:p>
        </w:tc>
        <w:tc>
          <w:tcPr>
            <w:tcW w:w="140" w:type="dxa"/>
            <w:vAlign w:val="bottom"/>
            <w:shd w:val="clear" w:color="auto" w:fill="EDEDED"/>
          </w:tcPr>
          <w:p>
            <w:pPr>
              <w:spacing w:after="0"/>
              <w:rPr>
                <w:sz w:val="10"/>
                <w:szCs w:val="10"/>
                <w:color w:val="auto"/>
              </w:rPr>
            </w:pPr>
          </w:p>
        </w:tc>
        <w:tc>
          <w:tcPr>
            <w:tcW w:w="13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182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6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0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40" w:type="dxa"/>
            <w:vAlign w:val="bottom"/>
            <w:shd w:val="clear" w:color="auto" w:fill="EDEDED"/>
          </w:tcPr>
          <w:p>
            <w:pPr>
              <w:ind w:left="20"/>
              <w:spacing w:after="0" w:line="122" w:lineRule="exact"/>
              <w:rPr>
                <w:sz w:val="20"/>
                <w:szCs w:val="20"/>
                <w:color w:val="auto"/>
              </w:rPr>
            </w:pPr>
            <w:r>
              <w:rPr>
                <w:rFonts w:ascii="Arial" w:cs="Arial" w:eastAsia="Arial" w:hAnsi="Arial"/>
                <w:sz w:val="11"/>
                <w:szCs w:val="11"/>
                <w:color w:val="auto"/>
              </w:rPr>
              <w:t>LLP</w:t>
            </w:r>
          </w:p>
        </w:tc>
        <w:tc>
          <w:tcPr>
            <w:tcW w:w="620" w:type="dxa"/>
            <w:vAlign w:val="bottom"/>
            <w:gridSpan w:val="2"/>
            <w:shd w:val="clear" w:color="auto" w:fill="EDEDED"/>
          </w:tcPr>
          <w:p>
            <w:pPr>
              <w:jc w:val="right"/>
              <w:ind w:right="266"/>
              <w:spacing w:after="0" w:line="122" w:lineRule="exact"/>
              <w:rPr>
                <w:sz w:val="20"/>
                <w:szCs w:val="20"/>
                <w:color w:val="auto"/>
              </w:rPr>
            </w:pPr>
            <w:r>
              <w:rPr>
                <w:rFonts w:ascii="Arial" w:cs="Arial" w:eastAsia="Arial" w:hAnsi="Arial"/>
                <w:sz w:val="11"/>
                <w:szCs w:val="11"/>
                <w:color w:val="auto"/>
              </w:rPr>
              <w:t>1301</w:t>
            </w:r>
          </w:p>
        </w:tc>
        <w:tc>
          <w:tcPr>
            <w:tcW w:w="140" w:type="dxa"/>
            <w:vAlign w:val="bottom"/>
            <w:shd w:val="clear" w:color="auto" w:fill="EDEDED"/>
          </w:tcPr>
          <w:p>
            <w:pPr>
              <w:spacing w:after="0"/>
              <w:rPr>
                <w:sz w:val="10"/>
                <w:szCs w:val="10"/>
                <w:color w:val="auto"/>
              </w:rPr>
            </w:pPr>
          </w:p>
        </w:tc>
        <w:tc>
          <w:tcPr>
            <w:tcW w:w="13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182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6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0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60" w:type="dxa"/>
            <w:vAlign w:val="bottom"/>
            <w:gridSpan w:val="3"/>
            <w:shd w:val="clear" w:color="auto" w:fill="EDEDED"/>
          </w:tcPr>
          <w:p>
            <w:pPr>
              <w:ind w:left="20"/>
              <w:spacing w:after="0" w:line="122" w:lineRule="exact"/>
              <w:rPr>
                <w:sz w:val="20"/>
                <w:szCs w:val="20"/>
                <w:color w:val="auto"/>
              </w:rPr>
            </w:pPr>
            <w:r>
              <w:rPr>
                <w:rFonts w:ascii="Arial" w:cs="Arial" w:eastAsia="Arial" w:hAnsi="Arial"/>
                <w:sz w:val="11"/>
                <w:szCs w:val="11"/>
                <w:color w:val="auto"/>
              </w:rPr>
              <w:t>Avenue of the Americas New</w:t>
            </w:r>
          </w:p>
        </w:tc>
        <w:tc>
          <w:tcPr>
            <w:tcW w:w="140" w:type="dxa"/>
            <w:vAlign w:val="bottom"/>
            <w:shd w:val="clear" w:color="auto" w:fill="EDEDED"/>
          </w:tcPr>
          <w:p>
            <w:pPr>
              <w:spacing w:after="0"/>
              <w:rPr>
                <w:sz w:val="10"/>
                <w:szCs w:val="10"/>
                <w:color w:val="auto"/>
              </w:rPr>
            </w:pPr>
          </w:p>
        </w:tc>
        <w:tc>
          <w:tcPr>
            <w:tcW w:w="13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182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6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0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shd w:val="clear" w:color="auto" w:fill="EDEDED"/>
          </w:tcPr>
          <w:p>
            <w:pPr>
              <w:ind w:left="20"/>
              <w:spacing w:after="0"/>
              <w:rPr>
                <w:sz w:val="20"/>
                <w:szCs w:val="20"/>
                <w:color w:val="auto"/>
              </w:rPr>
            </w:pPr>
            <w:r>
              <w:rPr>
                <w:rFonts w:ascii="Arial" w:cs="Arial" w:eastAsia="Arial" w:hAnsi="Arial"/>
                <w:sz w:val="11"/>
                <w:szCs w:val="11"/>
                <w:color w:val="auto"/>
              </w:rPr>
              <w:t>York, NY 10019</w:t>
            </w:r>
          </w:p>
        </w:tc>
        <w:tc>
          <w:tcPr>
            <w:tcW w:w="160" w:type="dxa"/>
            <w:vAlign w:val="bottom"/>
            <w:shd w:val="clear" w:color="auto" w:fill="EDEDED"/>
          </w:tcPr>
          <w:p>
            <w:pPr>
              <w:spacing w:after="0"/>
              <w:rPr>
                <w:sz w:val="11"/>
                <w:szCs w:val="11"/>
                <w:color w:val="auto"/>
              </w:rPr>
            </w:pPr>
          </w:p>
        </w:tc>
        <w:tc>
          <w:tcPr>
            <w:tcW w:w="460" w:type="dxa"/>
            <w:vAlign w:val="bottom"/>
            <w:shd w:val="clear" w:color="auto" w:fill="EDEDED"/>
          </w:tcPr>
          <w:p>
            <w:pPr>
              <w:spacing w:after="0"/>
              <w:rPr>
                <w:sz w:val="11"/>
                <w:szCs w:val="11"/>
                <w:color w:val="auto"/>
              </w:rPr>
            </w:pPr>
          </w:p>
        </w:tc>
        <w:tc>
          <w:tcPr>
            <w:tcW w:w="1500" w:type="dxa"/>
            <w:vAlign w:val="bottom"/>
            <w:gridSpan w:val="2"/>
            <w:shd w:val="clear" w:color="auto" w:fill="EDEDED"/>
          </w:tcPr>
          <w:p>
            <w:pPr>
              <w:jc w:val="right"/>
              <w:ind w:right="46"/>
              <w:spacing w:after="0"/>
              <w:rPr>
                <w:sz w:val="20"/>
                <w:szCs w:val="20"/>
                <w:color w:val="auto"/>
              </w:rPr>
            </w:pPr>
            <w:r>
              <w:rPr>
                <w:rFonts w:ascii="Arial" w:cs="Arial" w:eastAsia="Arial" w:hAnsi="Arial"/>
                <w:sz w:val="11"/>
                <w:szCs w:val="11"/>
                <w:color w:val="auto"/>
              </w:rPr>
              <w:t>377,530(15)(17)</w:t>
            </w:r>
          </w:p>
        </w:tc>
        <w:tc>
          <w:tcPr>
            <w:tcW w:w="900" w:type="dxa"/>
            <w:vAlign w:val="bottom"/>
            <w:shd w:val="clear" w:color="auto" w:fill="EDEDED"/>
          </w:tcPr>
          <w:p>
            <w:pPr>
              <w:jc w:val="right"/>
              <w:ind w:right="86"/>
              <w:spacing w:after="0"/>
              <w:rPr>
                <w:sz w:val="20"/>
                <w:szCs w:val="20"/>
                <w:color w:val="auto"/>
              </w:rPr>
            </w:pPr>
            <w:r>
              <w:rPr>
                <w:rFonts w:ascii="Arial" w:cs="Arial" w:eastAsia="Arial" w:hAnsi="Arial"/>
                <w:sz w:val="11"/>
                <w:szCs w:val="11"/>
                <w:color w:val="auto"/>
              </w:rPr>
              <w:t>5.7%</w:t>
            </w:r>
          </w:p>
        </w:tc>
        <w:tc>
          <w:tcPr>
            <w:tcW w:w="182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386,011(4)(21)</w:t>
            </w:r>
          </w:p>
        </w:tc>
        <w:tc>
          <w:tcPr>
            <w:tcW w:w="240" w:type="dxa"/>
            <w:vAlign w:val="bottom"/>
            <w:shd w:val="clear" w:color="auto" w:fill="EDEDED"/>
          </w:tcPr>
          <w:p>
            <w:pPr>
              <w:spacing w:after="0"/>
              <w:rPr>
                <w:sz w:val="11"/>
                <w:szCs w:val="11"/>
                <w:color w:val="auto"/>
              </w:rPr>
            </w:pPr>
          </w:p>
        </w:tc>
        <w:tc>
          <w:tcPr>
            <w:tcW w:w="660" w:type="dxa"/>
            <w:vAlign w:val="bottom"/>
            <w:shd w:val="clear" w:color="auto" w:fill="EDEDED"/>
          </w:tcPr>
          <w:p>
            <w:pPr>
              <w:jc w:val="right"/>
              <w:ind w:right="246"/>
              <w:spacing w:after="0"/>
              <w:rPr>
                <w:sz w:val="20"/>
                <w:szCs w:val="20"/>
                <w:color w:val="auto"/>
              </w:rPr>
            </w:pPr>
            <w:r>
              <w:rPr>
                <w:rFonts w:ascii="Arial" w:cs="Arial" w:eastAsia="Arial" w:hAnsi="Arial"/>
                <w:sz w:val="11"/>
                <w:szCs w:val="11"/>
                <w:color w:val="auto"/>
              </w:rPr>
              <w:t>(5)</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shd w:val="clear" w:color="auto" w:fill="EDEDED"/>
          </w:tcPr>
          <w:p>
            <w:pPr>
              <w:ind w:left="740"/>
              <w:spacing w:after="0"/>
              <w:rPr>
                <w:sz w:val="20"/>
                <w:szCs w:val="20"/>
                <w:color w:val="auto"/>
              </w:rPr>
            </w:pPr>
            <w:r>
              <w:rPr>
                <w:rFonts w:ascii="Arial" w:cs="Arial" w:eastAsia="Arial" w:hAnsi="Arial"/>
                <w:sz w:val="11"/>
                <w:szCs w:val="11"/>
                <w:color w:val="auto"/>
              </w:rPr>
              <w:t>—</w:t>
            </w:r>
          </w:p>
        </w:tc>
        <w:tc>
          <w:tcPr>
            <w:tcW w:w="400" w:type="dxa"/>
            <w:vAlign w:val="bottom"/>
            <w:shd w:val="clear" w:color="auto" w:fill="EDEDED"/>
          </w:tcPr>
          <w:p>
            <w:pPr>
              <w:ind w:left="20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EDEDED"/>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8"/>
        </w:trPr>
        <w:tc>
          <w:tcPr>
            <w:tcW w:w="1000" w:type="dxa"/>
            <w:vAlign w:val="bottom"/>
            <w:gridSpan w:val="2"/>
          </w:tcPr>
          <w:p>
            <w:pPr>
              <w:ind w:left="20"/>
              <w:spacing w:after="0" w:line="109" w:lineRule="exact"/>
              <w:rPr>
                <w:sz w:val="20"/>
                <w:szCs w:val="20"/>
                <w:color w:val="auto"/>
              </w:rPr>
            </w:pPr>
            <w:r>
              <w:rPr>
                <w:rFonts w:ascii="Arial" w:cs="Arial" w:eastAsia="Arial" w:hAnsi="Arial"/>
                <w:sz w:val="11"/>
                <w:szCs w:val="11"/>
                <w:color w:val="auto"/>
                <w:w w:val="96"/>
              </w:rPr>
              <w:t>Eileen C. McDonnell</w:t>
            </w:r>
          </w:p>
        </w:tc>
        <w:tc>
          <w:tcPr>
            <w:tcW w:w="460" w:type="dxa"/>
            <w:vAlign w:val="bottom"/>
          </w:tcPr>
          <w:p>
            <w:pPr>
              <w:jc w:val="right"/>
              <w:ind w:right="86"/>
              <w:spacing w:after="0" w:line="109" w:lineRule="exact"/>
              <w:rPr>
                <w:sz w:val="20"/>
                <w:szCs w:val="20"/>
                <w:color w:val="auto"/>
              </w:rPr>
            </w:pPr>
            <w:r>
              <w:rPr>
                <w:rFonts w:ascii="Arial" w:cs="Arial" w:eastAsia="Arial" w:hAnsi="Arial"/>
                <w:sz w:val="11"/>
                <w:szCs w:val="11"/>
                <w:color w:val="auto"/>
              </w:rPr>
              <w:t>18</w:t>
            </w: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60" w:type="dxa"/>
            <w:vAlign w:val="bottom"/>
            <w:gridSpan w:val="3"/>
          </w:tcPr>
          <w:p>
            <w:pPr>
              <w:ind w:left="20"/>
              <w:spacing w:after="0" w:line="122" w:lineRule="exact"/>
              <w:rPr>
                <w:sz w:val="20"/>
                <w:szCs w:val="20"/>
                <w:color w:val="auto"/>
              </w:rPr>
            </w:pPr>
            <w:r>
              <w:rPr>
                <w:rFonts w:ascii="Arial" w:cs="Arial" w:eastAsia="Arial" w:hAnsi="Arial"/>
                <w:sz w:val="11"/>
                <w:szCs w:val="11"/>
                <w:color w:val="auto"/>
                <w:w w:val="97"/>
              </w:rPr>
              <w:t>Tradesville Drive Doylestown,</w:t>
            </w: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tcPr>
          <w:p>
            <w:pPr>
              <w:ind w:left="20"/>
              <w:spacing w:after="0"/>
              <w:rPr>
                <w:sz w:val="20"/>
                <w:szCs w:val="20"/>
                <w:color w:val="auto"/>
              </w:rPr>
            </w:pPr>
            <w:r>
              <w:rPr>
                <w:rFonts w:ascii="Arial" w:cs="Arial" w:eastAsia="Arial" w:hAnsi="Arial"/>
                <w:sz w:val="11"/>
                <w:szCs w:val="11"/>
                <w:color w:val="auto"/>
              </w:rPr>
              <w:t>PA 18901</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820" w:type="dxa"/>
            <w:vAlign w:val="bottom"/>
          </w:tcPr>
          <w:p>
            <w:pPr>
              <w:jc w:val="right"/>
              <w:ind w:right="46"/>
              <w:spacing w:after="0"/>
              <w:rPr>
                <w:sz w:val="20"/>
                <w:szCs w:val="20"/>
                <w:color w:val="auto"/>
              </w:rPr>
            </w:pPr>
            <w:r>
              <w:rPr>
                <w:rFonts w:ascii="Arial" w:cs="Arial" w:eastAsia="Arial" w:hAnsi="Arial"/>
                <w:sz w:val="11"/>
                <w:szCs w:val="11"/>
                <w:color w:val="auto"/>
              </w:rPr>
              <w:t>8,189(21)</w:t>
            </w:r>
          </w:p>
        </w:tc>
        <w:tc>
          <w:tcPr>
            <w:tcW w:w="240" w:type="dxa"/>
            <w:vAlign w:val="bottom"/>
          </w:tcPr>
          <w:p>
            <w:pPr>
              <w:spacing w:after="0"/>
              <w:rPr>
                <w:sz w:val="11"/>
                <w:szCs w:val="11"/>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color w:val="auto"/>
              </w:rPr>
              <w:t>(5)</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Pr>
          <w:p>
            <w:pPr>
              <w:ind w:left="74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8"/>
        </w:trPr>
        <w:tc>
          <w:tcPr>
            <w:tcW w:w="1460" w:type="dxa"/>
            <w:vAlign w:val="bottom"/>
            <w:gridSpan w:val="3"/>
            <w:shd w:val="clear" w:color="auto" w:fill="EDEDED"/>
          </w:tcPr>
          <w:p>
            <w:pPr>
              <w:ind w:left="20"/>
              <w:spacing w:after="0" w:line="109" w:lineRule="exact"/>
              <w:rPr>
                <w:sz w:val="20"/>
                <w:szCs w:val="20"/>
                <w:color w:val="auto"/>
              </w:rPr>
            </w:pPr>
            <w:r>
              <w:rPr>
                <w:rFonts w:ascii="Arial" w:cs="Arial" w:eastAsia="Arial" w:hAnsi="Arial"/>
                <w:sz w:val="11"/>
                <w:szCs w:val="11"/>
                <w:color w:val="auto"/>
              </w:rPr>
              <w:t>Nina Chen-Langenmayr</w:t>
            </w:r>
          </w:p>
        </w:tc>
        <w:tc>
          <w:tcPr>
            <w:tcW w:w="140" w:type="dxa"/>
            <w:vAlign w:val="bottom"/>
            <w:shd w:val="clear" w:color="auto" w:fill="EDEDED"/>
          </w:tcPr>
          <w:p>
            <w:pPr>
              <w:spacing w:after="0"/>
              <w:rPr>
                <w:sz w:val="9"/>
                <w:szCs w:val="9"/>
                <w:color w:val="auto"/>
              </w:rPr>
            </w:pPr>
          </w:p>
        </w:tc>
        <w:tc>
          <w:tcPr>
            <w:tcW w:w="13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1820" w:type="dxa"/>
            <w:vAlign w:val="bottom"/>
            <w:shd w:val="clear" w:color="auto" w:fill="EDEDED"/>
          </w:tcPr>
          <w:p>
            <w:pPr>
              <w:spacing w:after="0"/>
              <w:rPr>
                <w:sz w:val="9"/>
                <w:szCs w:val="9"/>
                <w:color w:val="auto"/>
              </w:rPr>
            </w:pPr>
          </w:p>
        </w:tc>
        <w:tc>
          <w:tcPr>
            <w:tcW w:w="240" w:type="dxa"/>
            <w:vAlign w:val="bottom"/>
            <w:shd w:val="clear" w:color="auto" w:fill="EDEDED"/>
          </w:tcPr>
          <w:p>
            <w:pPr>
              <w:spacing w:after="0"/>
              <w:rPr>
                <w:sz w:val="9"/>
                <w:szCs w:val="9"/>
                <w:color w:val="auto"/>
              </w:rPr>
            </w:pPr>
          </w:p>
        </w:tc>
        <w:tc>
          <w:tcPr>
            <w:tcW w:w="660" w:type="dxa"/>
            <w:vAlign w:val="bottom"/>
            <w:shd w:val="clear" w:color="auto" w:fill="EDEDED"/>
          </w:tcPr>
          <w:p>
            <w:pPr>
              <w:spacing w:after="0"/>
              <w:rPr>
                <w:sz w:val="9"/>
                <w:szCs w:val="9"/>
                <w:color w:val="auto"/>
              </w:rPr>
            </w:pPr>
          </w:p>
        </w:tc>
        <w:tc>
          <w:tcPr>
            <w:tcW w:w="7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960" w:type="dxa"/>
            <w:vAlign w:val="bottom"/>
            <w:shd w:val="clear" w:color="auto" w:fill="EDEDED"/>
          </w:tcPr>
          <w:p>
            <w:pPr>
              <w:spacing w:after="0"/>
              <w:rPr>
                <w:sz w:val="9"/>
                <w:szCs w:val="9"/>
                <w:color w:val="auto"/>
              </w:rPr>
            </w:pPr>
          </w:p>
        </w:tc>
        <w:tc>
          <w:tcPr>
            <w:tcW w:w="40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06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60" w:type="dxa"/>
            <w:vAlign w:val="bottom"/>
            <w:gridSpan w:val="3"/>
            <w:shd w:val="clear" w:color="auto" w:fill="EDEDED"/>
          </w:tcPr>
          <w:p>
            <w:pPr>
              <w:ind w:left="20"/>
              <w:spacing w:after="0" w:line="122" w:lineRule="exact"/>
              <w:rPr>
                <w:sz w:val="20"/>
                <w:szCs w:val="20"/>
                <w:color w:val="auto"/>
              </w:rPr>
            </w:pPr>
            <w:r>
              <w:rPr>
                <w:rFonts w:ascii="Arial" w:cs="Arial" w:eastAsia="Arial" w:hAnsi="Arial"/>
                <w:sz w:val="11"/>
                <w:szCs w:val="11"/>
                <w:color w:val="auto"/>
              </w:rPr>
              <w:t>570-21 Russet Wood Lane,</w:t>
            </w:r>
          </w:p>
        </w:tc>
        <w:tc>
          <w:tcPr>
            <w:tcW w:w="140" w:type="dxa"/>
            <w:vAlign w:val="bottom"/>
            <w:shd w:val="clear" w:color="auto" w:fill="EDEDED"/>
          </w:tcPr>
          <w:p>
            <w:pPr>
              <w:spacing w:after="0"/>
              <w:rPr>
                <w:sz w:val="10"/>
                <w:szCs w:val="10"/>
                <w:color w:val="auto"/>
              </w:rPr>
            </w:pPr>
          </w:p>
        </w:tc>
        <w:tc>
          <w:tcPr>
            <w:tcW w:w="13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182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6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0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EDEDED"/>
          </w:tcPr>
          <w:p>
            <w:pPr>
              <w:ind w:left="20"/>
              <w:spacing w:after="0"/>
              <w:rPr>
                <w:sz w:val="20"/>
                <w:szCs w:val="20"/>
                <w:color w:val="auto"/>
              </w:rPr>
            </w:pPr>
            <w:r>
              <w:rPr>
                <w:rFonts w:ascii="Arial" w:cs="Arial" w:eastAsia="Arial" w:hAnsi="Arial"/>
                <w:sz w:val="11"/>
                <w:szCs w:val="11"/>
                <w:color w:val="auto"/>
              </w:rPr>
              <w:t>Aurora, OH 44202</w:t>
            </w:r>
          </w:p>
        </w:tc>
        <w:tc>
          <w:tcPr>
            <w:tcW w:w="460" w:type="dxa"/>
            <w:vAlign w:val="bottom"/>
            <w:shd w:val="clear" w:color="auto" w:fill="EDEDED"/>
          </w:tcPr>
          <w:p>
            <w:pPr>
              <w:spacing w:after="0"/>
              <w:rPr>
                <w:sz w:val="11"/>
                <w:szCs w:val="11"/>
                <w:color w:val="auto"/>
              </w:rPr>
            </w:pPr>
          </w:p>
        </w:tc>
        <w:tc>
          <w:tcPr>
            <w:tcW w:w="140" w:type="dxa"/>
            <w:vAlign w:val="bottom"/>
            <w:shd w:val="clear" w:color="auto" w:fill="EDEDED"/>
          </w:tcPr>
          <w:p>
            <w:pPr>
              <w:spacing w:after="0"/>
              <w:rPr>
                <w:sz w:val="11"/>
                <w:szCs w:val="11"/>
                <w:color w:val="auto"/>
              </w:rPr>
            </w:pPr>
          </w:p>
        </w:tc>
        <w:tc>
          <w:tcPr>
            <w:tcW w:w="13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182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3,050(21)</w:t>
            </w:r>
          </w:p>
        </w:tc>
        <w:tc>
          <w:tcPr>
            <w:tcW w:w="240" w:type="dxa"/>
            <w:vAlign w:val="bottom"/>
            <w:shd w:val="clear" w:color="auto" w:fill="EDEDED"/>
          </w:tcPr>
          <w:p>
            <w:pPr>
              <w:spacing w:after="0"/>
              <w:rPr>
                <w:sz w:val="11"/>
                <w:szCs w:val="11"/>
                <w:color w:val="auto"/>
              </w:rPr>
            </w:pPr>
          </w:p>
        </w:tc>
        <w:tc>
          <w:tcPr>
            <w:tcW w:w="660" w:type="dxa"/>
            <w:vAlign w:val="bottom"/>
            <w:shd w:val="clear" w:color="auto" w:fill="EDEDED"/>
          </w:tcPr>
          <w:p>
            <w:pPr>
              <w:jc w:val="right"/>
              <w:ind w:right="246"/>
              <w:spacing w:after="0"/>
              <w:rPr>
                <w:sz w:val="20"/>
                <w:szCs w:val="20"/>
                <w:color w:val="auto"/>
              </w:rPr>
            </w:pPr>
            <w:r>
              <w:rPr>
                <w:rFonts w:ascii="Arial" w:cs="Arial" w:eastAsia="Arial" w:hAnsi="Arial"/>
                <w:sz w:val="11"/>
                <w:szCs w:val="11"/>
                <w:color w:val="auto"/>
              </w:rPr>
              <w:t>(5)</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shd w:val="clear" w:color="auto" w:fill="EDEDED"/>
          </w:tcPr>
          <w:p>
            <w:pPr>
              <w:ind w:left="740"/>
              <w:spacing w:after="0"/>
              <w:rPr>
                <w:sz w:val="20"/>
                <w:szCs w:val="20"/>
                <w:color w:val="auto"/>
              </w:rPr>
            </w:pPr>
            <w:r>
              <w:rPr>
                <w:rFonts w:ascii="Arial" w:cs="Arial" w:eastAsia="Arial" w:hAnsi="Arial"/>
                <w:sz w:val="11"/>
                <w:szCs w:val="11"/>
                <w:color w:val="auto"/>
              </w:rPr>
              <w:t>—</w:t>
            </w:r>
          </w:p>
        </w:tc>
        <w:tc>
          <w:tcPr>
            <w:tcW w:w="400" w:type="dxa"/>
            <w:vAlign w:val="bottom"/>
            <w:shd w:val="clear" w:color="auto" w:fill="EDEDED"/>
          </w:tcPr>
          <w:p>
            <w:pPr>
              <w:ind w:left="20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EDEDED"/>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2"/>
        </w:trPr>
        <w:tc>
          <w:tcPr>
            <w:tcW w:w="840" w:type="dxa"/>
            <w:vAlign w:val="bottom"/>
          </w:tcPr>
          <w:p>
            <w:pPr>
              <w:ind w:left="20"/>
              <w:spacing w:after="0" w:line="122" w:lineRule="exact"/>
              <w:rPr>
                <w:sz w:val="20"/>
                <w:szCs w:val="20"/>
                <w:color w:val="auto"/>
              </w:rPr>
            </w:pPr>
            <w:r>
              <w:rPr>
                <w:rFonts w:ascii="Arial" w:cs="Arial" w:eastAsia="Arial" w:hAnsi="Arial"/>
                <w:sz w:val="11"/>
                <w:szCs w:val="11"/>
                <w:color w:val="auto"/>
              </w:rPr>
              <w:t>Steve G. Filton</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340,040(8)(11)</w:t>
            </w:r>
          </w:p>
        </w:tc>
        <w:tc>
          <w:tcPr>
            <w:tcW w:w="240" w:type="dxa"/>
            <w:vAlign w:val="bottom"/>
          </w:tcPr>
          <w:p>
            <w:pPr>
              <w:spacing w:after="0"/>
              <w:rPr>
                <w:sz w:val="10"/>
                <w:szCs w:val="10"/>
                <w:color w:val="auto"/>
              </w:rPr>
            </w:pPr>
          </w:p>
        </w:tc>
        <w:tc>
          <w:tcPr>
            <w:tcW w:w="6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(5)</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ind w:left="74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ind w:left="200"/>
              <w:spacing w:after="0" w:line="122"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2"/>
        </w:trPr>
        <w:tc>
          <w:tcPr>
            <w:tcW w:w="840" w:type="dxa"/>
            <w:vAlign w:val="bottom"/>
            <w:shd w:val="clear" w:color="auto" w:fill="EDEDED"/>
          </w:tcPr>
          <w:p>
            <w:pPr>
              <w:ind w:left="20"/>
              <w:spacing w:after="0" w:line="122" w:lineRule="exact"/>
              <w:rPr>
                <w:sz w:val="20"/>
                <w:szCs w:val="20"/>
                <w:color w:val="auto"/>
              </w:rPr>
            </w:pPr>
            <w:r>
              <w:rPr>
                <w:rFonts w:ascii="Arial" w:cs="Arial" w:eastAsia="Arial" w:hAnsi="Arial"/>
                <w:sz w:val="11"/>
                <w:szCs w:val="11"/>
                <w:color w:val="auto"/>
              </w:rPr>
              <w:t>Edward H. Sim</w:t>
            </w:r>
          </w:p>
        </w:tc>
        <w:tc>
          <w:tcPr>
            <w:tcW w:w="160" w:type="dxa"/>
            <w:vAlign w:val="bottom"/>
            <w:shd w:val="clear" w:color="auto" w:fill="EDEDED"/>
          </w:tcPr>
          <w:p>
            <w:pPr>
              <w:spacing w:after="0"/>
              <w:rPr>
                <w:sz w:val="10"/>
                <w:szCs w:val="10"/>
                <w:color w:val="auto"/>
              </w:rPr>
            </w:pPr>
          </w:p>
        </w:tc>
        <w:tc>
          <w:tcPr>
            <w:tcW w:w="460" w:type="dxa"/>
            <w:vAlign w:val="bottom"/>
            <w:shd w:val="clear" w:color="auto" w:fill="EDEDED"/>
          </w:tcPr>
          <w:p>
            <w:pPr>
              <w:spacing w:after="0"/>
              <w:rPr>
                <w:sz w:val="10"/>
                <w:szCs w:val="10"/>
                <w:color w:val="auto"/>
              </w:rPr>
            </w:pPr>
          </w:p>
        </w:tc>
        <w:tc>
          <w:tcPr>
            <w:tcW w:w="140" w:type="dxa"/>
            <w:vAlign w:val="bottom"/>
            <w:shd w:val="clear" w:color="auto" w:fill="EDEDED"/>
          </w:tcPr>
          <w:p>
            <w:pPr>
              <w:spacing w:after="0"/>
              <w:rPr>
                <w:sz w:val="10"/>
                <w:szCs w:val="10"/>
                <w:color w:val="auto"/>
              </w:rPr>
            </w:pPr>
          </w:p>
        </w:tc>
        <w:tc>
          <w:tcPr>
            <w:tcW w:w="136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90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82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48,356(11)</w:t>
            </w:r>
          </w:p>
        </w:tc>
        <w:tc>
          <w:tcPr>
            <w:tcW w:w="240" w:type="dxa"/>
            <w:vAlign w:val="bottom"/>
            <w:shd w:val="clear" w:color="auto" w:fill="EDEDED"/>
          </w:tcPr>
          <w:p>
            <w:pPr>
              <w:spacing w:after="0"/>
              <w:rPr>
                <w:sz w:val="10"/>
                <w:szCs w:val="10"/>
                <w:color w:val="auto"/>
              </w:rPr>
            </w:pPr>
          </w:p>
        </w:tc>
        <w:tc>
          <w:tcPr>
            <w:tcW w:w="660" w:type="dxa"/>
            <w:vAlign w:val="bottom"/>
            <w:shd w:val="clear" w:color="auto" w:fill="EDEDED"/>
          </w:tcPr>
          <w:p>
            <w:pPr>
              <w:jc w:val="right"/>
              <w:ind w:right="246"/>
              <w:spacing w:after="0" w:line="122" w:lineRule="exact"/>
              <w:rPr>
                <w:sz w:val="20"/>
                <w:szCs w:val="20"/>
                <w:color w:val="auto"/>
              </w:rPr>
            </w:pPr>
            <w:r>
              <w:rPr>
                <w:rFonts w:ascii="Arial" w:cs="Arial" w:eastAsia="Arial" w:hAnsi="Arial"/>
                <w:sz w:val="11"/>
                <w:szCs w:val="11"/>
                <w:color w:val="auto"/>
              </w:rPr>
              <w:t>(5)</w:t>
            </w:r>
          </w:p>
        </w:tc>
        <w:tc>
          <w:tcPr>
            <w:tcW w:w="76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90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EDEDED"/>
          </w:tcPr>
          <w:p>
            <w:pPr>
              <w:ind w:left="74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EDEDED"/>
          </w:tcPr>
          <w:p>
            <w:pPr>
              <w:ind w:left="200"/>
              <w:spacing w:after="0" w:line="122" w:lineRule="exact"/>
              <w:rPr>
                <w:sz w:val="20"/>
                <w:szCs w:val="20"/>
                <w:color w:val="auto"/>
              </w:rPr>
            </w:pPr>
            <w:r>
              <w:rPr>
                <w:rFonts w:ascii="Arial" w:cs="Arial" w:eastAsia="Arial" w:hAnsi="Arial"/>
                <w:sz w:val="11"/>
                <w:szCs w:val="11"/>
                <w:color w:val="auto"/>
              </w:rPr>
              <w:t>—</w:t>
            </w:r>
          </w:p>
        </w:tc>
        <w:tc>
          <w:tcPr>
            <w:tcW w:w="1180" w:type="dxa"/>
            <w:vAlign w:val="bottom"/>
            <w:gridSpan w:val="2"/>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1"/>
        </w:trPr>
        <w:tc>
          <w:tcPr>
            <w:tcW w:w="1000" w:type="dxa"/>
            <w:vAlign w:val="bottom"/>
            <w:gridSpan w:val="2"/>
          </w:tcPr>
          <w:p>
            <w:pPr>
              <w:ind w:left="20"/>
              <w:spacing w:after="0" w:line="122" w:lineRule="exact"/>
              <w:rPr>
                <w:sz w:val="20"/>
                <w:szCs w:val="20"/>
                <w:color w:val="auto"/>
              </w:rPr>
            </w:pPr>
            <w:r>
              <w:rPr>
                <w:rFonts w:ascii="Arial" w:cs="Arial" w:eastAsia="Arial" w:hAnsi="Arial"/>
                <w:sz w:val="11"/>
                <w:szCs w:val="11"/>
                <w:color w:val="auto"/>
                <w:w w:val="95"/>
              </w:rPr>
              <w:t>Matthew J. Peterson</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43,076(11)</w:t>
            </w:r>
          </w:p>
        </w:tc>
        <w:tc>
          <w:tcPr>
            <w:tcW w:w="240" w:type="dxa"/>
            <w:vAlign w:val="bottom"/>
          </w:tcPr>
          <w:p>
            <w:pPr>
              <w:spacing w:after="0"/>
              <w:rPr>
                <w:sz w:val="10"/>
                <w:szCs w:val="10"/>
                <w:color w:val="auto"/>
              </w:rPr>
            </w:pPr>
          </w:p>
        </w:tc>
        <w:tc>
          <w:tcPr>
            <w:tcW w:w="66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(5)</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ind w:left="74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ind w:left="200"/>
              <w:spacing w:after="0" w:line="122"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8"/>
        </w:trPr>
        <w:tc>
          <w:tcPr>
            <w:tcW w:w="840" w:type="dxa"/>
            <w:vAlign w:val="bottom"/>
            <w:shd w:val="clear" w:color="auto" w:fill="EDEDED"/>
          </w:tcPr>
          <w:p>
            <w:pPr>
              <w:ind w:left="20"/>
              <w:spacing w:after="0" w:line="109" w:lineRule="exact"/>
              <w:rPr>
                <w:sz w:val="20"/>
                <w:szCs w:val="20"/>
                <w:color w:val="auto"/>
              </w:rPr>
            </w:pPr>
            <w:r>
              <w:rPr>
                <w:rFonts w:ascii="Arial" w:cs="Arial" w:eastAsia="Arial" w:hAnsi="Arial"/>
                <w:sz w:val="11"/>
                <w:szCs w:val="11"/>
                <w:color w:val="auto"/>
              </w:rPr>
              <w:t>BlackRock, Inc.</w:t>
            </w:r>
          </w:p>
        </w:tc>
        <w:tc>
          <w:tcPr>
            <w:tcW w:w="160" w:type="dxa"/>
            <w:vAlign w:val="bottom"/>
            <w:shd w:val="clear" w:color="auto" w:fill="EDEDED"/>
          </w:tcPr>
          <w:p>
            <w:pPr>
              <w:spacing w:after="0"/>
              <w:rPr>
                <w:sz w:val="9"/>
                <w:szCs w:val="9"/>
                <w:color w:val="auto"/>
              </w:rPr>
            </w:pPr>
          </w:p>
        </w:tc>
        <w:tc>
          <w:tcPr>
            <w:tcW w:w="460" w:type="dxa"/>
            <w:vAlign w:val="bottom"/>
            <w:shd w:val="clear" w:color="auto" w:fill="EDEDED"/>
          </w:tcPr>
          <w:p>
            <w:pPr>
              <w:jc w:val="right"/>
              <w:ind w:right="26"/>
              <w:spacing w:after="0" w:line="109" w:lineRule="exact"/>
              <w:rPr>
                <w:sz w:val="20"/>
                <w:szCs w:val="20"/>
                <w:color w:val="auto"/>
              </w:rPr>
            </w:pPr>
            <w:r>
              <w:rPr>
                <w:rFonts w:ascii="Arial" w:cs="Arial" w:eastAsia="Arial" w:hAnsi="Arial"/>
                <w:sz w:val="11"/>
                <w:szCs w:val="11"/>
                <w:color w:val="auto"/>
              </w:rPr>
              <w:t>50</w:t>
            </w:r>
          </w:p>
        </w:tc>
        <w:tc>
          <w:tcPr>
            <w:tcW w:w="140" w:type="dxa"/>
            <w:vAlign w:val="bottom"/>
            <w:shd w:val="clear" w:color="auto" w:fill="EDEDED"/>
          </w:tcPr>
          <w:p>
            <w:pPr>
              <w:spacing w:after="0"/>
              <w:rPr>
                <w:sz w:val="9"/>
                <w:szCs w:val="9"/>
                <w:color w:val="auto"/>
              </w:rPr>
            </w:pPr>
          </w:p>
        </w:tc>
        <w:tc>
          <w:tcPr>
            <w:tcW w:w="13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1820" w:type="dxa"/>
            <w:vAlign w:val="bottom"/>
            <w:shd w:val="clear" w:color="auto" w:fill="EDEDED"/>
          </w:tcPr>
          <w:p>
            <w:pPr>
              <w:spacing w:after="0"/>
              <w:rPr>
                <w:sz w:val="9"/>
                <w:szCs w:val="9"/>
                <w:color w:val="auto"/>
              </w:rPr>
            </w:pPr>
          </w:p>
        </w:tc>
        <w:tc>
          <w:tcPr>
            <w:tcW w:w="240" w:type="dxa"/>
            <w:vAlign w:val="bottom"/>
            <w:shd w:val="clear" w:color="auto" w:fill="EDEDED"/>
          </w:tcPr>
          <w:p>
            <w:pPr>
              <w:spacing w:after="0"/>
              <w:rPr>
                <w:sz w:val="9"/>
                <w:szCs w:val="9"/>
                <w:color w:val="auto"/>
              </w:rPr>
            </w:pPr>
          </w:p>
        </w:tc>
        <w:tc>
          <w:tcPr>
            <w:tcW w:w="660" w:type="dxa"/>
            <w:vAlign w:val="bottom"/>
            <w:shd w:val="clear" w:color="auto" w:fill="EDEDED"/>
          </w:tcPr>
          <w:p>
            <w:pPr>
              <w:spacing w:after="0"/>
              <w:rPr>
                <w:sz w:val="9"/>
                <w:szCs w:val="9"/>
                <w:color w:val="auto"/>
              </w:rPr>
            </w:pPr>
          </w:p>
        </w:tc>
        <w:tc>
          <w:tcPr>
            <w:tcW w:w="7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960" w:type="dxa"/>
            <w:vAlign w:val="bottom"/>
            <w:shd w:val="clear" w:color="auto" w:fill="EDEDED"/>
          </w:tcPr>
          <w:p>
            <w:pPr>
              <w:spacing w:after="0"/>
              <w:rPr>
                <w:sz w:val="9"/>
                <w:szCs w:val="9"/>
                <w:color w:val="auto"/>
              </w:rPr>
            </w:pPr>
          </w:p>
        </w:tc>
        <w:tc>
          <w:tcPr>
            <w:tcW w:w="40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06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40" w:type="dxa"/>
            <w:vAlign w:val="bottom"/>
            <w:shd w:val="clear" w:color="auto" w:fill="EDEDED"/>
          </w:tcPr>
          <w:p>
            <w:pPr>
              <w:ind w:left="20"/>
              <w:spacing w:after="0" w:line="122" w:lineRule="exact"/>
              <w:rPr>
                <w:sz w:val="20"/>
                <w:szCs w:val="20"/>
                <w:color w:val="auto"/>
              </w:rPr>
            </w:pPr>
            <w:r>
              <w:rPr>
                <w:rFonts w:ascii="Arial" w:cs="Arial" w:eastAsia="Arial" w:hAnsi="Arial"/>
                <w:sz w:val="11"/>
                <w:szCs w:val="11"/>
                <w:color w:val="auto"/>
              </w:rPr>
              <w:t>Hudson Yards</w:t>
            </w:r>
          </w:p>
        </w:tc>
        <w:tc>
          <w:tcPr>
            <w:tcW w:w="620" w:type="dxa"/>
            <w:vAlign w:val="bottom"/>
            <w:gridSpan w:val="2"/>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w w:val="94"/>
              </w:rPr>
              <w:t>New York,</w:t>
            </w:r>
          </w:p>
        </w:tc>
        <w:tc>
          <w:tcPr>
            <w:tcW w:w="140" w:type="dxa"/>
            <w:vAlign w:val="bottom"/>
            <w:shd w:val="clear" w:color="auto" w:fill="EDEDED"/>
          </w:tcPr>
          <w:p>
            <w:pPr>
              <w:spacing w:after="0"/>
              <w:rPr>
                <w:sz w:val="10"/>
                <w:szCs w:val="10"/>
                <w:color w:val="auto"/>
              </w:rPr>
            </w:pPr>
          </w:p>
        </w:tc>
        <w:tc>
          <w:tcPr>
            <w:tcW w:w="13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182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6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0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shd w:val="clear" w:color="auto" w:fill="EDEDED"/>
          </w:tcPr>
          <w:p>
            <w:pPr>
              <w:ind w:left="20"/>
              <w:spacing w:after="0"/>
              <w:rPr>
                <w:sz w:val="20"/>
                <w:szCs w:val="20"/>
                <w:color w:val="auto"/>
              </w:rPr>
            </w:pPr>
            <w:r>
              <w:rPr>
                <w:rFonts w:ascii="Arial" w:cs="Arial" w:eastAsia="Arial" w:hAnsi="Arial"/>
                <w:sz w:val="11"/>
                <w:szCs w:val="11"/>
                <w:color w:val="auto"/>
              </w:rPr>
              <w:t>NY 10001</w:t>
            </w:r>
          </w:p>
        </w:tc>
        <w:tc>
          <w:tcPr>
            <w:tcW w:w="160" w:type="dxa"/>
            <w:vAlign w:val="bottom"/>
            <w:shd w:val="clear" w:color="auto" w:fill="EDEDED"/>
          </w:tcPr>
          <w:p>
            <w:pPr>
              <w:spacing w:after="0"/>
              <w:rPr>
                <w:sz w:val="11"/>
                <w:szCs w:val="11"/>
                <w:color w:val="auto"/>
              </w:rPr>
            </w:pPr>
          </w:p>
        </w:tc>
        <w:tc>
          <w:tcPr>
            <w:tcW w:w="460" w:type="dxa"/>
            <w:vAlign w:val="bottom"/>
            <w:shd w:val="clear" w:color="auto" w:fill="EDEDED"/>
          </w:tcPr>
          <w:p>
            <w:pPr>
              <w:spacing w:after="0"/>
              <w:rPr>
                <w:sz w:val="11"/>
                <w:szCs w:val="11"/>
                <w:color w:val="auto"/>
              </w:rPr>
            </w:pPr>
          </w:p>
        </w:tc>
        <w:tc>
          <w:tcPr>
            <w:tcW w:w="140" w:type="dxa"/>
            <w:vAlign w:val="bottom"/>
            <w:shd w:val="clear" w:color="auto" w:fill="EDEDED"/>
          </w:tcPr>
          <w:p>
            <w:pPr>
              <w:spacing w:after="0"/>
              <w:rPr>
                <w:sz w:val="11"/>
                <w:szCs w:val="11"/>
                <w:color w:val="auto"/>
              </w:rPr>
            </w:pPr>
          </w:p>
        </w:tc>
        <w:tc>
          <w:tcPr>
            <w:tcW w:w="13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182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4,139,531(9)</w:t>
            </w:r>
          </w:p>
        </w:tc>
        <w:tc>
          <w:tcPr>
            <w:tcW w:w="240" w:type="dxa"/>
            <w:vAlign w:val="bottom"/>
            <w:shd w:val="clear" w:color="auto" w:fill="EDEDED"/>
          </w:tcPr>
          <w:p>
            <w:pPr>
              <w:spacing w:after="0"/>
              <w:rPr>
                <w:sz w:val="11"/>
                <w:szCs w:val="11"/>
                <w:color w:val="auto"/>
              </w:rPr>
            </w:pPr>
          </w:p>
        </w:tc>
        <w:tc>
          <w:tcPr>
            <w:tcW w:w="66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7.7%</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shd w:val="clear" w:color="auto" w:fill="EDEDED"/>
          </w:tcPr>
          <w:p>
            <w:pPr>
              <w:ind w:left="740"/>
              <w:spacing w:after="0"/>
              <w:rPr>
                <w:sz w:val="20"/>
                <w:szCs w:val="20"/>
                <w:color w:val="auto"/>
              </w:rPr>
            </w:pPr>
            <w:r>
              <w:rPr>
                <w:rFonts w:ascii="Arial" w:cs="Arial" w:eastAsia="Arial" w:hAnsi="Arial"/>
                <w:sz w:val="11"/>
                <w:szCs w:val="11"/>
                <w:color w:val="auto"/>
              </w:rPr>
              <w:t>—</w:t>
            </w:r>
          </w:p>
        </w:tc>
        <w:tc>
          <w:tcPr>
            <w:tcW w:w="400" w:type="dxa"/>
            <w:vAlign w:val="bottom"/>
            <w:shd w:val="clear" w:color="auto" w:fill="EDEDED"/>
          </w:tcPr>
          <w:p>
            <w:pPr>
              <w:ind w:left="20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EDEDED"/>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8"/>
        </w:trPr>
        <w:tc>
          <w:tcPr>
            <w:tcW w:w="1460" w:type="dxa"/>
            <w:vAlign w:val="bottom"/>
            <w:gridSpan w:val="3"/>
          </w:tcPr>
          <w:p>
            <w:pPr>
              <w:ind w:left="20"/>
              <w:spacing w:after="0" w:line="109" w:lineRule="exact"/>
              <w:rPr>
                <w:sz w:val="20"/>
                <w:szCs w:val="20"/>
                <w:color w:val="auto"/>
              </w:rPr>
            </w:pPr>
            <w:r>
              <w:rPr>
                <w:rFonts w:ascii="Arial" w:cs="Arial" w:eastAsia="Arial" w:hAnsi="Arial"/>
                <w:sz w:val="11"/>
                <w:szCs w:val="11"/>
                <w:color w:val="auto"/>
              </w:rPr>
              <w:t>First Eagle Investment</w:t>
            </w: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Management, LLC</w:t>
            </w:r>
          </w:p>
        </w:tc>
        <w:tc>
          <w:tcPr>
            <w:tcW w:w="46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1345</w:t>
            </w: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6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Avenue of the Americas New</w:t>
            </w: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tcPr>
          <w:p>
            <w:pPr>
              <w:ind w:left="20"/>
              <w:spacing w:after="0"/>
              <w:rPr>
                <w:sz w:val="20"/>
                <w:szCs w:val="20"/>
                <w:color w:val="auto"/>
              </w:rPr>
            </w:pPr>
            <w:r>
              <w:rPr>
                <w:rFonts w:ascii="Arial" w:cs="Arial" w:eastAsia="Arial" w:hAnsi="Arial"/>
                <w:sz w:val="11"/>
                <w:szCs w:val="11"/>
                <w:color w:val="auto"/>
              </w:rPr>
              <w:t>York, NY 10105</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820" w:type="dxa"/>
            <w:vAlign w:val="bottom"/>
          </w:tcPr>
          <w:p>
            <w:pPr>
              <w:jc w:val="right"/>
              <w:ind w:right="46"/>
              <w:spacing w:after="0"/>
              <w:rPr>
                <w:sz w:val="20"/>
                <w:szCs w:val="20"/>
                <w:color w:val="auto"/>
              </w:rPr>
            </w:pPr>
            <w:r>
              <w:rPr>
                <w:rFonts w:ascii="Arial" w:cs="Arial" w:eastAsia="Arial" w:hAnsi="Arial"/>
                <w:sz w:val="11"/>
                <w:szCs w:val="11"/>
                <w:color w:val="auto"/>
              </w:rPr>
              <w:t>4,630,429(10)</w:t>
            </w:r>
          </w:p>
        </w:tc>
        <w:tc>
          <w:tcPr>
            <w:tcW w:w="240" w:type="dxa"/>
            <w:vAlign w:val="bottom"/>
          </w:tcPr>
          <w:p>
            <w:pPr>
              <w:spacing w:after="0"/>
              <w:rPr>
                <w:sz w:val="11"/>
                <w:szCs w:val="11"/>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color w:val="auto"/>
              </w:rPr>
              <w:t>8.6%</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Pr>
          <w:p>
            <w:pPr>
              <w:ind w:left="74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8"/>
        </w:trPr>
        <w:tc>
          <w:tcPr>
            <w:tcW w:w="1460" w:type="dxa"/>
            <w:vAlign w:val="bottom"/>
            <w:gridSpan w:val="3"/>
            <w:shd w:val="clear" w:color="auto" w:fill="EDEDED"/>
          </w:tcPr>
          <w:p>
            <w:pPr>
              <w:ind w:left="20"/>
              <w:spacing w:after="0" w:line="109" w:lineRule="exact"/>
              <w:rPr>
                <w:sz w:val="20"/>
                <w:szCs w:val="20"/>
                <w:color w:val="auto"/>
              </w:rPr>
            </w:pPr>
            <w:r>
              <w:rPr>
                <w:rFonts w:ascii="Arial" w:cs="Arial" w:eastAsia="Arial" w:hAnsi="Arial"/>
                <w:sz w:val="11"/>
                <w:szCs w:val="11"/>
                <w:color w:val="auto"/>
              </w:rPr>
              <w:t>All directors &amp; executive</w:t>
            </w:r>
          </w:p>
        </w:tc>
        <w:tc>
          <w:tcPr>
            <w:tcW w:w="140" w:type="dxa"/>
            <w:vAlign w:val="bottom"/>
            <w:shd w:val="clear" w:color="auto" w:fill="EDEDED"/>
          </w:tcPr>
          <w:p>
            <w:pPr>
              <w:spacing w:after="0"/>
              <w:rPr>
                <w:sz w:val="9"/>
                <w:szCs w:val="9"/>
                <w:color w:val="auto"/>
              </w:rPr>
            </w:pPr>
          </w:p>
        </w:tc>
        <w:tc>
          <w:tcPr>
            <w:tcW w:w="13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1820" w:type="dxa"/>
            <w:vAlign w:val="bottom"/>
            <w:shd w:val="clear" w:color="auto" w:fill="EDEDED"/>
          </w:tcPr>
          <w:p>
            <w:pPr>
              <w:spacing w:after="0"/>
              <w:rPr>
                <w:sz w:val="9"/>
                <w:szCs w:val="9"/>
                <w:color w:val="auto"/>
              </w:rPr>
            </w:pPr>
          </w:p>
        </w:tc>
        <w:tc>
          <w:tcPr>
            <w:tcW w:w="240" w:type="dxa"/>
            <w:vAlign w:val="bottom"/>
            <w:shd w:val="clear" w:color="auto" w:fill="EDEDED"/>
          </w:tcPr>
          <w:p>
            <w:pPr>
              <w:spacing w:after="0"/>
              <w:rPr>
                <w:sz w:val="9"/>
                <w:szCs w:val="9"/>
                <w:color w:val="auto"/>
              </w:rPr>
            </w:pPr>
          </w:p>
        </w:tc>
        <w:tc>
          <w:tcPr>
            <w:tcW w:w="660" w:type="dxa"/>
            <w:vAlign w:val="bottom"/>
            <w:shd w:val="clear" w:color="auto" w:fill="EDEDED"/>
          </w:tcPr>
          <w:p>
            <w:pPr>
              <w:spacing w:after="0"/>
              <w:rPr>
                <w:sz w:val="9"/>
                <w:szCs w:val="9"/>
                <w:color w:val="auto"/>
              </w:rPr>
            </w:pPr>
          </w:p>
        </w:tc>
        <w:tc>
          <w:tcPr>
            <w:tcW w:w="7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960" w:type="dxa"/>
            <w:vAlign w:val="bottom"/>
            <w:shd w:val="clear" w:color="auto" w:fill="EDEDED"/>
          </w:tcPr>
          <w:p>
            <w:pPr>
              <w:spacing w:after="0"/>
              <w:rPr>
                <w:sz w:val="9"/>
                <w:szCs w:val="9"/>
                <w:color w:val="auto"/>
              </w:rPr>
            </w:pPr>
          </w:p>
        </w:tc>
        <w:tc>
          <w:tcPr>
            <w:tcW w:w="40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06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60" w:type="dxa"/>
            <w:vAlign w:val="bottom"/>
            <w:gridSpan w:val="3"/>
            <w:shd w:val="clear" w:color="auto" w:fill="EDEDED"/>
          </w:tcPr>
          <w:p>
            <w:pPr>
              <w:ind w:left="20"/>
              <w:spacing w:after="0" w:line="122" w:lineRule="exact"/>
              <w:rPr>
                <w:sz w:val="20"/>
                <w:szCs w:val="20"/>
                <w:color w:val="auto"/>
              </w:rPr>
            </w:pPr>
            <w:r>
              <w:rPr>
                <w:rFonts w:ascii="Arial" w:cs="Arial" w:eastAsia="Arial" w:hAnsi="Arial"/>
                <w:sz w:val="11"/>
                <w:szCs w:val="11"/>
                <w:color w:val="auto"/>
              </w:rPr>
              <w:t>officers as a group (10</w:t>
            </w:r>
          </w:p>
        </w:tc>
        <w:tc>
          <w:tcPr>
            <w:tcW w:w="140" w:type="dxa"/>
            <w:vAlign w:val="bottom"/>
            <w:shd w:val="clear" w:color="auto" w:fill="EDEDED"/>
          </w:tcPr>
          <w:p>
            <w:pPr>
              <w:spacing w:after="0"/>
              <w:rPr>
                <w:sz w:val="10"/>
                <w:szCs w:val="10"/>
                <w:color w:val="auto"/>
              </w:rPr>
            </w:pPr>
          </w:p>
        </w:tc>
        <w:tc>
          <w:tcPr>
            <w:tcW w:w="13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182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6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0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0" w:type="dxa"/>
            <w:vAlign w:val="bottom"/>
            <w:shd w:val="clear" w:color="auto" w:fill="EDEDED"/>
          </w:tcPr>
          <w:p>
            <w:pPr>
              <w:ind w:left="20"/>
              <w:spacing w:after="0"/>
              <w:rPr>
                <w:sz w:val="20"/>
                <w:szCs w:val="20"/>
                <w:color w:val="auto"/>
              </w:rPr>
            </w:pPr>
            <w:r>
              <w:rPr>
                <w:rFonts w:ascii="Arial" w:cs="Arial" w:eastAsia="Arial" w:hAnsi="Arial"/>
                <w:sz w:val="11"/>
                <w:szCs w:val="11"/>
                <w:color w:val="auto"/>
              </w:rPr>
              <w:t>persons)(22)</w:t>
            </w:r>
          </w:p>
        </w:tc>
        <w:tc>
          <w:tcPr>
            <w:tcW w:w="160" w:type="dxa"/>
            <w:vAlign w:val="bottom"/>
            <w:shd w:val="clear" w:color="auto" w:fill="EDEDED"/>
          </w:tcPr>
          <w:p>
            <w:pPr>
              <w:spacing w:after="0"/>
              <w:rPr>
                <w:sz w:val="11"/>
                <w:szCs w:val="11"/>
                <w:color w:val="auto"/>
              </w:rPr>
            </w:pPr>
          </w:p>
        </w:tc>
        <w:tc>
          <w:tcPr>
            <w:tcW w:w="460" w:type="dxa"/>
            <w:vAlign w:val="bottom"/>
            <w:shd w:val="clear" w:color="auto" w:fill="EDEDED"/>
          </w:tcPr>
          <w:p>
            <w:pPr>
              <w:spacing w:after="0"/>
              <w:rPr>
                <w:sz w:val="11"/>
                <w:szCs w:val="11"/>
                <w:color w:val="auto"/>
              </w:rPr>
            </w:pPr>
          </w:p>
        </w:tc>
        <w:tc>
          <w:tcPr>
            <w:tcW w:w="1500" w:type="dxa"/>
            <w:vAlign w:val="bottom"/>
            <w:gridSpan w:val="2"/>
            <w:shd w:val="clear" w:color="auto" w:fill="EDEDED"/>
          </w:tcPr>
          <w:p>
            <w:pPr>
              <w:jc w:val="right"/>
              <w:ind w:right="46"/>
              <w:spacing w:after="0"/>
              <w:rPr>
                <w:sz w:val="20"/>
                <w:szCs w:val="20"/>
                <w:color w:val="auto"/>
              </w:rPr>
            </w:pPr>
            <w:r>
              <w:rPr>
                <w:rFonts w:ascii="Arial" w:cs="Arial" w:eastAsia="Arial" w:hAnsi="Arial"/>
                <w:sz w:val="11"/>
                <w:szCs w:val="11"/>
                <w:color w:val="auto"/>
              </w:rPr>
              <w:t>6,574,600</w:t>
            </w:r>
          </w:p>
        </w:tc>
        <w:tc>
          <w:tcPr>
            <w:tcW w:w="900" w:type="dxa"/>
            <w:vAlign w:val="bottom"/>
            <w:shd w:val="clear" w:color="auto" w:fill="EDEDED"/>
          </w:tcPr>
          <w:p>
            <w:pPr>
              <w:jc w:val="right"/>
              <w:ind w:right="86"/>
              <w:spacing w:after="0"/>
              <w:rPr>
                <w:sz w:val="20"/>
                <w:szCs w:val="20"/>
                <w:color w:val="auto"/>
              </w:rPr>
            </w:pPr>
            <w:r>
              <w:rPr>
                <w:rFonts w:ascii="Arial" w:cs="Arial" w:eastAsia="Arial" w:hAnsi="Arial"/>
                <w:sz w:val="11"/>
                <w:szCs w:val="11"/>
                <w:color w:val="auto"/>
              </w:rPr>
              <w:t>100.0%</w:t>
            </w:r>
          </w:p>
        </w:tc>
        <w:tc>
          <w:tcPr>
            <w:tcW w:w="182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10,522,258</w:t>
            </w:r>
          </w:p>
        </w:tc>
        <w:tc>
          <w:tcPr>
            <w:tcW w:w="240" w:type="dxa"/>
            <w:vAlign w:val="bottom"/>
            <w:shd w:val="clear" w:color="auto" w:fill="EDEDED"/>
          </w:tcPr>
          <w:p>
            <w:pPr>
              <w:spacing w:after="0"/>
              <w:rPr>
                <w:sz w:val="11"/>
                <w:szCs w:val="11"/>
                <w:color w:val="auto"/>
              </w:rPr>
            </w:pPr>
          </w:p>
        </w:tc>
        <w:tc>
          <w:tcPr>
            <w:tcW w:w="66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17.1%</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661,688</w:t>
            </w:r>
          </w:p>
        </w:tc>
        <w:tc>
          <w:tcPr>
            <w:tcW w:w="90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100.0%</w:t>
            </w:r>
          </w:p>
        </w:tc>
        <w:tc>
          <w:tcPr>
            <w:tcW w:w="960" w:type="dxa"/>
            <w:vAlign w:val="bottom"/>
            <w:shd w:val="clear" w:color="auto" w:fill="EDEDED"/>
          </w:tcPr>
          <w:p>
            <w:pPr>
              <w:ind w:left="740"/>
              <w:spacing w:after="0"/>
              <w:rPr>
                <w:sz w:val="20"/>
                <w:szCs w:val="20"/>
                <w:color w:val="auto"/>
              </w:rPr>
            </w:pPr>
            <w:r>
              <w:rPr>
                <w:rFonts w:ascii="Arial" w:cs="Arial" w:eastAsia="Arial" w:hAnsi="Arial"/>
                <w:sz w:val="11"/>
                <w:szCs w:val="11"/>
                <w:color w:val="auto"/>
              </w:rPr>
              <w:t>—</w:t>
            </w:r>
          </w:p>
        </w:tc>
        <w:tc>
          <w:tcPr>
            <w:tcW w:w="400" w:type="dxa"/>
            <w:vAlign w:val="bottom"/>
            <w:shd w:val="clear" w:color="auto" w:fill="EDEDED"/>
          </w:tcPr>
          <w:p>
            <w:pPr>
              <w:ind w:left="200"/>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EDEDED"/>
          </w:tcPr>
          <w:p>
            <w:pPr>
              <w:jc w:val="right"/>
              <w:spacing w:after="0"/>
              <w:rPr>
                <w:sz w:val="20"/>
                <w:szCs w:val="20"/>
                <w:color w:val="auto"/>
              </w:rPr>
            </w:pPr>
            <w:r>
              <w:rPr>
                <w:rFonts w:ascii="Arial" w:cs="Arial" w:eastAsia="Arial" w:hAnsi="Arial"/>
                <w:sz w:val="11"/>
                <w:szCs w:val="11"/>
                <w:color w:val="auto"/>
              </w:rPr>
              <w:t>91.8%</w:t>
            </w:r>
          </w:p>
        </w:tc>
        <w:tc>
          <w:tcPr>
            <w:tcW w:w="0" w:type="dxa"/>
            <w:vAlign w:val="bottom"/>
          </w:tcPr>
          <w:p>
            <w:pPr>
              <w:spacing w:after="0"/>
              <w:rPr>
                <w:sz w:val="1"/>
                <w:szCs w:val="1"/>
                <w:color w:val="auto"/>
              </w:rPr>
            </w:pPr>
          </w:p>
        </w:tc>
      </w:tr>
      <w:tr>
        <w:trPr>
          <w:trHeight w:val="122"/>
        </w:trPr>
        <w:tc>
          <w:tcPr>
            <w:tcW w:w="840" w:type="dxa"/>
            <w:vAlign w:val="bottom"/>
            <w:tcBorders>
              <w:bottom w:val="single" w:sz="8" w:color="7F7F7F"/>
            </w:tcBorders>
          </w:tcPr>
          <w:p>
            <w:pPr>
              <w:spacing w:after="0"/>
              <w:rPr>
                <w:sz w:val="10"/>
                <w:szCs w:val="10"/>
                <w:color w:val="auto"/>
              </w:rPr>
            </w:pPr>
          </w:p>
        </w:tc>
        <w:tc>
          <w:tcPr>
            <w:tcW w:w="160" w:type="dxa"/>
            <w:vAlign w:val="bottom"/>
            <w:tcBorders>
              <w:bottom w:val="single" w:sz="8" w:color="7F7F7F"/>
            </w:tcBorders>
          </w:tcPr>
          <w:p>
            <w:pPr>
              <w:spacing w:after="0"/>
              <w:rPr>
                <w:sz w:val="10"/>
                <w:szCs w:val="10"/>
                <w:color w:val="auto"/>
              </w:rPr>
            </w:pPr>
          </w:p>
        </w:tc>
        <w:tc>
          <w:tcPr>
            <w:tcW w:w="460" w:type="dxa"/>
            <w:vAlign w:val="bottom"/>
            <w:tcBorders>
              <w:bottom w:val="single" w:sz="8" w:color="7F7F7F"/>
            </w:tcBorders>
          </w:tcPr>
          <w:p>
            <w:pPr>
              <w:spacing w:after="0"/>
              <w:rPr>
                <w:sz w:val="10"/>
                <w:szCs w:val="10"/>
                <w:color w:val="auto"/>
              </w:rPr>
            </w:pPr>
          </w:p>
        </w:tc>
        <w:tc>
          <w:tcPr>
            <w:tcW w:w="140" w:type="dxa"/>
            <w:vAlign w:val="bottom"/>
            <w:tcBorders>
              <w:bottom w:val="single" w:sz="8" w:color="7F7F7F"/>
            </w:tcBorders>
          </w:tcPr>
          <w:p>
            <w:pPr>
              <w:spacing w:after="0"/>
              <w:rPr>
                <w:sz w:val="10"/>
                <w:szCs w:val="10"/>
                <w:color w:val="auto"/>
              </w:rPr>
            </w:pPr>
          </w:p>
        </w:tc>
        <w:tc>
          <w:tcPr>
            <w:tcW w:w="1360" w:type="dxa"/>
            <w:vAlign w:val="bottom"/>
            <w:tcBorders>
              <w:bottom w:val="single" w:sz="8" w:color="7F7F7F"/>
            </w:tcBorders>
          </w:tcPr>
          <w:p>
            <w:pPr>
              <w:spacing w:after="0"/>
              <w:rPr>
                <w:sz w:val="10"/>
                <w:szCs w:val="10"/>
                <w:color w:val="auto"/>
              </w:rPr>
            </w:pPr>
          </w:p>
        </w:tc>
        <w:tc>
          <w:tcPr>
            <w:tcW w:w="900" w:type="dxa"/>
            <w:vAlign w:val="bottom"/>
            <w:tcBorders>
              <w:bottom w:val="single" w:sz="8" w:color="7F7F7F"/>
            </w:tcBorders>
          </w:tcPr>
          <w:p>
            <w:pPr>
              <w:spacing w:after="0"/>
              <w:rPr>
                <w:sz w:val="10"/>
                <w:szCs w:val="10"/>
                <w:color w:val="auto"/>
              </w:rPr>
            </w:pPr>
          </w:p>
        </w:tc>
        <w:tc>
          <w:tcPr>
            <w:tcW w:w="1820" w:type="dxa"/>
            <w:vAlign w:val="bottom"/>
            <w:tcBorders>
              <w:bottom w:val="single" w:sz="8" w:color="7F7F7F"/>
            </w:tcBorders>
          </w:tcPr>
          <w:p>
            <w:pPr>
              <w:spacing w:after="0"/>
              <w:rPr>
                <w:sz w:val="10"/>
                <w:szCs w:val="10"/>
                <w:color w:val="auto"/>
              </w:rPr>
            </w:pPr>
          </w:p>
        </w:tc>
        <w:tc>
          <w:tcPr>
            <w:tcW w:w="240" w:type="dxa"/>
            <w:vAlign w:val="bottom"/>
            <w:tcBorders>
              <w:bottom w:val="single" w:sz="8" w:color="7F7F7F"/>
            </w:tcBorders>
          </w:tcPr>
          <w:p>
            <w:pPr>
              <w:spacing w:after="0"/>
              <w:rPr>
                <w:sz w:val="10"/>
                <w:szCs w:val="10"/>
                <w:color w:val="auto"/>
              </w:rPr>
            </w:pPr>
          </w:p>
        </w:tc>
        <w:tc>
          <w:tcPr>
            <w:tcW w:w="660" w:type="dxa"/>
            <w:vAlign w:val="bottom"/>
            <w:tcBorders>
              <w:bottom w:val="single" w:sz="8" w:color="7F7F7F"/>
            </w:tcBorders>
          </w:tcPr>
          <w:p>
            <w:pPr>
              <w:spacing w:after="0"/>
              <w:rPr>
                <w:sz w:val="10"/>
                <w:szCs w:val="10"/>
                <w:color w:val="auto"/>
              </w:rPr>
            </w:pPr>
          </w:p>
        </w:tc>
        <w:tc>
          <w:tcPr>
            <w:tcW w:w="760" w:type="dxa"/>
            <w:vAlign w:val="bottom"/>
            <w:tcBorders>
              <w:bottom w:val="single" w:sz="8" w:color="7F7F7F"/>
            </w:tcBorders>
          </w:tcPr>
          <w:p>
            <w:pPr>
              <w:spacing w:after="0"/>
              <w:rPr>
                <w:sz w:val="10"/>
                <w:szCs w:val="10"/>
                <w:color w:val="auto"/>
              </w:rPr>
            </w:pPr>
          </w:p>
        </w:tc>
        <w:tc>
          <w:tcPr>
            <w:tcW w:w="900" w:type="dxa"/>
            <w:vAlign w:val="bottom"/>
            <w:tcBorders>
              <w:bottom w:val="single" w:sz="8" w:color="7F7F7F"/>
            </w:tcBorders>
          </w:tcPr>
          <w:p>
            <w:pPr>
              <w:spacing w:after="0"/>
              <w:rPr>
                <w:sz w:val="10"/>
                <w:szCs w:val="10"/>
                <w:color w:val="auto"/>
              </w:rPr>
            </w:pPr>
          </w:p>
        </w:tc>
        <w:tc>
          <w:tcPr>
            <w:tcW w:w="960" w:type="dxa"/>
            <w:vAlign w:val="bottom"/>
            <w:tcBorders>
              <w:bottom w:val="single" w:sz="8" w:color="7F7F7F"/>
            </w:tcBorders>
          </w:tcPr>
          <w:p>
            <w:pPr>
              <w:spacing w:after="0"/>
              <w:rPr>
                <w:sz w:val="10"/>
                <w:szCs w:val="10"/>
                <w:color w:val="auto"/>
              </w:rPr>
            </w:pPr>
          </w:p>
        </w:tc>
        <w:tc>
          <w:tcPr>
            <w:tcW w:w="400" w:type="dxa"/>
            <w:vAlign w:val="bottom"/>
            <w:tcBorders>
              <w:bottom w:val="single" w:sz="8" w:color="7F7F7F"/>
            </w:tcBorders>
          </w:tcPr>
          <w:p>
            <w:pPr>
              <w:spacing w:after="0"/>
              <w:rPr>
                <w:sz w:val="10"/>
                <w:szCs w:val="10"/>
                <w:color w:val="auto"/>
              </w:rPr>
            </w:pPr>
          </w:p>
        </w:tc>
        <w:tc>
          <w:tcPr>
            <w:tcW w:w="120" w:type="dxa"/>
            <w:vAlign w:val="bottom"/>
            <w:tcBorders>
              <w:bottom w:val="single" w:sz="8" w:color="7F7F7F"/>
            </w:tcBorders>
          </w:tcPr>
          <w:p>
            <w:pPr>
              <w:spacing w:after="0"/>
              <w:rPr>
                <w:sz w:val="10"/>
                <w:szCs w:val="10"/>
                <w:color w:val="auto"/>
              </w:rPr>
            </w:pPr>
          </w:p>
        </w:tc>
        <w:tc>
          <w:tcPr>
            <w:tcW w:w="106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020" w:hanging="503"/>
        <w:spacing w:after="0" w:line="257" w:lineRule="auto"/>
        <w:tabs>
          <w:tab w:leader="none" w:pos="10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Unless otherwise shown, the address of each beneficial owner is c/o Universal Health Services, Inc., Universal Corporate Center, 367 South Gulph Road, King of Prussia, PA 19406.</w:t>
      </w:r>
    </w:p>
    <w:p>
      <w:pPr>
        <w:spacing w:after="0" w:line="6" w:lineRule="exact"/>
        <w:rPr>
          <w:rFonts w:ascii="Arial" w:cs="Arial" w:eastAsia="Arial" w:hAnsi="Arial"/>
          <w:sz w:val="20"/>
          <w:szCs w:val="20"/>
          <w:color w:val="auto"/>
        </w:rPr>
      </w:pPr>
    </w:p>
    <w:p>
      <w:pPr>
        <w:ind w:left="1020" w:right="20" w:hanging="503"/>
        <w:spacing w:after="0" w:line="257" w:lineRule="auto"/>
        <w:tabs>
          <w:tab w:leader="none" w:pos="10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Each share of Class A, Class C and Class D Common Stock is convertible at any time into one share of Class B Common Stock.</w:t>
      </w:r>
    </w:p>
    <w:p>
      <w:pPr>
        <w:spacing w:after="0" w:line="20" w:lineRule="exact"/>
        <w:rPr>
          <w:rFonts w:ascii="Arial" w:cs="Arial" w:eastAsia="Arial" w:hAnsi="Arial"/>
          <w:sz w:val="20"/>
          <w:szCs w:val="20"/>
          <w:color w:val="auto"/>
        </w:rPr>
      </w:pPr>
    </w:p>
    <w:p>
      <w:pPr>
        <w:jc w:val="both"/>
        <w:ind w:left="1020" w:hanging="503"/>
        <w:spacing w:after="0" w:line="231" w:lineRule="auto"/>
        <w:tabs>
          <w:tab w:leader="none" w:pos="10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As to matters other than the election of directors, holders of Class A, Class B, Class C and Class D Common Stock vote together as a single class. Each share of Class A Common Stock entitles the holder thereof to one vote; each share of Class B Common Stock entitles the holder thereof to one-tenth of a vote; each share of Class C Common Stock entitles the holder thereof to 100 votes (provided the holder of Class C Common Stock holds a number of shares of Class A Common Stock equal to ten times the number of shares of Class C Common Stock that holder holds); and each share of Class D Common Stock entitles the holder thereof to ten votes (provided the holder of Class D Common Stock holds a number of shares of Class B Common Stock equal to ten times the number of shares of Class D Common Stock that holder 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000052"/>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Includes shares issuable upon the conversion of Classes A, C and/or D Common Stock.</w:t>
      </w:r>
    </w:p>
    <w:p>
      <w:pPr>
        <w:spacing w:after="0" w:line="67" w:lineRule="exact"/>
        <w:rPr>
          <w:rFonts w:ascii="Arial" w:cs="Arial" w:eastAsia="Arial" w:hAnsi="Arial"/>
          <w:sz w:val="20"/>
          <w:szCs w:val="20"/>
          <w:color w:val="auto"/>
        </w:rPr>
      </w:pPr>
    </w:p>
    <w:p>
      <w:pPr>
        <w:ind w:left="1020" w:hanging="503"/>
        <w:spacing w:after="0"/>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Less than 1% of the class of stock or general voting power.</w:t>
      </w:r>
    </w:p>
    <w:p>
      <w:pPr>
        <w:spacing w:after="0" w:line="53" w:lineRule="exact"/>
        <w:rPr>
          <w:rFonts w:ascii="Arial" w:cs="Arial" w:eastAsia="Arial" w:hAnsi="Arial"/>
          <w:sz w:val="20"/>
          <w:szCs w:val="20"/>
          <w:color w:val="auto"/>
        </w:rPr>
      </w:pPr>
    </w:p>
    <w:p>
      <w:pPr>
        <w:ind w:left="1020" w:right="20" w:hanging="503"/>
        <w:spacing w:after="0" w:line="257" w:lineRule="auto"/>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Includes 400,000 shares of Class A Common Stock that are beneficially owned by Mr. Alan Miller and are held by Mr. Alan Miller in trust for the benefit of his spouse.</w:t>
      </w:r>
    </w:p>
    <w:p>
      <w:pPr>
        <w:spacing w:after="0" w:line="6" w:lineRule="exact"/>
        <w:rPr>
          <w:rFonts w:ascii="Arial" w:cs="Arial" w:eastAsia="Arial" w:hAnsi="Arial"/>
          <w:sz w:val="20"/>
          <w:szCs w:val="20"/>
          <w:color w:val="auto"/>
        </w:rPr>
      </w:pPr>
    </w:p>
    <w:p>
      <w:pPr>
        <w:jc w:val="both"/>
        <w:ind w:left="1020" w:hanging="503"/>
        <w:spacing w:after="0" w:line="233" w:lineRule="auto"/>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Includes 921,016 shares of Class A Common Stock which are held by three trusts (the “2002 Trusts”) for the benefit of certain of Alan B. Miller’s family members of which Marc D. Miller (who is the Chief Executive Officer and President, director and the son of Alan B. Miller) and Mr. Nimetz are trustees. Marc D. Miller has sole voting and dispositive power with respect to the shares held by the 2002 Trusts. Mr. Nimetz disclaims beneficial interest in all shares held by the 2002 Trusts. Marc D. Miller disclaims beneficial interest in the shares held by the 2002 Trusts other than those of which Marc Miller is the beneficiary.</w:t>
      </w:r>
    </w:p>
    <w:p>
      <w:pPr>
        <w:spacing w:after="0" w:line="37" w:lineRule="exact"/>
        <w:rPr>
          <w:rFonts w:ascii="Arial" w:cs="Arial" w:eastAsia="Arial" w:hAnsi="Arial"/>
          <w:sz w:val="20"/>
          <w:szCs w:val="20"/>
          <w:color w:val="auto"/>
        </w:rPr>
      </w:pPr>
    </w:p>
    <w:p>
      <w:pPr>
        <w:jc w:val="both"/>
        <w:ind w:left="1020" w:hanging="503"/>
        <w:spacing w:after="0" w:line="237" w:lineRule="auto"/>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Includes 161,000 shares of Class B Common Stock which are held by two Irrevocable Trusts. Mr. Filton is the Trustee and beneficiary of The Betsy H. Filton 2020 Irrevocable Trust (80,500 shares) and disclaims beneficial ownership of The Steve G. Filton 2020 Irrevocable Trust, of which Mr. Filton’s spouse is the Trustee and beneficiary (80,500 shares).</w:t>
      </w:r>
    </w:p>
    <w:p>
      <w:pPr>
        <w:spacing w:after="0" w:line="23" w:lineRule="exact"/>
        <w:rPr>
          <w:rFonts w:ascii="Arial" w:cs="Arial" w:eastAsia="Arial" w:hAnsi="Arial"/>
          <w:sz w:val="20"/>
          <w:szCs w:val="20"/>
          <w:color w:val="auto"/>
        </w:rPr>
      </w:pPr>
    </w:p>
    <w:p>
      <w:pPr>
        <w:jc w:val="both"/>
        <w:ind w:left="1020" w:hanging="503"/>
        <w:spacing w:after="0" w:line="237" w:lineRule="auto"/>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These securities are held by Blackrock, Inc. and its subsidiaries. Blackrock, Inc. has sole power to vote with respect to 3,872,101 shares of our Class B Common Stock and sole power with respect to 4,139,531 shares to dispose or to direct the disposition of 4,139,531 shares of our Class B Common Stock. Information is based on Amendment No. 17 to Schedule 13G dated April 17, 2025.</w:t>
      </w:r>
    </w:p>
    <w:p>
      <w:pPr>
        <w:spacing w:after="0" w:line="23" w:lineRule="exact"/>
        <w:rPr>
          <w:rFonts w:ascii="Arial" w:cs="Arial" w:eastAsia="Arial" w:hAnsi="Arial"/>
          <w:sz w:val="20"/>
          <w:szCs w:val="20"/>
          <w:color w:val="auto"/>
        </w:rPr>
      </w:pPr>
    </w:p>
    <w:p>
      <w:pPr>
        <w:jc w:val="both"/>
        <w:ind w:left="1020" w:hanging="503"/>
        <w:spacing w:after="0" w:line="237" w:lineRule="auto"/>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These securities are held by First Eagle Investment Management, LLC and its subsidiaries. First Eagle Investment Management, LLC has sole power to vote with respect to 4,193,717 shares of our Class B Common Stock and sole power with respect to 4,630,429 shares to dispose or to direct the disposition of 4,630,429 shares of our Class B Common Stock. Information is based on Amendment No. 2 to Schedule 13G dated February 8, 2024.</w:t>
      </w:r>
    </w:p>
    <w:p>
      <w:pPr>
        <w:spacing w:after="0" w:line="36" w:lineRule="exact"/>
        <w:rPr>
          <w:rFonts w:ascii="Arial" w:cs="Arial" w:eastAsia="Arial" w:hAnsi="Arial"/>
          <w:sz w:val="20"/>
          <w:szCs w:val="20"/>
          <w:color w:val="auto"/>
        </w:rPr>
      </w:pPr>
    </w:p>
    <w:p>
      <w:pPr>
        <w:jc w:val="both"/>
        <w:ind w:left="1020" w:right="20" w:hanging="503"/>
        <w:spacing w:after="0" w:line="237" w:lineRule="auto"/>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Includes 405,197 shares issuable pursuant to stock options to purchase Class B Common Stock held by our directors and executive officers and exercisable within 60 days of March 23, 2026 as follows: Alan B. Miller (101,713); Marc D. Miller (193,418); Steve G. Filton (49,230); Matthew J. Peterson (23,336); and Edward H. Sim (37,500).</w:t>
      </w:r>
    </w:p>
    <w:p>
      <w:pPr>
        <w:spacing w:after="0" w:line="23" w:lineRule="exact"/>
        <w:rPr>
          <w:rFonts w:ascii="Arial" w:cs="Arial" w:eastAsia="Arial" w:hAnsi="Arial"/>
          <w:sz w:val="20"/>
          <w:szCs w:val="20"/>
          <w:color w:val="auto"/>
        </w:rPr>
      </w:pPr>
    </w:p>
    <w:p>
      <w:pPr>
        <w:ind w:left="1020" w:hanging="503"/>
        <w:spacing w:after="0" w:line="274" w:lineRule="auto"/>
        <w:tabs>
          <w:tab w:leader="none" w:pos="10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Includes 32,799 shares held by three 2024 Grantor Retained Annuity Trusts for the respective benefit of the children of Alan B. Miller. Alan B. Miller has sole dispositive power and sole voting power with respect to these shares.</w:t>
      </w:r>
    </w:p>
    <w:p>
      <w:pPr>
        <w:ind w:left="1020" w:hanging="503"/>
        <w:spacing w:after="0"/>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Includes 171,426 shares held by the three 2011 Family Trusts for the benefit of Alan B. Miller’s three children. Marc</w:t>
      </w:r>
    </w:p>
    <w:p>
      <w:pPr>
        <w:spacing w:after="0" w:line="4" w:lineRule="exact"/>
        <w:rPr>
          <w:rFonts w:ascii="Arial" w:cs="Arial" w:eastAsia="Arial" w:hAnsi="Arial"/>
          <w:sz w:val="20"/>
          <w:szCs w:val="20"/>
          <w:color w:val="auto"/>
        </w:rPr>
      </w:pPr>
    </w:p>
    <w:p>
      <w:pPr>
        <w:jc w:val="both"/>
        <w:ind w:left="1020" w:right="20" w:firstLine="6"/>
        <w:spacing w:after="0" w:line="234" w:lineRule="auto"/>
        <w:tabs>
          <w:tab w:leader="none" w:pos="1316" w:val="left"/>
        </w:tabs>
        <w:numPr>
          <w:ilvl w:val="1"/>
          <w:numId w:val="24"/>
        </w:numPr>
        <w:rPr>
          <w:rFonts w:ascii="Arial" w:cs="Arial" w:eastAsia="Arial" w:hAnsi="Arial"/>
          <w:sz w:val="20"/>
          <w:szCs w:val="20"/>
          <w:color w:val="auto"/>
        </w:rPr>
      </w:pPr>
      <w:r>
        <w:rPr>
          <w:rFonts w:ascii="Arial" w:cs="Arial" w:eastAsia="Arial" w:hAnsi="Arial"/>
          <w:sz w:val="20"/>
          <w:szCs w:val="20"/>
          <w:color w:val="auto"/>
        </w:rPr>
        <w:t>Miller is a Trustee and has sole voting and dispositive power with respect to these shares. Marc D. Miller disclaims beneficial ownership of the shares held by the Trust for the benefit of Abby Miller King (55,763) and the Trust for the benefit of Marni Spencer (55,763).</w:t>
      </w:r>
    </w:p>
    <w:p>
      <w:pPr>
        <w:spacing w:after="0" w:line="38" w:lineRule="exact"/>
        <w:rPr>
          <w:rFonts w:ascii="Arial" w:cs="Arial" w:eastAsia="Arial" w:hAnsi="Arial"/>
          <w:sz w:val="20"/>
          <w:szCs w:val="20"/>
          <w:color w:val="auto"/>
        </w:rPr>
      </w:pPr>
    </w:p>
    <w:p>
      <w:pPr>
        <w:ind w:left="1020" w:hanging="503"/>
        <w:spacing w:after="0"/>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Includes 237,800 shares held by the 2012 Family Trust for the benefit of Abby Miller King and Marni Spencer. Marc</w:t>
      </w:r>
    </w:p>
    <w:p>
      <w:pPr>
        <w:spacing w:after="0" w:line="4" w:lineRule="exact"/>
        <w:rPr>
          <w:rFonts w:ascii="Arial" w:cs="Arial" w:eastAsia="Arial" w:hAnsi="Arial"/>
          <w:sz w:val="20"/>
          <w:szCs w:val="20"/>
          <w:color w:val="auto"/>
        </w:rPr>
      </w:pPr>
    </w:p>
    <w:p>
      <w:pPr>
        <w:ind w:left="1020" w:right="20" w:firstLine="6"/>
        <w:spacing w:after="0" w:line="239" w:lineRule="auto"/>
        <w:tabs>
          <w:tab w:leader="none" w:pos="1316" w:val="left"/>
        </w:tabs>
        <w:numPr>
          <w:ilvl w:val="1"/>
          <w:numId w:val="24"/>
        </w:numPr>
        <w:rPr>
          <w:rFonts w:ascii="Arial" w:cs="Arial" w:eastAsia="Arial" w:hAnsi="Arial"/>
          <w:sz w:val="20"/>
          <w:szCs w:val="20"/>
          <w:color w:val="auto"/>
        </w:rPr>
      </w:pPr>
      <w:r>
        <w:rPr>
          <w:rFonts w:ascii="Arial" w:cs="Arial" w:eastAsia="Arial" w:hAnsi="Arial"/>
          <w:sz w:val="20"/>
          <w:szCs w:val="20"/>
          <w:color w:val="auto"/>
        </w:rPr>
        <w:t>Miller is a Trustee and has sole voting and dispositive power with respect to these shares. Marc D. Miller disclaims beneficial ownership of these shares.</w:t>
      </w:r>
    </w:p>
    <w:p>
      <w:pPr>
        <w:spacing w:after="0" w:line="23" w:lineRule="exact"/>
        <w:rPr>
          <w:rFonts w:ascii="Arial" w:cs="Arial" w:eastAsia="Arial" w:hAnsi="Arial"/>
          <w:sz w:val="20"/>
          <w:szCs w:val="20"/>
          <w:color w:val="auto"/>
        </w:rPr>
      </w:pPr>
    </w:p>
    <w:p>
      <w:pPr>
        <w:jc w:val="both"/>
        <w:ind w:left="1020" w:hanging="503"/>
        <w:spacing w:after="0" w:line="247" w:lineRule="auto"/>
        <w:tabs>
          <w:tab w:leader="none" w:pos="10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Includes 118,900 shares held by the 2012 Family Trust for the benefit of Marc D. Miller. Warren Nimetz is the sole Trustee of the 2012 Trust for the benefit of Marc D. Miller and Mr. Nimetz has sole voting power with respect to Marc</w:t>
      </w:r>
    </w:p>
    <w:p>
      <w:pPr>
        <w:ind w:left="1280" w:hanging="254"/>
        <w:spacing w:after="0"/>
        <w:tabs>
          <w:tab w:leader="none" w:pos="12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Miller’s shares. Mr. Nimetz disclaims beneficial ownership of these shares.</w:t>
      </w:r>
    </w:p>
    <w:p>
      <w:pPr>
        <w:spacing w:after="0" w:line="35" w:lineRule="exact"/>
        <w:rPr>
          <w:rFonts w:ascii="Arial" w:cs="Arial" w:eastAsia="Arial" w:hAnsi="Arial"/>
          <w:sz w:val="20"/>
          <w:szCs w:val="20"/>
          <w:color w:val="auto"/>
        </w:rPr>
      </w:pPr>
    </w:p>
    <w:p>
      <w:pPr>
        <w:jc w:val="both"/>
        <w:ind w:left="1020" w:hanging="503"/>
        <w:spacing w:after="0" w:line="241" w:lineRule="auto"/>
        <w:tabs>
          <w:tab w:leader="none" w:pos="10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Includes 156,008 shares held by the three 2002 Trusts for the benefit of Alan B. Miller’s three children. Warren Nimetz is a Trustee and disclaims beneficial ownership of these shares. Marc D. Miller is a Trustee and has sole voting and dispositive power with respect to these shares and 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ind w:left="5563"/>
        <w:spacing w:after="0"/>
        <w:rPr>
          <w:sz w:val="20"/>
          <w:szCs w:val="20"/>
          <w:color w:val="auto"/>
        </w:rPr>
      </w:pPr>
      <w:r>
        <w:rPr>
          <w:rFonts w:ascii="Arial" w:cs="Arial" w:eastAsia="Arial" w:hAnsi="Arial"/>
          <w:sz w:val="16"/>
          <w:szCs w:val="16"/>
          <w:b w:val="1"/>
          <w:bCs w:val="1"/>
          <w:color w:val="000052"/>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89535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503"/>
        <w:spacing w:after="0" w:line="257" w:lineRule="auto"/>
        <w:rPr>
          <w:sz w:val="20"/>
          <w:szCs w:val="20"/>
          <w:color w:val="auto"/>
        </w:rPr>
      </w:pPr>
      <w:r>
        <w:rPr>
          <w:rFonts w:ascii="Arial" w:cs="Arial" w:eastAsia="Arial" w:hAnsi="Arial"/>
          <w:sz w:val="20"/>
          <w:szCs w:val="20"/>
          <w:color w:val="auto"/>
        </w:rPr>
        <w:t>disclaims beneficial ownership interest of the shares held by the 2002 Trust for the benefit of Abby Miller King (49,294) and the shares held by the 2002 Trust for the benefit of Marni Spencer (69,726).</w:t>
      </w:r>
    </w:p>
    <w:p>
      <w:pPr>
        <w:spacing w:after="0" w:line="20" w:lineRule="exact"/>
        <w:rPr>
          <w:sz w:val="20"/>
          <w:szCs w:val="20"/>
          <w:color w:val="auto"/>
        </w:rPr>
      </w:pPr>
    </w:p>
    <w:p>
      <w:pPr>
        <w:jc w:val="both"/>
        <w:ind w:left="503" w:hanging="503"/>
        <w:spacing w:after="0" w:line="241" w:lineRule="auto"/>
        <w:tabs>
          <w:tab w:leader="none" w:pos="503"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Includes 258,630 shares held by The Alan B. Miller 2002 Trust. Warren Nimetz is the Trustee of the Trust and has sole voting and dispositive power with respect to these shares. Mr. Nimetz disclaims any beneficial interest in the shares.</w:t>
      </w:r>
    </w:p>
    <w:p>
      <w:pPr>
        <w:spacing w:after="0" w:line="22" w:lineRule="exact"/>
        <w:rPr>
          <w:rFonts w:ascii="Arial" w:cs="Arial" w:eastAsia="Arial" w:hAnsi="Arial"/>
          <w:sz w:val="20"/>
          <w:szCs w:val="20"/>
          <w:color w:val="auto"/>
        </w:rPr>
      </w:pPr>
    </w:p>
    <w:p>
      <w:pPr>
        <w:ind w:left="503" w:hanging="503"/>
        <w:spacing w:after="0"/>
        <w:tabs>
          <w:tab w:leader="none" w:pos="503"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Excludes 8,623 shares in The Alan and Jill Miller Foundation.</w:t>
      </w:r>
    </w:p>
    <w:p>
      <w:pPr>
        <w:spacing w:after="0" w:line="53" w:lineRule="exact"/>
        <w:rPr>
          <w:rFonts w:ascii="Arial" w:cs="Arial" w:eastAsia="Arial" w:hAnsi="Arial"/>
          <w:sz w:val="20"/>
          <w:szCs w:val="20"/>
          <w:color w:val="auto"/>
        </w:rPr>
      </w:pPr>
    </w:p>
    <w:p>
      <w:pPr>
        <w:jc w:val="both"/>
        <w:ind w:left="503" w:hanging="503"/>
        <w:spacing w:after="0" w:line="234" w:lineRule="auto"/>
        <w:tabs>
          <w:tab w:leader="none" w:pos="503"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Includes 184,500 shares of Class A Common Stock which are held by three sub-trusts (the “2017 Sub-Trusts”) for the benefit of certain of Alan B. Miller’s family members of which Marc D. Miller is a trustee. Marc D. Miller has sole voting and dispositive power with respect to these shares. Marc D. Miller disclaims beneficial ownership interest of shares held by the 2017 Sub-Trust for the benefit of descendants of Abby Miller King (61,500) and shares held by the 2017 Sub-Trust for the benefit of descendants of Marni Spencer (61,500).</w:t>
      </w:r>
    </w:p>
    <w:p>
      <w:pPr>
        <w:spacing w:after="0" w:line="39" w:lineRule="exact"/>
        <w:rPr>
          <w:rFonts w:ascii="Arial" w:cs="Arial" w:eastAsia="Arial" w:hAnsi="Arial"/>
          <w:sz w:val="20"/>
          <w:szCs w:val="20"/>
          <w:color w:val="auto"/>
        </w:rPr>
      </w:pPr>
    </w:p>
    <w:p>
      <w:pPr>
        <w:jc w:val="both"/>
        <w:ind w:left="503" w:hanging="503"/>
        <w:spacing w:after="0" w:line="241" w:lineRule="auto"/>
        <w:tabs>
          <w:tab w:leader="none" w:pos="503"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Includes 72,885 shares held by the three 2025 Grantor Retained Annuity Trusts for the respective benefit of the children of Alan B. Miller. Alan B. Miller has sole dispositive power and sole voting power with respect to these shares.</w:t>
      </w:r>
    </w:p>
    <w:p>
      <w:pPr>
        <w:spacing w:after="0" w:line="22" w:lineRule="exact"/>
        <w:rPr>
          <w:rFonts w:ascii="Arial" w:cs="Arial" w:eastAsia="Arial" w:hAnsi="Arial"/>
          <w:sz w:val="20"/>
          <w:szCs w:val="20"/>
          <w:color w:val="auto"/>
        </w:rPr>
      </w:pPr>
    </w:p>
    <w:p>
      <w:pPr>
        <w:jc w:val="both"/>
        <w:ind w:left="503" w:hanging="503"/>
        <w:spacing w:after="0" w:line="260" w:lineRule="auto"/>
        <w:tabs>
          <w:tab w:leader="none" w:pos="503"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Includes 5,325 restricted stock units which will convert to Class B Common Stock upon vesting. These units are held by our directors and scheduled to vest within 60 days of March 23, 2026 as follows: Elliot J. Sussman, M.D. (1,065); Eileen C. McDonnell (1,065); Warren Nimetz (1,065); Nina Chen-Langenmayr (1,065); and Maria R. Singer (1,065).</w:t>
      </w:r>
    </w:p>
    <w:p>
      <w:pPr>
        <w:spacing w:after="0" w:line="5" w:lineRule="exact"/>
        <w:rPr>
          <w:rFonts w:ascii="Arial" w:cs="Arial" w:eastAsia="Arial" w:hAnsi="Arial"/>
          <w:sz w:val="19"/>
          <w:szCs w:val="19"/>
          <w:color w:val="auto"/>
        </w:rPr>
      </w:pPr>
    </w:p>
    <w:p>
      <w:pPr>
        <w:ind w:left="503" w:hanging="503"/>
        <w:spacing w:after="0"/>
        <w:tabs>
          <w:tab w:leader="none" w:pos="503"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Notes (4)—(8) and (11)—(21) apply to the respective directors and executive officers as further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5080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4" w:lineRule="exact"/>
        <w:rPr>
          <w:sz w:val="20"/>
          <w:szCs w:val="20"/>
          <w:color w:val="auto"/>
        </w:rPr>
      </w:pPr>
    </w:p>
    <w:p>
      <w:pPr>
        <w:jc w:val="center"/>
        <w:ind w:right="517"/>
        <w:spacing w:after="0"/>
        <w:rPr>
          <w:sz w:val="20"/>
          <w:szCs w:val="20"/>
          <w:color w:val="auto"/>
        </w:rPr>
      </w:pPr>
      <w:r>
        <w:rPr>
          <w:rFonts w:ascii="Arial" w:cs="Arial" w:eastAsia="Arial" w:hAnsi="Arial"/>
          <w:sz w:val="18"/>
          <w:szCs w:val="18"/>
          <w:color w:val="auto"/>
        </w:rPr>
        <w:t>13</w:t>
      </w:r>
    </w:p>
    <w:p>
      <w:pPr>
        <w:spacing w:after="0" w:line="108" w:lineRule="exact"/>
        <w:rPr>
          <w:sz w:val="20"/>
          <w:szCs w:val="20"/>
          <w:color w:val="auto"/>
        </w:rPr>
      </w:pPr>
    </w:p>
    <w:p>
      <w:pPr>
        <w:ind w:left="3063"/>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616585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73" w:right="339" w:bottom="1440" w:gutter="0" w:footer="0" w:header="0"/>
        </w:sectPr>
      </w:pPr>
    </w:p>
    <w:bookmarkStart w:id="16" w:name="page17"/>
    <w:bookmarkEnd w:id="16"/>
    <w:p>
      <w:pPr>
        <w:spacing w:after="0"/>
        <w:rPr>
          <w:sz w:val="20"/>
          <w:szCs w:val="20"/>
          <w:color w:val="auto"/>
        </w:rPr>
      </w:pPr>
      <w:r>
        <w:rPr>
          <w:rFonts w:ascii="Arial" w:cs="Arial" w:eastAsia="Arial" w:hAnsi="Arial"/>
          <w:sz w:val="40"/>
          <w:szCs w:val="40"/>
          <w:b w:val="1"/>
          <w:bCs w:val="1"/>
          <w:color w:val="052666"/>
        </w:rPr>
        <w:t>EQUITY COMPENSATION PLAN INFORMATION</w:t>
      </w:r>
    </w:p>
    <w:p>
      <w:pPr>
        <w:spacing w:after="0" w:line="200" w:lineRule="exact"/>
        <w:rPr>
          <w:sz w:val="20"/>
          <w:szCs w:val="20"/>
          <w:color w:val="auto"/>
        </w:rPr>
      </w:pP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table below provides information, as of December 31, 2025, concerning securities authorized for issuance under our equity compensation plans.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203864"/>
              </w:rPr>
              <w:t>(a)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jc w:val="center"/>
              <w:ind w:right="56"/>
              <w:spacing w:after="0"/>
              <w:rPr>
                <w:sz w:val="20"/>
                <w:szCs w:val="20"/>
                <w:color w:val="auto"/>
              </w:rPr>
            </w:pPr>
            <w:r>
              <w:rPr>
                <w:rFonts w:ascii="Arial" w:cs="Arial" w:eastAsia="Arial" w:hAnsi="Arial"/>
                <w:sz w:val="13"/>
                <w:szCs w:val="13"/>
                <w:b w:val="1"/>
                <w:bCs w:val="1"/>
                <w:color w:val="203864"/>
              </w:rPr>
              <w:t>(c)</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center"/>
              <w:ind w:right="169"/>
              <w:spacing w:after="0"/>
              <w:rPr>
                <w:sz w:val="20"/>
                <w:szCs w:val="20"/>
                <w:color w:val="auto"/>
              </w:rPr>
            </w:pPr>
            <w:r>
              <w:rPr>
                <w:rFonts w:ascii="Arial" w:cs="Arial" w:eastAsia="Arial" w:hAnsi="Arial"/>
                <w:sz w:val="13"/>
                <w:szCs w:val="13"/>
                <w:b w:val="1"/>
                <w:bCs w:val="1"/>
                <w:color w:val="203864"/>
              </w:rPr>
              <w:t>(b)</w:t>
            </w:r>
          </w:p>
        </w:tc>
        <w:tc>
          <w:tcPr>
            <w:tcW w:w="120" w:type="dxa"/>
            <w:vAlign w:val="bottom"/>
          </w:tcPr>
          <w:p>
            <w:pPr>
              <w:spacing w:after="0"/>
              <w:rPr>
                <w:sz w:val="12"/>
                <w:szCs w:val="12"/>
                <w:color w:val="auto"/>
              </w:rPr>
            </w:pPr>
          </w:p>
        </w:tc>
        <w:tc>
          <w:tcPr>
            <w:tcW w:w="2440" w:type="dxa"/>
            <w:vAlign w:val="bottom"/>
          </w:tcPr>
          <w:p>
            <w:pPr>
              <w:jc w:val="center"/>
              <w:ind w:right="56"/>
              <w:spacing w:after="0"/>
              <w:rPr>
                <w:sz w:val="20"/>
                <w:szCs w:val="20"/>
                <w:color w:val="auto"/>
              </w:rPr>
            </w:pPr>
            <w:r>
              <w:rPr>
                <w:rFonts w:ascii="Arial" w:cs="Arial" w:eastAsia="Arial" w:hAnsi="Arial"/>
                <w:sz w:val="13"/>
                <w:szCs w:val="13"/>
                <w:b w:val="1"/>
                <w:bCs w:val="1"/>
                <w:color w:val="203864"/>
              </w:rPr>
              <w:t>Number of Securities</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70"/>
              <w:spacing w:after="0"/>
              <w:rPr>
                <w:sz w:val="20"/>
                <w:szCs w:val="20"/>
                <w:color w:val="auto"/>
              </w:rPr>
            </w:pPr>
            <w:r>
              <w:rPr>
                <w:rFonts w:ascii="Arial" w:cs="Arial" w:eastAsia="Arial" w:hAnsi="Arial"/>
                <w:sz w:val="13"/>
                <w:szCs w:val="13"/>
                <w:b w:val="1"/>
                <w:bCs w:val="1"/>
                <w:color w:val="203864"/>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ind w:right="56"/>
              <w:spacing w:after="0"/>
              <w:rPr>
                <w:sz w:val="20"/>
                <w:szCs w:val="20"/>
                <w:color w:val="auto"/>
              </w:rPr>
            </w:pPr>
            <w:r>
              <w:rPr>
                <w:rFonts w:ascii="Arial" w:cs="Arial" w:eastAsia="Arial" w:hAnsi="Arial"/>
                <w:sz w:val="13"/>
                <w:szCs w:val="13"/>
                <w:b w:val="1"/>
                <w:bCs w:val="1"/>
                <w:color w:val="203864"/>
              </w:rPr>
              <w:t>Remaining Available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70"/>
              <w:spacing w:after="0"/>
              <w:rPr>
                <w:sz w:val="20"/>
                <w:szCs w:val="20"/>
                <w:color w:val="auto"/>
              </w:rPr>
            </w:pPr>
            <w:r>
              <w:rPr>
                <w:rFonts w:ascii="Arial" w:cs="Arial" w:eastAsia="Arial" w:hAnsi="Arial"/>
                <w:sz w:val="13"/>
                <w:szCs w:val="13"/>
                <w:b w:val="1"/>
                <w:bCs w:val="1"/>
                <w:color w:val="203864"/>
              </w:rPr>
              <w:t>Securities to be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169"/>
              <w:spacing w:after="0"/>
              <w:rPr>
                <w:sz w:val="20"/>
                <w:szCs w:val="20"/>
                <w:color w:val="auto"/>
              </w:rPr>
            </w:pPr>
            <w:r>
              <w:rPr>
                <w:rFonts w:ascii="Arial" w:cs="Arial" w:eastAsia="Arial" w:hAnsi="Arial"/>
                <w:sz w:val="13"/>
                <w:szCs w:val="13"/>
                <w:b w:val="1"/>
                <w:bCs w:val="1"/>
                <w:color w:val="203864"/>
              </w:rPr>
              <w:t>Weighted</w:t>
            </w:r>
          </w:p>
        </w:tc>
        <w:tc>
          <w:tcPr>
            <w:tcW w:w="120" w:type="dxa"/>
            <w:vAlign w:val="bottom"/>
          </w:tcPr>
          <w:p>
            <w:pPr>
              <w:spacing w:after="0"/>
              <w:rPr>
                <w:sz w:val="12"/>
                <w:szCs w:val="12"/>
                <w:color w:val="auto"/>
              </w:rPr>
            </w:pPr>
          </w:p>
        </w:tc>
        <w:tc>
          <w:tcPr>
            <w:tcW w:w="2440" w:type="dxa"/>
            <w:vAlign w:val="bottom"/>
          </w:tcPr>
          <w:p>
            <w:pPr>
              <w:jc w:val="center"/>
              <w:ind w:right="56"/>
              <w:spacing w:after="0"/>
              <w:rPr>
                <w:sz w:val="20"/>
                <w:szCs w:val="20"/>
                <w:color w:val="auto"/>
              </w:rPr>
            </w:pPr>
            <w:r>
              <w:rPr>
                <w:rFonts w:ascii="Arial" w:cs="Arial" w:eastAsia="Arial" w:hAnsi="Arial"/>
                <w:sz w:val="13"/>
                <w:szCs w:val="13"/>
                <w:b w:val="1"/>
                <w:bCs w:val="1"/>
                <w:color w:val="203864"/>
              </w:rPr>
              <w:t>for Future Issuance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50"/>
              <w:spacing w:after="0"/>
              <w:rPr>
                <w:sz w:val="20"/>
                <w:szCs w:val="20"/>
                <w:color w:val="auto"/>
              </w:rPr>
            </w:pPr>
            <w:r>
              <w:rPr>
                <w:rFonts w:ascii="Arial" w:cs="Arial" w:eastAsia="Arial" w:hAnsi="Arial"/>
                <w:sz w:val="13"/>
                <w:szCs w:val="13"/>
                <w:b w:val="1"/>
                <w:bCs w:val="1"/>
                <w:color w:val="203864"/>
              </w:rPr>
              <w:t>Issued Upon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169"/>
              <w:spacing w:after="0"/>
              <w:rPr>
                <w:sz w:val="20"/>
                <w:szCs w:val="20"/>
                <w:color w:val="auto"/>
              </w:rPr>
            </w:pPr>
            <w:r>
              <w:rPr>
                <w:rFonts w:ascii="Arial" w:cs="Arial" w:eastAsia="Arial" w:hAnsi="Arial"/>
                <w:sz w:val="13"/>
                <w:szCs w:val="13"/>
                <w:b w:val="1"/>
                <w:bCs w:val="1"/>
                <w:color w:val="203864"/>
              </w:rPr>
              <w:t>Average</w:t>
            </w:r>
          </w:p>
        </w:tc>
        <w:tc>
          <w:tcPr>
            <w:tcW w:w="120" w:type="dxa"/>
            <w:vAlign w:val="bottom"/>
          </w:tcPr>
          <w:p>
            <w:pPr>
              <w:spacing w:after="0"/>
              <w:rPr>
                <w:sz w:val="12"/>
                <w:szCs w:val="12"/>
                <w:color w:val="auto"/>
              </w:rPr>
            </w:pPr>
          </w:p>
        </w:tc>
        <w:tc>
          <w:tcPr>
            <w:tcW w:w="2440" w:type="dxa"/>
            <w:vAlign w:val="bottom"/>
          </w:tcPr>
          <w:p>
            <w:pPr>
              <w:jc w:val="center"/>
              <w:ind w:right="56"/>
              <w:spacing w:after="0"/>
              <w:rPr>
                <w:sz w:val="20"/>
                <w:szCs w:val="20"/>
                <w:color w:val="auto"/>
              </w:rPr>
            </w:pPr>
            <w:r>
              <w:rPr>
                <w:rFonts w:ascii="Arial" w:cs="Arial" w:eastAsia="Arial" w:hAnsi="Arial"/>
                <w:sz w:val="13"/>
                <w:szCs w:val="13"/>
                <w:b w:val="1"/>
                <w:bCs w:val="1"/>
                <w:color w:val="203864"/>
              </w:rPr>
              <w:t>under Equity</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70"/>
              <w:spacing w:after="0"/>
              <w:rPr>
                <w:sz w:val="20"/>
                <w:szCs w:val="20"/>
                <w:color w:val="auto"/>
              </w:rPr>
            </w:pPr>
            <w:r>
              <w:rPr>
                <w:rFonts w:ascii="Arial" w:cs="Arial" w:eastAsia="Arial" w:hAnsi="Arial"/>
                <w:sz w:val="13"/>
                <w:szCs w:val="13"/>
                <w:b w:val="1"/>
                <w:bCs w:val="1"/>
                <w:color w:val="203864"/>
              </w:rPr>
              <w:t>Exercise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149"/>
              <w:spacing w:after="0"/>
              <w:rPr>
                <w:sz w:val="20"/>
                <w:szCs w:val="20"/>
                <w:color w:val="auto"/>
              </w:rPr>
            </w:pPr>
            <w:r>
              <w:rPr>
                <w:rFonts w:ascii="Arial" w:cs="Arial" w:eastAsia="Arial" w:hAnsi="Arial"/>
                <w:sz w:val="13"/>
                <w:szCs w:val="13"/>
                <w:b w:val="1"/>
                <w:bCs w:val="1"/>
                <w:color w:val="203864"/>
              </w:rPr>
              <w:t>Exercise Price</w:t>
            </w:r>
          </w:p>
        </w:tc>
        <w:tc>
          <w:tcPr>
            <w:tcW w:w="120" w:type="dxa"/>
            <w:vAlign w:val="bottom"/>
          </w:tcPr>
          <w:p>
            <w:pPr>
              <w:spacing w:after="0"/>
              <w:rPr>
                <w:sz w:val="12"/>
                <w:szCs w:val="12"/>
                <w:color w:val="auto"/>
              </w:rPr>
            </w:pPr>
          </w:p>
        </w:tc>
        <w:tc>
          <w:tcPr>
            <w:tcW w:w="2440" w:type="dxa"/>
            <w:vAlign w:val="bottom"/>
          </w:tcPr>
          <w:p>
            <w:pPr>
              <w:jc w:val="center"/>
              <w:ind w:right="56"/>
              <w:spacing w:after="0"/>
              <w:rPr>
                <w:sz w:val="20"/>
                <w:szCs w:val="20"/>
                <w:color w:val="auto"/>
              </w:rPr>
            </w:pPr>
            <w:r>
              <w:rPr>
                <w:rFonts w:ascii="Arial" w:cs="Arial" w:eastAsia="Arial" w:hAnsi="Arial"/>
                <w:sz w:val="13"/>
                <w:szCs w:val="13"/>
                <w:b w:val="1"/>
                <w:bCs w:val="1"/>
                <w:color w:val="203864"/>
              </w:rPr>
              <w:t>Compensation Plans</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70"/>
              <w:spacing w:after="0"/>
              <w:rPr>
                <w:sz w:val="20"/>
                <w:szCs w:val="20"/>
                <w:color w:val="auto"/>
              </w:rPr>
            </w:pPr>
            <w:r>
              <w:rPr>
                <w:rFonts w:ascii="Arial" w:cs="Arial" w:eastAsia="Arial" w:hAnsi="Arial"/>
                <w:sz w:val="13"/>
                <w:szCs w:val="13"/>
                <w:b w:val="1"/>
                <w:bCs w:val="1"/>
                <w:color w:val="203864"/>
              </w:rPr>
              <w:t>Outstanding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149"/>
              <w:spacing w:after="0"/>
              <w:rPr>
                <w:sz w:val="20"/>
                <w:szCs w:val="20"/>
                <w:color w:val="auto"/>
              </w:rPr>
            </w:pPr>
            <w:r>
              <w:rPr>
                <w:rFonts w:ascii="Arial" w:cs="Arial" w:eastAsia="Arial" w:hAnsi="Arial"/>
                <w:sz w:val="13"/>
                <w:szCs w:val="13"/>
                <w:b w:val="1"/>
                <w:bCs w:val="1"/>
                <w:color w:val="203864"/>
              </w:rPr>
              <w:t>of Outstanding</w:t>
            </w:r>
          </w:p>
        </w:tc>
        <w:tc>
          <w:tcPr>
            <w:tcW w:w="120" w:type="dxa"/>
            <w:vAlign w:val="bottom"/>
          </w:tcPr>
          <w:p>
            <w:pPr>
              <w:spacing w:after="0"/>
              <w:rPr>
                <w:sz w:val="12"/>
                <w:szCs w:val="12"/>
                <w:color w:val="auto"/>
              </w:rPr>
            </w:pPr>
          </w:p>
        </w:tc>
        <w:tc>
          <w:tcPr>
            <w:tcW w:w="2440" w:type="dxa"/>
            <w:vAlign w:val="bottom"/>
          </w:tcPr>
          <w:p>
            <w:pPr>
              <w:jc w:val="center"/>
              <w:ind w:right="76"/>
              <w:spacing w:after="0"/>
              <w:rPr>
                <w:sz w:val="20"/>
                <w:szCs w:val="20"/>
                <w:color w:val="auto"/>
              </w:rPr>
            </w:pPr>
            <w:r>
              <w:rPr>
                <w:rFonts w:ascii="Arial" w:cs="Arial" w:eastAsia="Arial" w:hAnsi="Arial"/>
                <w:sz w:val="13"/>
                <w:szCs w:val="13"/>
                <w:b w:val="1"/>
                <w:bCs w:val="1"/>
                <w:color w:val="203864"/>
              </w:rPr>
              <w:t>(excluding securities</w:t>
            </w:r>
          </w:p>
        </w:tc>
        <w:tc>
          <w:tcPr>
            <w:tcW w:w="0" w:type="dxa"/>
            <w:vAlign w:val="bottom"/>
          </w:tcPr>
          <w:p>
            <w:pPr>
              <w:spacing w:after="0"/>
              <w:rPr>
                <w:sz w:val="1"/>
                <w:szCs w:val="1"/>
                <w:color w:val="auto"/>
              </w:rPr>
            </w:pPr>
          </w:p>
        </w:tc>
      </w:tr>
      <w:tr>
        <w:trPr>
          <w:trHeight w:val="136"/>
        </w:trPr>
        <w:tc>
          <w:tcPr>
            <w:tcW w:w="5580" w:type="dxa"/>
            <w:vAlign w:val="bottom"/>
            <w:vMerge w:val="restart"/>
          </w:tcPr>
          <w:p>
            <w:pPr>
              <w:ind w:left="60"/>
              <w:spacing w:after="0"/>
              <w:rPr>
                <w:sz w:val="20"/>
                <w:szCs w:val="20"/>
                <w:color w:val="auto"/>
              </w:rPr>
            </w:pPr>
            <w:r>
              <w:rPr>
                <w:rFonts w:ascii="Arial" w:cs="Arial" w:eastAsia="Arial" w:hAnsi="Arial"/>
                <w:sz w:val="13"/>
                <w:szCs w:val="13"/>
                <w:b w:val="1"/>
                <w:bCs w:val="1"/>
                <w:color w:val="203864"/>
              </w:rPr>
              <w:t>Plan Category</w:t>
            </w:r>
            <w:r>
              <w:rPr>
                <w:rFonts w:ascii="Arial" w:cs="Arial" w:eastAsia="Arial" w:hAnsi="Arial"/>
                <w:sz w:val="18"/>
                <w:szCs w:val="18"/>
                <w:b w:val="1"/>
                <w:bCs w:val="1"/>
                <w:color w:val="203864"/>
                <w:vertAlign w:val="superscript"/>
              </w:rPr>
              <w:t>(1.)</w:t>
            </w:r>
          </w:p>
        </w:tc>
        <w:tc>
          <w:tcPr>
            <w:tcW w:w="120" w:type="dxa"/>
            <w:vAlign w:val="bottom"/>
          </w:tcPr>
          <w:p>
            <w:pPr>
              <w:spacing w:after="0"/>
              <w:rPr>
                <w:sz w:val="11"/>
                <w:szCs w:val="11"/>
                <w:color w:val="auto"/>
              </w:rPr>
            </w:pPr>
          </w:p>
        </w:tc>
        <w:tc>
          <w:tcPr>
            <w:tcW w:w="1460" w:type="dxa"/>
            <w:vAlign w:val="bottom"/>
          </w:tcPr>
          <w:p>
            <w:pPr>
              <w:jc w:val="center"/>
              <w:ind w:right="50"/>
              <w:spacing w:after="0" w:line="136" w:lineRule="exact"/>
              <w:rPr>
                <w:sz w:val="20"/>
                <w:szCs w:val="20"/>
                <w:color w:val="auto"/>
              </w:rPr>
            </w:pPr>
            <w:r>
              <w:rPr>
                <w:rFonts w:ascii="Arial" w:cs="Arial" w:eastAsia="Arial" w:hAnsi="Arial"/>
                <w:sz w:val="13"/>
                <w:szCs w:val="13"/>
                <w:b w:val="1"/>
                <w:bCs w:val="1"/>
                <w:color w:val="203864"/>
              </w:rPr>
              <w:t>Options, Warrants</w:t>
            </w:r>
          </w:p>
        </w:tc>
        <w:tc>
          <w:tcPr>
            <w:tcW w:w="140" w:type="dxa"/>
            <w:vAlign w:val="bottom"/>
          </w:tcPr>
          <w:p>
            <w:pPr>
              <w:spacing w:after="0"/>
              <w:rPr>
                <w:sz w:val="11"/>
                <w:szCs w:val="11"/>
                <w:color w:val="auto"/>
              </w:rPr>
            </w:pPr>
          </w:p>
        </w:tc>
        <w:tc>
          <w:tcPr>
            <w:tcW w:w="1380" w:type="dxa"/>
            <w:vAlign w:val="bottom"/>
            <w:gridSpan w:val="2"/>
          </w:tcPr>
          <w:p>
            <w:pPr>
              <w:jc w:val="center"/>
              <w:ind w:right="49"/>
              <w:spacing w:after="0" w:line="136" w:lineRule="exact"/>
              <w:rPr>
                <w:sz w:val="20"/>
                <w:szCs w:val="20"/>
                <w:color w:val="auto"/>
              </w:rPr>
            </w:pPr>
            <w:r>
              <w:rPr>
                <w:rFonts w:ascii="Arial" w:cs="Arial" w:eastAsia="Arial" w:hAnsi="Arial"/>
                <w:sz w:val="13"/>
                <w:szCs w:val="13"/>
                <w:b w:val="1"/>
                <w:bCs w:val="1"/>
                <w:color w:val="203864"/>
              </w:rPr>
              <w:t>Options, Warrants</w:t>
            </w:r>
          </w:p>
        </w:tc>
        <w:tc>
          <w:tcPr>
            <w:tcW w:w="120" w:type="dxa"/>
            <w:vAlign w:val="bottom"/>
          </w:tcPr>
          <w:p>
            <w:pPr>
              <w:spacing w:after="0"/>
              <w:rPr>
                <w:sz w:val="11"/>
                <w:szCs w:val="11"/>
                <w:color w:val="auto"/>
              </w:rPr>
            </w:pPr>
          </w:p>
        </w:tc>
        <w:tc>
          <w:tcPr>
            <w:tcW w:w="2440" w:type="dxa"/>
            <w:vAlign w:val="bottom"/>
          </w:tcPr>
          <w:p>
            <w:pPr>
              <w:jc w:val="center"/>
              <w:ind w:right="56"/>
              <w:spacing w:after="0" w:line="136" w:lineRule="exact"/>
              <w:rPr>
                <w:sz w:val="20"/>
                <w:szCs w:val="20"/>
                <w:color w:val="auto"/>
              </w:rPr>
            </w:pPr>
            <w:r>
              <w:rPr>
                <w:rFonts w:ascii="Arial" w:cs="Arial" w:eastAsia="Arial" w:hAnsi="Arial"/>
                <w:sz w:val="13"/>
                <w:szCs w:val="13"/>
                <w:b w:val="1"/>
                <w:bCs w:val="1"/>
                <w:color w:val="203864"/>
              </w:rPr>
              <w:t>reflected in</w:t>
            </w:r>
          </w:p>
        </w:tc>
        <w:tc>
          <w:tcPr>
            <w:tcW w:w="0" w:type="dxa"/>
            <w:vAlign w:val="bottom"/>
          </w:tcPr>
          <w:p>
            <w:pPr>
              <w:spacing w:after="0"/>
              <w:rPr>
                <w:sz w:val="1"/>
                <w:szCs w:val="1"/>
                <w:color w:val="auto"/>
              </w:rPr>
            </w:pPr>
          </w:p>
        </w:tc>
      </w:tr>
      <w:tr>
        <w:trPr>
          <w:trHeight w:val="176"/>
        </w:trPr>
        <w:tc>
          <w:tcPr>
            <w:tcW w:w="5580" w:type="dxa"/>
            <w:vAlign w:val="bottom"/>
            <w:tcBorders>
              <w:bottom w:val="single" w:sz="8" w:color="052666"/>
            </w:tcBorders>
            <w:vMerge w:val="continue"/>
          </w:tcPr>
          <w:p>
            <w:pPr>
              <w:spacing w:after="0"/>
              <w:rPr>
                <w:sz w:val="15"/>
                <w:szCs w:val="15"/>
                <w:color w:val="auto"/>
              </w:rPr>
            </w:pPr>
          </w:p>
        </w:tc>
        <w:tc>
          <w:tcPr>
            <w:tcW w:w="120" w:type="dxa"/>
            <w:vAlign w:val="bottom"/>
            <w:tcBorders>
              <w:bottom w:val="single" w:sz="8" w:color="052666"/>
            </w:tcBorders>
          </w:tcPr>
          <w:p>
            <w:pPr>
              <w:spacing w:after="0"/>
              <w:rPr>
                <w:sz w:val="15"/>
                <w:szCs w:val="15"/>
                <w:color w:val="auto"/>
              </w:rPr>
            </w:pPr>
          </w:p>
        </w:tc>
        <w:tc>
          <w:tcPr>
            <w:tcW w:w="1460" w:type="dxa"/>
            <w:vAlign w:val="bottom"/>
            <w:tcBorders>
              <w:bottom w:val="single" w:sz="8" w:color="052666"/>
            </w:tcBorders>
          </w:tcPr>
          <w:p>
            <w:pPr>
              <w:jc w:val="center"/>
              <w:ind w:right="50"/>
              <w:spacing w:after="0" w:line="176" w:lineRule="exact"/>
              <w:rPr>
                <w:sz w:val="20"/>
                <w:szCs w:val="20"/>
                <w:color w:val="auto"/>
              </w:rPr>
            </w:pPr>
            <w:r>
              <w:rPr>
                <w:rFonts w:ascii="Arial" w:cs="Arial" w:eastAsia="Arial" w:hAnsi="Arial"/>
                <w:sz w:val="13"/>
                <w:szCs w:val="13"/>
                <w:b w:val="1"/>
                <w:bCs w:val="1"/>
                <w:color w:val="203864"/>
                <w:w w:val="96"/>
              </w:rPr>
              <w:t>and Rights</w:t>
            </w:r>
            <w:r>
              <w:rPr>
                <w:rFonts w:ascii="Arial" w:cs="Arial" w:eastAsia="Arial" w:hAnsi="Arial"/>
                <w:sz w:val="18"/>
                <w:szCs w:val="18"/>
                <w:b w:val="1"/>
                <w:bCs w:val="1"/>
                <w:color w:val="203864"/>
                <w:w w:val="96"/>
                <w:vertAlign w:val="superscript"/>
              </w:rPr>
              <w:t>(2.)</w:t>
            </w:r>
          </w:p>
        </w:tc>
        <w:tc>
          <w:tcPr>
            <w:tcW w:w="140" w:type="dxa"/>
            <w:vAlign w:val="bottom"/>
            <w:tcBorders>
              <w:bottom w:val="single" w:sz="8" w:color="052666"/>
            </w:tcBorders>
          </w:tcPr>
          <w:p>
            <w:pPr>
              <w:spacing w:after="0"/>
              <w:rPr>
                <w:sz w:val="15"/>
                <w:szCs w:val="15"/>
                <w:color w:val="auto"/>
              </w:rPr>
            </w:pPr>
          </w:p>
        </w:tc>
        <w:tc>
          <w:tcPr>
            <w:tcW w:w="120" w:type="dxa"/>
            <w:vAlign w:val="bottom"/>
            <w:tcBorders>
              <w:bottom w:val="single" w:sz="8" w:color="052666"/>
            </w:tcBorders>
          </w:tcPr>
          <w:p>
            <w:pPr>
              <w:spacing w:after="0"/>
              <w:rPr>
                <w:sz w:val="15"/>
                <w:szCs w:val="15"/>
                <w:color w:val="auto"/>
              </w:rPr>
            </w:pPr>
          </w:p>
        </w:tc>
        <w:tc>
          <w:tcPr>
            <w:tcW w:w="1260" w:type="dxa"/>
            <w:vAlign w:val="bottom"/>
            <w:tcBorders>
              <w:bottom w:val="single" w:sz="8" w:color="052666"/>
            </w:tcBorders>
          </w:tcPr>
          <w:p>
            <w:pPr>
              <w:jc w:val="center"/>
              <w:ind w:right="169"/>
              <w:spacing w:after="0"/>
              <w:rPr>
                <w:sz w:val="20"/>
                <w:szCs w:val="20"/>
                <w:color w:val="auto"/>
              </w:rPr>
            </w:pPr>
            <w:r>
              <w:rPr>
                <w:rFonts w:ascii="Arial" w:cs="Arial" w:eastAsia="Arial" w:hAnsi="Arial"/>
                <w:sz w:val="13"/>
                <w:szCs w:val="13"/>
                <w:b w:val="1"/>
                <w:bCs w:val="1"/>
                <w:color w:val="203864"/>
              </w:rPr>
              <w:t>and Rights</w:t>
            </w:r>
          </w:p>
        </w:tc>
        <w:tc>
          <w:tcPr>
            <w:tcW w:w="120" w:type="dxa"/>
            <w:vAlign w:val="bottom"/>
            <w:tcBorders>
              <w:bottom w:val="single" w:sz="8" w:color="052666"/>
            </w:tcBorders>
          </w:tcPr>
          <w:p>
            <w:pPr>
              <w:spacing w:after="0"/>
              <w:rPr>
                <w:sz w:val="15"/>
                <w:szCs w:val="15"/>
                <w:color w:val="auto"/>
              </w:rPr>
            </w:pPr>
          </w:p>
        </w:tc>
        <w:tc>
          <w:tcPr>
            <w:tcW w:w="2440" w:type="dxa"/>
            <w:vAlign w:val="bottom"/>
            <w:tcBorders>
              <w:bottom w:val="single" w:sz="8" w:color="052666"/>
            </w:tcBorders>
          </w:tcPr>
          <w:p>
            <w:pPr>
              <w:jc w:val="center"/>
              <w:ind w:right="56"/>
              <w:spacing w:after="0" w:line="176" w:lineRule="exact"/>
              <w:rPr>
                <w:sz w:val="20"/>
                <w:szCs w:val="20"/>
                <w:color w:val="auto"/>
              </w:rPr>
            </w:pPr>
            <w:r>
              <w:rPr>
                <w:rFonts w:ascii="Arial" w:cs="Arial" w:eastAsia="Arial" w:hAnsi="Arial"/>
                <w:sz w:val="20"/>
                <w:szCs w:val="20"/>
                <w:b w:val="1"/>
                <w:bCs w:val="1"/>
                <w:color w:val="203864"/>
                <w:vertAlign w:val="subscript"/>
              </w:rPr>
              <w:t>column (a))</w:t>
            </w:r>
            <w:r>
              <w:rPr>
                <w:rFonts w:ascii="Arial" w:cs="Arial" w:eastAsia="Arial" w:hAnsi="Arial"/>
                <w:sz w:val="8"/>
                <w:szCs w:val="8"/>
                <w:b w:val="1"/>
                <w:bCs w:val="1"/>
                <w:color w:val="203864"/>
              </w:rPr>
              <w:t>(3.)(4.)(5.)</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120" w:type="dxa"/>
            <w:vAlign w:val="bottom"/>
            <w:tcBorders>
              <w:bottom w:val="single" w:sz="8" w:color="EDEDED"/>
            </w:tcBorders>
            <w:shd w:val="clear" w:color="auto" w:fill="EDEDED"/>
          </w:tcPr>
          <w:p>
            <w:pPr>
              <w:spacing w:after="0"/>
              <w:rPr>
                <w:sz w:val="21"/>
                <w:szCs w:val="21"/>
                <w:color w:val="auto"/>
              </w:rPr>
            </w:pPr>
          </w:p>
        </w:tc>
        <w:tc>
          <w:tcPr>
            <w:tcW w:w="1460" w:type="dxa"/>
            <w:vAlign w:val="bottom"/>
            <w:tcBorders>
              <w:bottom w:val="single" w:sz="8" w:color="EDEDED"/>
            </w:tcBorders>
            <w:shd w:val="clear" w:color="auto" w:fill="EDEDED"/>
          </w:tcPr>
          <w:p>
            <w:pPr>
              <w:jc w:val="right"/>
              <w:ind w:right="50"/>
              <w:spacing w:after="0"/>
              <w:rPr>
                <w:sz w:val="20"/>
                <w:szCs w:val="20"/>
                <w:color w:val="auto"/>
              </w:rPr>
            </w:pPr>
            <w:r>
              <w:rPr>
                <w:rFonts w:ascii="Arial" w:cs="Arial" w:eastAsia="Arial" w:hAnsi="Arial"/>
                <w:sz w:val="16"/>
                <w:szCs w:val="16"/>
                <w:color w:val="auto"/>
              </w:rPr>
              <w:t>2,050,594</w:t>
            </w:r>
          </w:p>
        </w:tc>
        <w:tc>
          <w:tcPr>
            <w:tcW w:w="260" w:type="dxa"/>
            <w:vAlign w:val="bottom"/>
            <w:tcBorders>
              <w:bottom w:val="single" w:sz="8" w:color="EDEDED"/>
            </w:tcBorders>
            <w:gridSpan w:val="2"/>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DEDED"/>
            </w:tcBorders>
            <w:shd w:val="clear" w:color="auto" w:fill="EDEDED"/>
          </w:tcPr>
          <w:p>
            <w:pPr>
              <w:jc w:val="right"/>
              <w:ind w:right="49"/>
              <w:spacing w:after="0"/>
              <w:rPr>
                <w:sz w:val="20"/>
                <w:szCs w:val="20"/>
                <w:color w:val="auto"/>
              </w:rPr>
            </w:pPr>
            <w:r>
              <w:rPr>
                <w:rFonts w:ascii="Arial" w:cs="Arial" w:eastAsia="Arial" w:hAnsi="Arial"/>
                <w:sz w:val="16"/>
                <w:szCs w:val="16"/>
                <w:color w:val="auto"/>
              </w:rPr>
              <w:t>131.53</w:t>
            </w:r>
          </w:p>
        </w:tc>
        <w:tc>
          <w:tcPr>
            <w:tcW w:w="2560" w:type="dxa"/>
            <w:vAlign w:val="bottom"/>
            <w:tcBorders>
              <w:bottom w:val="single" w:sz="8" w:color="EDEDED"/>
            </w:tcBorders>
            <w:gridSpan w:val="2"/>
            <w:shd w:val="clear" w:color="auto" w:fill="EDEDED"/>
          </w:tcPr>
          <w:p>
            <w:pPr>
              <w:jc w:val="right"/>
              <w:ind w:right="56"/>
              <w:spacing w:after="0"/>
              <w:rPr>
                <w:sz w:val="20"/>
                <w:szCs w:val="20"/>
                <w:color w:val="auto"/>
              </w:rPr>
            </w:pPr>
            <w:r>
              <w:rPr>
                <w:rFonts w:ascii="Arial" w:cs="Arial" w:eastAsia="Arial" w:hAnsi="Arial"/>
                <w:sz w:val="16"/>
                <w:szCs w:val="16"/>
                <w:color w:val="auto"/>
              </w:rPr>
              <w:t>7,631,056</w:t>
            </w:r>
          </w:p>
        </w:tc>
        <w:tc>
          <w:tcPr>
            <w:tcW w:w="0" w:type="dxa"/>
            <w:vAlign w:val="bottom"/>
          </w:tcPr>
          <w:p>
            <w:pPr>
              <w:spacing w:after="0"/>
              <w:rPr>
                <w:sz w:val="1"/>
                <w:szCs w:val="1"/>
                <w:color w:val="auto"/>
              </w:rPr>
            </w:pPr>
          </w:p>
        </w:tc>
      </w:tr>
      <w:tr>
        <w:trPr>
          <w:trHeight w:val="20"/>
        </w:trPr>
        <w:tc>
          <w:tcPr>
            <w:tcW w:w="5580" w:type="dxa"/>
            <w:vAlign w:val="bottom"/>
            <w:shd w:val="clear" w:color="auto" w:fill="EDEDED"/>
          </w:tcPr>
          <w:p>
            <w:pPr>
              <w:spacing w:after="0" w:line="20" w:lineRule="exact"/>
              <w:rPr>
                <w:sz w:val="1"/>
                <w:szCs w:val="1"/>
                <w:color w:val="auto"/>
              </w:rPr>
            </w:pPr>
          </w:p>
        </w:tc>
        <w:tc>
          <w:tcPr>
            <w:tcW w:w="120" w:type="dxa"/>
            <w:vAlign w:val="bottom"/>
            <w:shd w:val="clear" w:color="auto" w:fill="EDEDED"/>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EDEDE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EDEDED"/>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580" w:type="dxa"/>
            <w:vAlign w:val="bottom"/>
          </w:tcPr>
          <w:p>
            <w:pPr>
              <w:ind w:left="6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6"/>
                <w:szCs w:val="16"/>
                <w:color w:val="auto"/>
              </w:rPr>
              <w:t>2,050,594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
              <w:spacing w:after="0"/>
              <w:rPr>
                <w:sz w:val="20"/>
                <w:szCs w:val="20"/>
                <w:color w:val="auto"/>
              </w:rPr>
            </w:pPr>
            <w:r>
              <w:rPr>
                <w:rFonts w:ascii="Arial" w:cs="Arial" w:eastAsia="Arial" w:hAnsi="Arial"/>
                <w:sz w:val="16"/>
                <w:szCs w:val="16"/>
                <w:color w:val="auto"/>
              </w:rPr>
              <w:t>131.53</w:t>
            </w:r>
          </w:p>
        </w:tc>
        <w:tc>
          <w:tcPr>
            <w:tcW w:w="2560" w:type="dxa"/>
            <w:vAlign w:val="bottom"/>
            <w:gridSpan w:val="2"/>
          </w:tcPr>
          <w:p>
            <w:pPr>
              <w:jc w:val="right"/>
              <w:ind w:right="56"/>
              <w:spacing w:after="0"/>
              <w:rPr>
                <w:sz w:val="20"/>
                <w:szCs w:val="20"/>
                <w:color w:val="auto"/>
              </w:rPr>
            </w:pPr>
            <w:r>
              <w:rPr>
                <w:rFonts w:ascii="Arial" w:cs="Arial" w:eastAsia="Arial" w:hAnsi="Arial"/>
                <w:sz w:val="16"/>
                <w:szCs w:val="16"/>
                <w:color w:val="auto"/>
              </w:rPr>
              <w:t>7,631,056</w:t>
            </w:r>
          </w:p>
        </w:tc>
        <w:tc>
          <w:tcPr>
            <w:tcW w:w="0" w:type="dxa"/>
            <w:vAlign w:val="bottom"/>
          </w:tcPr>
          <w:p>
            <w:pPr>
              <w:spacing w:after="0"/>
              <w:rPr>
                <w:sz w:val="1"/>
                <w:szCs w:val="1"/>
                <w:color w:val="auto"/>
              </w:rPr>
            </w:pPr>
          </w:p>
        </w:tc>
      </w:tr>
      <w:tr>
        <w:trPr>
          <w:trHeight w:val="29"/>
        </w:trPr>
        <w:tc>
          <w:tcPr>
            <w:tcW w:w="558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1460" w:type="dxa"/>
            <w:vAlign w:val="bottom"/>
            <w:tcBorders>
              <w:bottom w:val="single" w:sz="8" w:color="7F7F7F"/>
            </w:tcBorders>
          </w:tcPr>
          <w:p>
            <w:pPr>
              <w:spacing w:after="0"/>
              <w:rPr>
                <w:sz w:val="2"/>
                <w:szCs w:val="2"/>
                <w:color w:val="auto"/>
              </w:rPr>
            </w:pPr>
          </w:p>
        </w:tc>
        <w:tc>
          <w:tcPr>
            <w:tcW w:w="14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126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244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-187960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-187960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00" w:hanging="372"/>
        <w:spacing w:after="0"/>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Shares of Class B Common Stock.</w:t>
      </w:r>
    </w:p>
    <w:p>
      <w:pPr>
        <w:spacing w:after="0" w:line="53" w:lineRule="exact"/>
        <w:rPr>
          <w:rFonts w:ascii="Arial" w:cs="Arial" w:eastAsia="Arial" w:hAnsi="Arial"/>
          <w:sz w:val="20"/>
          <w:szCs w:val="20"/>
          <w:color w:val="auto"/>
        </w:rPr>
      </w:pPr>
    </w:p>
    <w:p>
      <w:pPr>
        <w:jc w:val="both"/>
        <w:ind w:left="500" w:hanging="372"/>
        <w:spacing w:after="0" w:line="234" w:lineRule="auto"/>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As of March 23, 2026, including options outstanding issued pursuant to our 2020 Omnibus Stock and Incentive Plan, there were 1,595,559 options outstanding with an approximate weighted-average exercise price of $128.40 and weighted average remaining term of approximately 1.6 years. All current outstanding stock options have terms that do not exceed five years. Additionally, as of March 23, 2026, there were 600,242 full-value restricted stock units outstanding and 124,613 performance-based restricted stock units outstanding. The restricted stock units do not have any voting rights.</w:t>
      </w:r>
    </w:p>
    <w:p>
      <w:pPr>
        <w:spacing w:after="0" w:line="39" w:lineRule="exact"/>
        <w:rPr>
          <w:rFonts w:ascii="Arial" w:cs="Arial" w:eastAsia="Arial" w:hAnsi="Arial"/>
          <w:sz w:val="20"/>
          <w:szCs w:val="20"/>
          <w:color w:val="auto"/>
        </w:rPr>
      </w:pPr>
    </w:p>
    <w:p>
      <w:pPr>
        <w:ind w:left="500" w:hanging="372"/>
        <w:spacing w:after="0" w:line="257" w:lineRule="auto"/>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As of December 31, 2025 and March 23, 2026, the Company’s 2020 Omnibus Stock and Incentive Plan had approximately 6.6 million shares and 6.4 million shares, respectively, remaining for future issuance.</w:t>
      </w:r>
    </w:p>
    <w:p>
      <w:pPr>
        <w:spacing w:after="0" w:line="6" w:lineRule="exact"/>
        <w:rPr>
          <w:rFonts w:ascii="Arial" w:cs="Arial" w:eastAsia="Arial" w:hAnsi="Arial"/>
          <w:sz w:val="20"/>
          <w:szCs w:val="20"/>
          <w:color w:val="auto"/>
        </w:rPr>
      </w:pPr>
    </w:p>
    <w:p>
      <w:pPr>
        <w:jc w:val="both"/>
        <w:ind w:left="500" w:hanging="372"/>
        <w:spacing w:after="0" w:line="260" w:lineRule="auto"/>
        <w:tabs>
          <w:tab w:leader="none" w:pos="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For purposes of determining the remaining number of shares subject to the Company’s 2020 Omnibus and Stock Incentive Plan, each share underlying a stock option or SAR shall be counted as one (1) share, while all other awards, including full-value restricted stock or units, shall be counted as four (4) shares against the reserve balance for future issuance.</w:t>
      </w:r>
    </w:p>
    <w:p>
      <w:pPr>
        <w:spacing w:after="0" w:line="5" w:lineRule="exact"/>
        <w:rPr>
          <w:rFonts w:ascii="Arial" w:cs="Arial" w:eastAsia="Arial" w:hAnsi="Arial"/>
          <w:sz w:val="19"/>
          <w:szCs w:val="19"/>
          <w:color w:val="auto"/>
        </w:rPr>
      </w:pPr>
    </w:p>
    <w:p>
      <w:pPr>
        <w:ind w:left="500" w:hanging="372"/>
        <w:spacing w:after="0" w:line="257" w:lineRule="auto"/>
        <w:tabs>
          <w:tab w:leader="none" w:pos="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Includes 1,007,828 shares remaining available for future issuance under the Company's Amended and Restated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7" w:name="page18"/>
    <w:bookmarkEnd w:id="17"/>
    <w:p>
      <w:pPr>
        <w:spacing w:after="0"/>
        <w:rPr>
          <w:sz w:val="20"/>
          <w:szCs w:val="20"/>
          <w:color w:val="auto"/>
        </w:rPr>
      </w:pPr>
      <w:r>
        <w:rPr>
          <w:rFonts w:ascii="Arial" w:cs="Arial" w:eastAsia="Arial" w:hAnsi="Arial"/>
          <w:sz w:val="40"/>
          <w:szCs w:val="40"/>
          <w:b w:val="1"/>
          <w:bCs w:val="1"/>
          <w:color w:val="052666"/>
        </w:rPr>
        <w:t>PROPOSAL NO. 1</w:t>
      </w:r>
    </w:p>
    <w:p>
      <w:pPr>
        <w:spacing w:after="0" w:line="39" w:lineRule="exact"/>
        <w:rPr>
          <w:sz w:val="20"/>
          <w:szCs w:val="20"/>
          <w:color w:val="auto"/>
        </w:rPr>
      </w:pPr>
    </w:p>
    <w:p>
      <w:pPr>
        <w:spacing w:after="0"/>
        <w:rPr>
          <w:sz w:val="20"/>
          <w:szCs w:val="20"/>
          <w:color w:val="auto"/>
        </w:rPr>
      </w:pPr>
      <w:r>
        <w:rPr>
          <w:rFonts w:ascii="Arial" w:cs="Arial" w:eastAsia="Arial" w:hAnsi="Arial"/>
          <w:sz w:val="40"/>
          <w:szCs w:val="40"/>
          <w:b w:val="1"/>
          <w:bCs w:val="1"/>
          <w:color w:val="052666"/>
        </w:rPr>
        <w:t>ELECTION OF DIRECTORS</w:t>
      </w:r>
    </w:p>
    <w:p>
      <w:pPr>
        <w:spacing w:after="0" w:line="200" w:lineRule="exact"/>
        <w:rPr>
          <w:sz w:val="20"/>
          <w:szCs w:val="20"/>
          <w:color w:val="auto"/>
        </w:rPr>
      </w:pP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Our Restated Certificate of Incorporation provides for a Board of Directors of not fewer than three members nor more than nine members, the exact number to be determined by the Board of Directors. The Board of Directors is currently comprised of seven members, and is divided into three classes, with members of each class serving for a three-year term. At each Annual Meeting of Stockholders, directors are chosen to succeed those in the class whose term expires at such Annual Meeting and, in the case of this Annual Meeting, directors will be elected as Class III directors.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Holders of shares of our outstanding Class B and Class D Common Stock (voting together as a single class) are entitled to elect two directors, currently one in Class II and one in Class III, and the holders of Class A and Class C Common Stock (voting together as a single class) are entitled to elect the remaining directors, currently three in Class I, one in Class II, and one in Class III.</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persons listed below include the members of our Board of Directors whose term of office will continue after the meeting and nominees. The terms of the current Class III directors, Mr. Alan B. Miller and Ms. Nina Chen-Langenmayr, expire at the 2026 Annual Meeting. Mr. Alan B. Miller has been nominated to be elected by the holders of Class A and Class C Common Stock and Ms. Nina Chen-Langenmayr has been nominated to be elected by the holders of Class B and Class D Common Stock. We have no reason to believe that any of the nominees will be unavailable for election; however, if either nominee becomes unavailable for any reason, the shares represented by the Proxy will be voted for the person, if any, who is designated by the Board of Directors to replace the nominee. All nominees have consented to be named and have indicated their intent to serve if elected. The following information is furnished with respect to each of the nominees for election as a director and each member of the Board of Directors whose term of office will continue after the meeting.</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Board of Directors believes that it is essential that its members represent diverse viewpoints, with a broad array of experiences, professions, skills, geographic representation and backgrounds, including diversity of gender and race that, when considered as a group, provide a sufficient mix of perspectives to allow the Board of Directors to best fulfill its responsibilities to the long-term interests of our stockholders. The Board has refreshed the Board by replacing 80% of the non-management members of the Board within the last eight years. The Board has three female members, one of whom, Eileen McDonnell, serves as lead director and one of whom is a member of an underrepresented minority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2214880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000052"/>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Director Nominees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III Directors</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F"/>
        </w:rPr>
        <w:t>Nina Chen-Langenmayr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362710" cy="11398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6271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2022</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Age: </w:t>
      </w: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760" w:type="dxa"/>
            <w:vAlign w:val="bottom"/>
            <w:gridSpan w:val="2"/>
          </w:tcPr>
          <w:p>
            <w:pPr>
              <w:spacing w:after="0"/>
              <w:rPr>
                <w:sz w:val="20"/>
                <w:szCs w:val="20"/>
                <w:color w:val="auto"/>
              </w:rPr>
            </w:pPr>
            <w:r>
              <w:rPr>
                <w:rFonts w:ascii="Arial" w:cs="Arial" w:eastAsia="Arial" w:hAnsi="Arial"/>
                <w:sz w:val="19"/>
                <w:szCs w:val="19"/>
                <w:b w:val="1"/>
                <w:bCs w:val="1"/>
                <w:color w:val="auto"/>
              </w:rPr>
              <w:t>Class of Stockholders Entitled to Vote:</w:t>
            </w:r>
          </w:p>
        </w:tc>
        <w:tc>
          <w:tcPr>
            <w:tcW w:w="2520" w:type="dxa"/>
            <w:vAlign w:val="bottom"/>
            <w:gridSpan w:val="2"/>
          </w:tcPr>
          <w:p>
            <w:pPr>
              <w:ind w:left="280"/>
              <w:spacing w:after="0"/>
              <w:rPr>
                <w:sz w:val="20"/>
                <w:szCs w:val="20"/>
                <w:color w:val="auto"/>
              </w:rPr>
            </w:pPr>
            <w:r>
              <w:rPr>
                <w:rFonts w:ascii="Arial" w:cs="Arial" w:eastAsia="Arial" w:hAnsi="Arial"/>
                <w:sz w:val="19"/>
                <w:szCs w:val="19"/>
                <w:b w:val="1"/>
                <w:bCs w:val="1"/>
                <w:color w:val="auto"/>
              </w:rPr>
              <w:t>Committee Membership:</w:t>
            </w:r>
          </w:p>
        </w:tc>
      </w:tr>
      <w:tr>
        <w:trPr>
          <w:trHeight w:val="216"/>
        </w:trPr>
        <w:tc>
          <w:tcPr>
            <w:tcW w:w="140" w:type="dxa"/>
            <w:vAlign w:val="bottom"/>
          </w:tcPr>
          <w:p>
            <w:pPr>
              <w:spacing w:after="0" w:line="216" w:lineRule="exact"/>
              <w:rPr>
                <w:sz w:val="20"/>
                <w:szCs w:val="20"/>
                <w:color w:val="auto"/>
              </w:rPr>
            </w:pPr>
            <w:r>
              <w:rPr>
                <w:rFonts w:ascii="Arial" w:cs="Arial" w:eastAsia="Arial" w:hAnsi="Arial"/>
                <w:sz w:val="19"/>
                <w:szCs w:val="19"/>
                <w:color w:val="052666"/>
              </w:rPr>
              <w:t>•</w:t>
            </w:r>
          </w:p>
        </w:tc>
        <w:tc>
          <w:tcPr>
            <w:tcW w:w="3620" w:type="dxa"/>
            <w:vAlign w:val="bottom"/>
          </w:tcPr>
          <w:p>
            <w:pPr>
              <w:ind w:left="80"/>
              <w:spacing w:after="0" w:line="216" w:lineRule="exact"/>
              <w:rPr>
                <w:sz w:val="20"/>
                <w:szCs w:val="20"/>
                <w:color w:val="auto"/>
              </w:rPr>
            </w:pPr>
            <w:r>
              <w:rPr>
                <w:rFonts w:ascii="Arial" w:cs="Arial" w:eastAsia="Arial" w:hAnsi="Arial"/>
                <w:sz w:val="19"/>
                <w:szCs w:val="19"/>
                <w:color w:val="auto"/>
              </w:rPr>
              <w:t>B Common</w:t>
            </w: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100" w:type="dxa"/>
            <w:vAlign w:val="bottom"/>
          </w:tcPr>
          <w:p>
            <w:pPr>
              <w:ind w:left="80"/>
              <w:spacing w:after="0" w:line="216" w:lineRule="exact"/>
              <w:rPr>
                <w:sz w:val="20"/>
                <w:szCs w:val="20"/>
                <w:color w:val="auto"/>
              </w:rPr>
            </w:pPr>
            <w:r>
              <w:rPr>
                <w:rFonts w:ascii="Arial" w:cs="Arial" w:eastAsia="Arial" w:hAnsi="Arial"/>
                <w:sz w:val="19"/>
                <w:szCs w:val="19"/>
                <w:color w:val="auto"/>
                <w:w w:val="99"/>
              </w:rPr>
              <w:t>Quality and Compliance</w:t>
            </w:r>
          </w:p>
        </w:tc>
      </w:tr>
      <w:tr>
        <w:trPr>
          <w:trHeight w:val="249"/>
        </w:trPr>
        <w:tc>
          <w:tcPr>
            <w:tcW w:w="140" w:type="dxa"/>
            <w:vAlign w:val="bottom"/>
          </w:tcPr>
          <w:p>
            <w:pPr>
              <w:spacing w:after="0"/>
              <w:rPr>
                <w:sz w:val="20"/>
                <w:szCs w:val="20"/>
                <w:color w:val="auto"/>
              </w:rPr>
            </w:pPr>
            <w:r>
              <w:rPr>
                <w:rFonts w:ascii="Arial" w:cs="Arial" w:eastAsia="Arial" w:hAnsi="Arial"/>
                <w:sz w:val="19"/>
                <w:szCs w:val="19"/>
                <w:color w:val="052666"/>
              </w:rPr>
              <w:t>•</w:t>
            </w:r>
          </w:p>
        </w:tc>
        <w:tc>
          <w:tcPr>
            <w:tcW w:w="3620" w:type="dxa"/>
            <w:vAlign w:val="bottom"/>
          </w:tcPr>
          <w:p>
            <w:pPr>
              <w:ind w:left="80"/>
              <w:spacing w:after="0"/>
              <w:rPr>
                <w:sz w:val="20"/>
                <w:szCs w:val="20"/>
                <w:color w:val="auto"/>
              </w:rPr>
            </w:pPr>
            <w:r>
              <w:rPr>
                <w:rFonts w:ascii="Arial" w:cs="Arial" w:eastAsia="Arial" w:hAnsi="Arial"/>
                <w:sz w:val="19"/>
                <w:szCs w:val="19"/>
                <w:color w:val="auto"/>
              </w:rPr>
              <w:t>D Common</w:t>
            </w:r>
          </w:p>
        </w:tc>
        <w:tc>
          <w:tcPr>
            <w:tcW w:w="420" w:type="dxa"/>
            <w:vAlign w:val="bottom"/>
          </w:tcPr>
          <w:p>
            <w:pPr>
              <w:ind w:left="280"/>
              <w:spacing w:after="0"/>
              <w:rPr>
                <w:sz w:val="20"/>
                <w:szCs w:val="20"/>
                <w:color w:val="auto"/>
              </w:rPr>
            </w:pPr>
            <w:r>
              <w:rPr>
                <w:rFonts w:ascii="Arial" w:cs="Arial" w:eastAsia="Arial" w:hAnsi="Arial"/>
                <w:sz w:val="19"/>
                <w:szCs w:val="19"/>
                <w:color w:val="052666"/>
              </w:rPr>
              <w:t>•</w:t>
            </w:r>
          </w:p>
        </w:tc>
        <w:tc>
          <w:tcPr>
            <w:tcW w:w="2100" w:type="dxa"/>
            <w:vAlign w:val="bottom"/>
          </w:tcPr>
          <w:p>
            <w:pPr>
              <w:ind w:left="80"/>
              <w:spacing w:after="0"/>
              <w:rPr>
                <w:sz w:val="20"/>
                <w:szCs w:val="20"/>
                <w:color w:val="auto"/>
              </w:rPr>
            </w:pPr>
            <w:r>
              <w:rPr>
                <w:rFonts w:ascii="Arial" w:cs="Arial" w:eastAsia="Arial" w:hAnsi="Arial"/>
                <w:sz w:val="19"/>
                <w:szCs w:val="19"/>
                <w:color w:val="auto"/>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-663575</wp:posOffset>
            </wp:positionV>
            <wp:extent cx="713232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Experience</w:t>
      </w:r>
    </w:p>
    <w:p>
      <w:pPr>
        <w:spacing w:after="0" w:line="4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Ms. Chen-Langenmayr serves on the Board of Directors for The Welcoming Center in Philadelphia where she was formerly a Special Projects Consultant since 2013. Ms. Chen-Langenmayr previously served as Partner, Client Relationship Management Group at Mercer. Ms. Chen-Langenmayr has multiple years of experience in the human capital management and outsourcing arena, particularly in the pharmaceutical and healthcare industries. She is a Juris Doctor and Founding Member of the Asian Pacific American Bar Association of Pennsylvania and a member of the Forum of Executive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59690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640"/>
            <w:col w:w="8080"/>
          </w:cols>
          <w:pgMar w:left="320" w:top="773" w:right="339" w:bottom="1440" w:gutter="0" w:footer="0" w:header="0"/>
          <w:type w:val="continuous"/>
        </w:sectPr>
      </w:pPr>
    </w:p>
    <w:p>
      <w:pPr>
        <w:spacing w:after="0" w:line="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Alan B.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362710" cy="11315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6271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1978</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Age: </w:t>
      </w: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760" w:type="dxa"/>
            <w:vAlign w:val="bottom"/>
            <w:gridSpan w:val="2"/>
          </w:tcPr>
          <w:p>
            <w:pPr>
              <w:spacing w:after="0"/>
              <w:rPr>
                <w:sz w:val="20"/>
                <w:szCs w:val="20"/>
                <w:color w:val="auto"/>
              </w:rPr>
            </w:pPr>
            <w:r>
              <w:rPr>
                <w:rFonts w:ascii="Arial" w:cs="Arial" w:eastAsia="Arial" w:hAnsi="Arial"/>
                <w:sz w:val="19"/>
                <w:szCs w:val="19"/>
                <w:b w:val="1"/>
                <w:bCs w:val="1"/>
                <w:color w:val="auto"/>
              </w:rPr>
              <w:t>Class of Stockholders Entitled to Vote:</w:t>
            </w:r>
          </w:p>
        </w:tc>
        <w:tc>
          <w:tcPr>
            <w:tcW w:w="2480" w:type="dxa"/>
            <w:vAlign w:val="bottom"/>
            <w:gridSpan w:val="2"/>
          </w:tcPr>
          <w:p>
            <w:pPr>
              <w:ind w:left="280"/>
              <w:spacing w:after="0"/>
              <w:rPr>
                <w:sz w:val="20"/>
                <w:szCs w:val="20"/>
                <w:color w:val="auto"/>
              </w:rPr>
            </w:pPr>
            <w:r>
              <w:rPr>
                <w:rFonts w:ascii="Arial" w:cs="Arial" w:eastAsia="Arial" w:hAnsi="Arial"/>
                <w:sz w:val="19"/>
                <w:szCs w:val="19"/>
                <w:b w:val="1"/>
                <w:bCs w:val="1"/>
                <w:color w:val="auto"/>
                <w:w w:val="98"/>
              </w:rPr>
              <w:t>Committee Membership:</w:t>
            </w:r>
          </w:p>
        </w:tc>
      </w:tr>
      <w:tr>
        <w:trPr>
          <w:trHeight w:val="216"/>
        </w:trPr>
        <w:tc>
          <w:tcPr>
            <w:tcW w:w="140" w:type="dxa"/>
            <w:vAlign w:val="bottom"/>
          </w:tcPr>
          <w:p>
            <w:pPr>
              <w:spacing w:after="0" w:line="216" w:lineRule="exact"/>
              <w:rPr>
                <w:sz w:val="20"/>
                <w:szCs w:val="20"/>
                <w:color w:val="auto"/>
              </w:rPr>
            </w:pPr>
            <w:r>
              <w:rPr>
                <w:rFonts w:ascii="Arial" w:cs="Arial" w:eastAsia="Arial" w:hAnsi="Arial"/>
                <w:sz w:val="19"/>
                <w:szCs w:val="19"/>
                <w:color w:val="052666"/>
              </w:rPr>
              <w:t>•</w:t>
            </w:r>
          </w:p>
        </w:tc>
        <w:tc>
          <w:tcPr>
            <w:tcW w:w="3620" w:type="dxa"/>
            <w:vAlign w:val="bottom"/>
          </w:tcPr>
          <w:p>
            <w:pPr>
              <w:ind w:left="80"/>
              <w:spacing w:after="0" w:line="216" w:lineRule="exact"/>
              <w:rPr>
                <w:sz w:val="20"/>
                <w:szCs w:val="20"/>
                <w:color w:val="auto"/>
              </w:rPr>
            </w:pPr>
            <w:r>
              <w:rPr>
                <w:rFonts w:ascii="Arial" w:cs="Arial" w:eastAsia="Arial" w:hAnsi="Arial"/>
                <w:sz w:val="19"/>
                <w:szCs w:val="19"/>
                <w:color w:val="auto"/>
              </w:rPr>
              <w:t>A Common</w:t>
            </w: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060" w:type="dxa"/>
            <w:vAlign w:val="bottom"/>
          </w:tcPr>
          <w:p>
            <w:pPr>
              <w:ind w:left="80"/>
              <w:spacing w:after="0" w:line="216" w:lineRule="exact"/>
              <w:rPr>
                <w:sz w:val="20"/>
                <w:szCs w:val="20"/>
                <w:color w:val="auto"/>
              </w:rPr>
            </w:pPr>
            <w:r>
              <w:rPr>
                <w:rFonts w:ascii="Arial" w:cs="Arial" w:eastAsia="Arial" w:hAnsi="Arial"/>
                <w:sz w:val="19"/>
                <w:szCs w:val="19"/>
                <w:color w:val="auto"/>
              </w:rPr>
              <w:t>Executive (Chair)</w:t>
            </w:r>
          </w:p>
        </w:tc>
      </w:tr>
      <w:tr>
        <w:trPr>
          <w:trHeight w:val="249"/>
        </w:trPr>
        <w:tc>
          <w:tcPr>
            <w:tcW w:w="140" w:type="dxa"/>
            <w:vAlign w:val="bottom"/>
          </w:tcPr>
          <w:p>
            <w:pPr>
              <w:spacing w:after="0"/>
              <w:rPr>
                <w:sz w:val="20"/>
                <w:szCs w:val="20"/>
                <w:color w:val="auto"/>
              </w:rPr>
            </w:pPr>
            <w:r>
              <w:rPr>
                <w:rFonts w:ascii="Arial" w:cs="Arial" w:eastAsia="Arial" w:hAnsi="Arial"/>
                <w:sz w:val="19"/>
                <w:szCs w:val="19"/>
                <w:color w:val="052666"/>
              </w:rPr>
              <w:t>•</w:t>
            </w:r>
          </w:p>
        </w:tc>
        <w:tc>
          <w:tcPr>
            <w:tcW w:w="3620" w:type="dxa"/>
            <w:vAlign w:val="bottom"/>
          </w:tcPr>
          <w:p>
            <w:pPr>
              <w:ind w:left="80"/>
              <w:spacing w:after="0"/>
              <w:rPr>
                <w:sz w:val="20"/>
                <w:szCs w:val="20"/>
                <w:color w:val="auto"/>
              </w:rPr>
            </w:pPr>
            <w:r>
              <w:rPr>
                <w:rFonts w:ascii="Arial" w:cs="Arial" w:eastAsia="Arial" w:hAnsi="Arial"/>
                <w:sz w:val="19"/>
                <w:szCs w:val="19"/>
                <w:color w:val="auto"/>
              </w:rPr>
              <w:t>C Common</w:t>
            </w:r>
          </w:p>
        </w:tc>
        <w:tc>
          <w:tcPr>
            <w:tcW w:w="420" w:type="dxa"/>
            <w:vAlign w:val="bottom"/>
          </w:tcPr>
          <w:p>
            <w:pPr>
              <w:ind w:left="280"/>
              <w:spacing w:after="0"/>
              <w:rPr>
                <w:sz w:val="20"/>
                <w:szCs w:val="20"/>
                <w:color w:val="auto"/>
              </w:rPr>
            </w:pPr>
            <w:r>
              <w:rPr>
                <w:rFonts w:ascii="Arial" w:cs="Arial" w:eastAsia="Arial" w:hAnsi="Arial"/>
                <w:sz w:val="19"/>
                <w:szCs w:val="19"/>
                <w:color w:val="052666"/>
              </w:rPr>
              <w:t>•</w:t>
            </w:r>
          </w:p>
        </w:tc>
        <w:tc>
          <w:tcPr>
            <w:tcW w:w="2060" w:type="dxa"/>
            <w:vAlign w:val="bottom"/>
          </w:tcPr>
          <w:p>
            <w:pPr>
              <w:ind w:left="80"/>
              <w:spacing w:after="0"/>
              <w:rPr>
                <w:sz w:val="20"/>
                <w:szCs w:val="20"/>
                <w:color w:val="auto"/>
              </w:rPr>
            </w:pPr>
            <w:r>
              <w:rPr>
                <w:rFonts w:ascii="Arial" w:cs="Arial" w:eastAsia="Arial" w:hAnsi="Arial"/>
                <w:sz w:val="19"/>
                <w:szCs w:val="19"/>
                <w:color w:val="auto"/>
              </w:rPr>
              <w:t>Finance (Chair)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-663575</wp:posOffset>
            </wp:positionV>
            <wp:extent cx="713232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Business Experience</w:t>
      </w:r>
    </w:p>
    <w:p>
      <w:pPr>
        <w:spacing w:after="0" w:line="4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Mr. Alan B. Miller, who had previously served as our Chief Executive Officer since our inception in 1978, stepped down from that role effective as of January 1, 2021 and assumed the role of Executive Chairman of the Board. Prior to 1978, Mr. Alan B. Miller was Chairman of the Board, Chief Executive Officer and President of American Medicorp, Inc. Mr. Alan B. Miller continues to serve as Chairman of the Board of Trustees, Chief Executive Officer and President of Universal Health Realty Income Trust. He is the father of Marc D. Miller, a Director, and our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205740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59690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720"/>
            <w:col w:w="8080"/>
          </w:cols>
          <w:pgMar w:left="320" w:top="773" w:right="3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9" w:name="page20"/>
    <w:bookmarkEnd w:id="19"/>
    <w:p>
      <w:pPr>
        <w:jc w:val="right"/>
        <w:ind w:right="20"/>
        <w:spacing w:after="0"/>
        <w:rPr>
          <w:sz w:val="20"/>
          <w:szCs w:val="20"/>
          <w:color w:val="auto"/>
        </w:rPr>
      </w:pPr>
      <w:r>
        <w:rPr>
          <w:rFonts w:ascii="Arial" w:cs="Arial" w:eastAsia="Arial" w:hAnsi="Arial"/>
          <w:sz w:val="16"/>
          <w:szCs w:val="16"/>
          <w:b w:val="1"/>
          <w:bCs w:val="1"/>
          <w:color w:val="000052"/>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Directors whose Terms Expire in 2027</w:t>
      </w:r>
    </w:p>
    <w:p>
      <w:pPr>
        <w:sectPr>
          <w:pgSz w:w="11900" w:h="16838" w:orient="portrait"/>
          <w:cols w:equalWidth="0" w:num="1">
            <w:col w:w="11240"/>
          </w:cols>
          <w:pgMar w:left="320" w:top="773" w:right="339" w:bottom="1440" w:gutter="0" w:footer="0" w:header="0"/>
        </w:sectPr>
      </w:pPr>
    </w:p>
    <w:p>
      <w:pPr>
        <w:spacing w:after="0" w:line="11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Class I Directors</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FFFFFF"/>
        </w:rPr>
        <w:t>Eileen C. McDonnell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2013</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Age: </w:t>
      </w: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760" w:type="dxa"/>
            <w:vAlign w:val="bottom"/>
            <w:gridSpan w:val="2"/>
          </w:tcPr>
          <w:p>
            <w:pPr>
              <w:spacing w:after="0"/>
              <w:rPr>
                <w:sz w:val="20"/>
                <w:szCs w:val="20"/>
                <w:color w:val="auto"/>
              </w:rPr>
            </w:pPr>
            <w:r>
              <w:rPr>
                <w:rFonts w:ascii="Arial" w:cs="Arial" w:eastAsia="Arial" w:hAnsi="Arial"/>
                <w:sz w:val="19"/>
                <w:szCs w:val="19"/>
                <w:b w:val="1"/>
                <w:bCs w:val="1"/>
                <w:color w:val="auto"/>
              </w:rPr>
              <w:t>Class of Stockholders Entitled to Vote:</w:t>
            </w:r>
          </w:p>
        </w:tc>
        <w:tc>
          <w:tcPr>
            <w:tcW w:w="2920" w:type="dxa"/>
            <w:vAlign w:val="bottom"/>
            <w:gridSpan w:val="2"/>
          </w:tcPr>
          <w:p>
            <w:pPr>
              <w:ind w:left="280"/>
              <w:spacing w:after="0"/>
              <w:rPr>
                <w:sz w:val="20"/>
                <w:szCs w:val="20"/>
                <w:color w:val="auto"/>
              </w:rPr>
            </w:pPr>
            <w:r>
              <w:rPr>
                <w:rFonts w:ascii="Arial" w:cs="Arial" w:eastAsia="Arial" w:hAnsi="Arial"/>
                <w:sz w:val="19"/>
                <w:szCs w:val="19"/>
                <w:b w:val="1"/>
                <w:bCs w:val="1"/>
                <w:color w:val="auto"/>
              </w:rPr>
              <w:t>Committee Membership:</w:t>
            </w:r>
          </w:p>
        </w:tc>
      </w:tr>
      <w:tr>
        <w:trPr>
          <w:trHeight w:val="216"/>
        </w:trPr>
        <w:tc>
          <w:tcPr>
            <w:tcW w:w="140" w:type="dxa"/>
            <w:vAlign w:val="bottom"/>
          </w:tcPr>
          <w:p>
            <w:pPr>
              <w:spacing w:after="0" w:line="216" w:lineRule="exact"/>
              <w:rPr>
                <w:sz w:val="20"/>
                <w:szCs w:val="20"/>
                <w:color w:val="auto"/>
              </w:rPr>
            </w:pPr>
            <w:r>
              <w:rPr>
                <w:rFonts w:ascii="Arial" w:cs="Arial" w:eastAsia="Arial" w:hAnsi="Arial"/>
                <w:sz w:val="19"/>
                <w:szCs w:val="19"/>
                <w:color w:val="052666"/>
              </w:rPr>
              <w:t>•</w:t>
            </w:r>
          </w:p>
        </w:tc>
        <w:tc>
          <w:tcPr>
            <w:tcW w:w="3620" w:type="dxa"/>
            <w:vAlign w:val="bottom"/>
          </w:tcPr>
          <w:p>
            <w:pPr>
              <w:ind w:left="80"/>
              <w:spacing w:after="0" w:line="216" w:lineRule="exact"/>
              <w:rPr>
                <w:sz w:val="20"/>
                <w:szCs w:val="20"/>
                <w:color w:val="auto"/>
              </w:rPr>
            </w:pPr>
            <w:r>
              <w:rPr>
                <w:rFonts w:ascii="Arial" w:cs="Arial" w:eastAsia="Arial" w:hAnsi="Arial"/>
                <w:sz w:val="19"/>
                <w:szCs w:val="19"/>
                <w:color w:val="auto"/>
              </w:rPr>
              <w:t>A Common</w:t>
            </w: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500" w:type="dxa"/>
            <w:vAlign w:val="bottom"/>
          </w:tcPr>
          <w:p>
            <w:pPr>
              <w:ind w:left="80"/>
              <w:spacing w:after="0" w:line="216" w:lineRule="exact"/>
              <w:rPr>
                <w:sz w:val="20"/>
                <w:szCs w:val="20"/>
                <w:color w:val="auto"/>
              </w:rPr>
            </w:pPr>
            <w:r>
              <w:rPr>
                <w:rFonts w:ascii="Arial" w:cs="Arial" w:eastAsia="Arial" w:hAnsi="Arial"/>
                <w:sz w:val="19"/>
                <w:szCs w:val="19"/>
                <w:color w:val="auto"/>
              </w:rPr>
              <w:t>Audit (Chair)</w:t>
            </w:r>
          </w:p>
        </w:tc>
      </w:tr>
      <w:tr>
        <w:trPr>
          <w:trHeight w:val="216"/>
        </w:trPr>
        <w:tc>
          <w:tcPr>
            <w:tcW w:w="140" w:type="dxa"/>
            <w:vAlign w:val="bottom"/>
          </w:tcPr>
          <w:p>
            <w:pPr>
              <w:spacing w:after="0" w:line="216" w:lineRule="exact"/>
              <w:rPr>
                <w:sz w:val="20"/>
                <w:szCs w:val="20"/>
                <w:color w:val="auto"/>
              </w:rPr>
            </w:pPr>
            <w:r>
              <w:rPr>
                <w:rFonts w:ascii="Arial" w:cs="Arial" w:eastAsia="Arial" w:hAnsi="Arial"/>
                <w:sz w:val="19"/>
                <w:szCs w:val="19"/>
                <w:color w:val="052666"/>
              </w:rPr>
              <w:t>•</w:t>
            </w:r>
          </w:p>
        </w:tc>
        <w:tc>
          <w:tcPr>
            <w:tcW w:w="3620" w:type="dxa"/>
            <w:vAlign w:val="bottom"/>
          </w:tcPr>
          <w:p>
            <w:pPr>
              <w:ind w:left="80"/>
              <w:spacing w:after="0" w:line="216" w:lineRule="exact"/>
              <w:rPr>
                <w:sz w:val="20"/>
                <w:szCs w:val="20"/>
                <w:color w:val="auto"/>
              </w:rPr>
            </w:pPr>
            <w:r>
              <w:rPr>
                <w:rFonts w:ascii="Arial" w:cs="Arial" w:eastAsia="Arial" w:hAnsi="Arial"/>
                <w:sz w:val="19"/>
                <w:szCs w:val="19"/>
                <w:color w:val="auto"/>
              </w:rPr>
              <w:t>C Common</w:t>
            </w: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500" w:type="dxa"/>
            <w:vAlign w:val="bottom"/>
          </w:tcPr>
          <w:p>
            <w:pPr>
              <w:ind w:left="80"/>
              <w:spacing w:after="0" w:line="216" w:lineRule="exact"/>
              <w:rPr>
                <w:sz w:val="20"/>
                <w:szCs w:val="20"/>
                <w:color w:val="auto"/>
              </w:rPr>
            </w:pPr>
            <w:r>
              <w:rPr>
                <w:rFonts w:ascii="Arial" w:cs="Arial" w:eastAsia="Arial" w:hAnsi="Arial"/>
                <w:sz w:val="19"/>
                <w:szCs w:val="19"/>
                <w:color w:val="auto"/>
              </w:rPr>
              <w:t>Compensation (Chair)</w:t>
            </w:r>
          </w:p>
        </w:tc>
      </w:tr>
      <w:tr>
        <w:trPr>
          <w:trHeight w:val="216"/>
        </w:trPr>
        <w:tc>
          <w:tcPr>
            <w:tcW w:w="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500" w:type="dxa"/>
            <w:vAlign w:val="bottom"/>
          </w:tcPr>
          <w:p>
            <w:pPr>
              <w:ind w:left="80"/>
              <w:spacing w:after="0" w:line="216" w:lineRule="exact"/>
              <w:rPr>
                <w:sz w:val="20"/>
                <w:szCs w:val="20"/>
                <w:color w:val="auto"/>
              </w:rPr>
            </w:pPr>
            <w:r>
              <w:rPr>
                <w:rFonts w:ascii="Arial" w:cs="Arial" w:eastAsia="Arial" w:hAnsi="Arial"/>
                <w:sz w:val="19"/>
                <w:szCs w:val="19"/>
                <w:color w:val="auto"/>
                <w:w w:val="99"/>
              </w:rPr>
              <w:t>Nominating and Governance</w:t>
            </w:r>
          </w:p>
        </w:tc>
      </w:tr>
      <w:tr>
        <w:trPr>
          <w:trHeight w:val="249"/>
        </w:trPr>
        <w:tc>
          <w:tcPr>
            <w:tcW w:w="1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20" w:type="dxa"/>
            <w:vAlign w:val="bottom"/>
          </w:tcPr>
          <w:p>
            <w:pPr>
              <w:ind w:left="280"/>
              <w:spacing w:after="0"/>
              <w:rPr>
                <w:sz w:val="20"/>
                <w:szCs w:val="20"/>
                <w:color w:val="auto"/>
              </w:rPr>
            </w:pPr>
            <w:r>
              <w:rPr>
                <w:rFonts w:ascii="Arial" w:cs="Arial" w:eastAsia="Arial" w:hAnsi="Arial"/>
                <w:sz w:val="19"/>
                <w:szCs w:val="19"/>
                <w:color w:val="052666"/>
              </w:rPr>
              <w:t>•</w:t>
            </w:r>
          </w:p>
        </w:tc>
        <w:tc>
          <w:tcPr>
            <w:tcW w:w="2500" w:type="dxa"/>
            <w:vAlign w:val="bottom"/>
          </w:tcPr>
          <w:p>
            <w:pPr>
              <w:ind w:left="80"/>
              <w:spacing w:after="0"/>
              <w:rPr>
                <w:sz w:val="20"/>
                <w:szCs w:val="20"/>
                <w:color w:val="auto"/>
              </w:rPr>
            </w:pPr>
            <w:r>
              <w:rPr>
                <w:rFonts w:ascii="Arial" w:cs="Arial" w:eastAsia="Arial" w:hAnsi="Arial"/>
                <w:sz w:val="19"/>
                <w:szCs w:val="19"/>
                <w:color w:val="auto"/>
              </w:rPr>
              <w:t>Executive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-937895</wp:posOffset>
            </wp:positionV>
            <wp:extent cx="7132320" cy="13455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Business Experience</w:t>
      </w:r>
    </w:p>
    <w:p>
      <w:pPr>
        <w:spacing w:after="0" w:line="3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Ms. McDonnell previously served as Chairman and CEO of the Penn Mutual Life Insurance Company. She joined Penn Mutual in 2008 and retired as CEO in 2021, after serving in that capacity for a decade. Ms. McDonnell was appointed to The Penn Mutual Board of Trustees in 2010 and retired from its Board in March of 2026. </w:t>
      </w:r>
      <w:r>
        <w:rPr>
          <w:rFonts w:ascii="Arial" w:cs="Arial" w:eastAsia="Arial" w:hAnsi="Arial"/>
          <w:sz w:val="18"/>
          <w:szCs w:val="18"/>
          <w:color w:val="auto"/>
        </w:rPr>
        <w:t>Before joining Penn Mutual, Ms.</w:t>
      </w:r>
      <w:r>
        <w:rPr>
          <w:rFonts w:ascii="Arial" w:cs="Arial" w:eastAsia="Arial" w:hAnsi="Arial"/>
          <w:sz w:val="20"/>
          <w:szCs w:val="20"/>
          <w:color w:val="auto"/>
        </w:rPr>
        <w:t xml:space="preserve"> </w:t>
      </w:r>
      <w:r>
        <w:rPr>
          <w:rFonts w:ascii="Arial" w:cs="Arial" w:eastAsia="Arial" w:hAnsi="Arial"/>
          <w:sz w:val="18"/>
          <w:szCs w:val="18"/>
          <w:color w:val="auto"/>
        </w:rPr>
        <w:t>McDonnell founded ExecMPower, a strategic planning and executive coaching consultancy. Ms. McDonnell also served as a Director of the Insurance Federation of Pennsylvania and was a national advisor to VisionForward, an initiative of Drexel University College of Medicine Institute for Women’s Health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2440" w:space="720"/>
            <w:col w:w="8080"/>
          </w:cols>
          <w:pgMar w:left="320" w:top="773" w:right="339" w:bottom="1440" w:gutter="0" w:footer="0" w:header="0"/>
          <w:type w:val="continuous"/>
        </w:sectPr>
      </w:pPr>
    </w:p>
    <w:p>
      <w:pPr>
        <w:ind w:left="100"/>
        <w:spacing w:after="0"/>
        <w:rPr>
          <w:sz w:val="20"/>
          <w:szCs w:val="20"/>
          <w:color w:val="auto"/>
        </w:rPr>
      </w:pPr>
      <w:r>
        <w:rPr>
          <w:rFonts w:ascii="Arial" w:cs="Arial" w:eastAsia="Arial" w:hAnsi="Arial"/>
          <w:sz w:val="22"/>
          <w:szCs w:val="22"/>
          <w:b w:val="1"/>
          <w:bCs w:val="1"/>
          <w:color w:val="FFFFFF"/>
        </w:rPr>
        <w:t>Marc D. Miller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2006</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Age: </w:t>
      </w: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760" w:type="dxa"/>
            <w:vAlign w:val="bottom"/>
            <w:gridSpan w:val="2"/>
          </w:tcPr>
          <w:p>
            <w:pPr>
              <w:spacing w:after="0"/>
              <w:rPr>
                <w:sz w:val="20"/>
                <w:szCs w:val="20"/>
                <w:color w:val="auto"/>
              </w:rPr>
            </w:pPr>
            <w:r>
              <w:rPr>
                <w:rFonts w:ascii="Arial" w:cs="Arial" w:eastAsia="Arial" w:hAnsi="Arial"/>
                <w:sz w:val="19"/>
                <w:szCs w:val="19"/>
                <w:b w:val="1"/>
                <w:bCs w:val="1"/>
                <w:color w:val="auto"/>
              </w:rPr>
              <w:t>Class of Stockholders Entitled to Vote:</w:t>
            </w:r>
          </w:p>
        </w:tc>
        <w:tc>
          <w:tcPr>
            <w:tcW w:w="2480" w:type="dxa"/>
            <w:vAlign w:val="bottom"/>
            <w:gridSpan w:val="2"/>
          </w:tcPr>
          <w:p>
            <w:pPr>
              <w:ind w:left="280"/>
              <w:spacing w:after="0"/>
              <w:rPr>
                <w:sz w:val="20"/>
                <w:szCs w:val="20"/>
                <w:color w:val="auto"/>
              </w:rPr>
            </w:pPr>
            <w:r>
              <w:rPr>
                <w:rFonts w:ascii="Arial" w:cs="Arial" w:eastAsia="Arial" w:hAnsi="Arial"/>
                <w:sz w:val="19"/>
                <w:szCs w:val="19"/>
                <w:b w:val="1"/>
                <w:bCs w:val="1"/>
                <w:color w:val="auto"/>
                <w:w w:val="98"/>
              </w:rPr>
              <w:t>Committee Membership:</w:t>
            </w:r>
          </w:p>
        </w:tc>
      </w:tr>
      <w:tr>
        <w:trPr>
          <w:trHeight w:val="216"/>
        </w:trPr>
        <w:tc>
          <w:tcPr>
            <w:tcW w:w="140" w:type="dxa"/>
            <w:vAlign w:val="bottom"/>
          </w:tcPr>
          <w:p>
            <w:pPr>
              <w:spacing w:after="0" w:line="216" w:lineRule="exact"/>
              <w:rPr>
                <w:sz w:val="20"/>
                <w:szCs w:val="20"/>
                <w:color w:val="auto"/>
              </w:rPr>
            </w:pPr>
            <w:r>
              <w:rPr>
                <w:rFonts w:ascii="Arial" w:cs="Arial" w:eastAsia="Arial" w:hAnsi="Arial"/>
                <w:sz w:val="19"/>
                <w:szCs w:val="19"/>
                <w:color w:val="052666"/>
              </w:rPr>
              <w:t>•</w:t>
            </w:r>
          </w:p>
        </w:tc>
        <w:tc>
          <w:tcPr>
            <w:tcW w:w="3620" w:type="dxa"/>
            <w:vAlign w:val="bottom"/>
          </w:tcPr>
          <w:p>
            <w:pPr>
              <w:ind w:left="80"/>
              <w:spacing w:after="0" w:line="216" w:lineRule="exact"/>
              <w:rPr>
                <w:sz w:val="20"/>
                <w:szCs w:val="20"/>
                <w:color w:val="auto"/>
              </w:rPr>
            </w:pPr>
            <w:r>
              <w:rPr>
                <w:rFonts w:ascii="Arial" w:cs="Arial" w:eastAsia="Arial" w:hAnsi="Arial"/>
                <w:sz w:val="19"/>
                <w:szCs w:val="19"/>
                <w:color w:val="auto"/>
              </w:rPr>
              <w:t>A Common</w:t>
            </w: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060" w:type="dxa"/>
            <w:vAlign w:val="bottom"/>
          </w:tcPr>
          <w:p>
            <w:pPr>
              <w:ind w:left="80"/>
              <w:spacing w:after="0" w:line="216" w:lineRule="exact"/>
              <w:rPr>
                <w:sz w:val="20"/>
                <w:szCs w:val="20"/>
                <w:color w:val="auto"/>
              </w:rPr>
            </w:pPr>
            <w:r>
              <w:rPr>
                <w:rFonts w:ascii="Arial" w:cs="Arial" w:eastAsia="Arial" w:hAnsi="Arial"/>
                <w:sz w:val="19"/>
                <w:szCs w:val="19"/>
                <w:color w:val="auto"/>
              </w:rPr>
              <w:t>Executive</w:t>
            </w:r>
          </w:p>
        </w:tc>
      </w:tr>
      <w:tr>
        <w:trPr>
          <w:trHeight w:val="249"/>
        </w:trPr>
        <w:tc>
          <w:tcPr>
            <w:tcW w:w="140" w:type="dxa"/>
            <w:vAlign w:val="bottom"/>
          </w:tcPr>
          <w:p>
            <w:pPr>
              <w:spacing w:after="0"/>
              <w:rPr>
                <w:sz w:val="20"/>
                <w:szCs w:val="20"/>
                <w:color w:val="auto"/>
              </w:rPr>
            </w:pPr>
            <w:r>
              <w:rPr>
                <w:rFonts w:ascii="Arial" w:cs="Arial" w:eastAsia="Arial" w:hAnsi="Arial"/>
                <w:sz w:val="19"/>
                <w:szCs w:val="19"/>
                <w:color w:val="052666"/>
              </w:rPr>
              <w:t>•</w:t>
            </w:r>
          </w:p>
        </w:tc>
        <w:tc>
          <w:tcPr>
            <w:tcW w:w="3620" w:type="dxa"/>
            <w:vAlign w:val="bottom"/>
          </w:tcPr>
          <w:p>
            <w:pPr>
              <w:ind w:left="80"/>
              <w:spacing w:after="0"/>
              <w:rPr>
                <w:sz w:val="20"/>
                <w:szCs w:val="20"/>
                <w:color w:val="auto"/>
              </w:rPr>
            </w:pPr>
            <w:r>
              <w:rPr>
                <w:rFonts w:ascii="Arial" w:cs="Arial" w:eastAsia="Arial" w:hAnsi="Arial"/>
                <w:sz w:val="19"/>
                <w:szCs w:val="19"/>
                <w:color w:val="auto"/>
              </w:rPr>
              <w:t>C Common</w:t>
            </w:r>
          </w:p>
        </w:tc>
        <w:tc>
          <w:tcPr>
            <w:tcW w:w="420" w:type="dxa"/>
            <w:vAlign w:val="bottom"/>
          </w:tcPr>
          <w:p>
            <w:pPr>
              <w:ind w:left="280"/>
              <w:spacing w:after="0"/>
              <w:rPr>
                <w:sz w:val="20"/>
                <w:szCs w:val="20"/>
                <w:color w:val="auto"/>
              </w:rPr>
            </w:pPr>
            <w:r>
              <w:rPr>
                <w:rFonts w:ascii="Arial" w:cs="Arial" w:eastAsia="Arial" w:hAnsi="Arial"/>
                <w:sz w:val="19"/>
                <w:szCs w:val="19"/>
                <w:color w:val="052666"/>
              </w:rPr>
              <w:t>•</w:t>
            </w:r>
          </w:p>
        </w:tc>
        <w:tc>
          <w:tcPr>
            <w:tcW w:w="2060" w:type="dxa"/>
            <w:vAlign w:val="bottom"/>
          </w:tcPr>
          <w:p>
            <w:pPr>
              <w:ind w:left="80"/>
              <w:spacing w:after="0"/>
              <w:rPr>
                <w:sz w:val="20"/>
                <w:szCs w:val="20"/>
                <w:color w:val="auto"/>
              </w:rPr>
            </w:pPr>
            <w:r>
              <w:rPr>
                <w:rFonts w:ascii="Arial" w:cs="Arial" w:eastAsia="Arial" w:hAnsi="Arial"/>
                <w:sz w:val="19"/>
                <w:szCs w:val="19"/>
                <w:color w:val="auto"/>
              </w:rPr>
              <w:t>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-662940</wp:posOffset>
            </wp:positionV>
            <wp:extent cx="7132320" cy="13544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Business Experience</w:t>
      </w:r>
    </w:p>
    <w:p>
      <w:pPr>
        <w:spacing w:after="0" w:line="4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Mr. Miller was appointed as our Chief Executive Officer in January 2021 and continues to serve as President. Mr. Miller previously served as Senior Vice President and Co-Head of our Acute Care Division since 2007 and served as a Vice President since 2004. He also served in various roles in our Acute Care Division since 2003 and served in other management positions at various hospitals from 1999 to 2003. Mr. Miller currently serves as a member of the Board of Trustees of Universal Health Realty Income Trust and previously served as a member of the Board of Directors of Premier, Inc. Mr. Miller is the son of Alan B. Miller, our Executive Chairman, and former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59055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2440" w:space="720"/>
            <w:col w:w="8080"/>
          </w:cols>
          <w:pgMar w:left="320" w:top="773" w:right="339" w:bottom="1440" w:gutter="0" w:footer="0" w:header="0"/>
          <w:type w:val="continuous"/>
        </w:sectPr>
      </w:pPr>
    </w:p>
    <w:p>
      <w:pPr>
        <w:ind w:left="100"/>
        <w:spacing w:after="0"/>
        <w:rPr>
          <w:sz w:val="20"/>
          <w:szCs w:val="20"/>
          <w:color w:val="auto"/>
        </w:rPr>
      </w:pPr>
      <w:r>
        <w:rPr>
          <w:rFonts w:ascii="Arial" w:cs="Arial" w:eastAsia="Arial" w:hAnsi="Arial"/>
          <w:sz w:val="21"/>
          <w:szCs w:val="21"/>
          <w:b w:val="1"/>
          <w:bCs w:val="1"/>
          <w:color w:val="FFFFFF"/>
        </w:rPr>
        <w:t>Elliot J. Sussman,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760" w:type="dxa"/>
            <w:vAlign w:val="bottom"/>
            <w:gridSpan w:val="2"/>
          </w:tcPr>
          <w:p>
            <w:pPr>
              <w:spacing w:after="0"/>
              <w:rPr>
                <w:sz w:val="20"/>
                <w:szCs w:val="20"/>
                <w:color w:val="auto"/>
              </w:rPr>
            </w:pPr>
            <w:r>
              <w:rPr>
                <w:rFonts w:ascii="Arial" w:cs="Arial" w:eastAsia="Arial" w:hAnsi="Arial"/>
                <w:sz w:val="19"/>
                <w:szCs w:val="19"/>
                <w:b w:val="1"/>
                <w:bCs w:val="1"/>
                <w:color w:val="auto"/>
              </w:rPr>
              <w:t>Class of Stockholders Entitled to Vote:</w:t>
            </w:r>
          </w:p>
        </w:tc>
        <w:tc>
          <w:tcPr>
            <w:tcW w:w="2480" w:type="dxa"/>
            <w:vAlign w:val="bottom"/>
            <w:gridSpan w:val="2"/>
          </w:tcPr>
          <w:p>
            <w:pPr>
              <w:ind w:left="280"/>
              <w:spacing w:after="0"/>
              <w:rPr>
                <w:sz w:val="20"/>
                <w:szCs w:val="20"/>
                <w:color w:val="auto"/>
              </w:rPr>
            </w:pPr>
            <w:r>
              <w:rPr>
                <w:rFonts w:ascii="Arial" w:cs="Arial" w:eastAsia="Arial" w:hAnsi="Arial"/>
                <w:sz w:val="19"/>
                <w:szCs w:val="19"/>
                <w:b w:val="1"/>
                <w:bCs w:val="1"/>
                <w:color w:val="auto"/>
                <w:w w:val="98"/>
              </w:rPr>
              <w:t>Committee Membership:</w:t>
            </w:r>
          </w:p>
        </w:tc>
      </w:tr>
      <w:tr>
        <w:trPr>
          <w:trHeight w:val="216"/>
        </w:trPr>
        <w:tc>
          <w:tcPr>
            <w:tcW w:w="140" w:type="dxa"/>
            <w:vAlign w:val="bottom"/>
          </w:tcPr>
          <w:p>
            <w:pPr>
              <w:spacing w:after="0" w:line="216" w:lineRule="exact"/>
              <w:rPr>
                <w:sz w:val="20"/>
                <w:szCs w:val="20"/>
                <w:color w:val="auto"/>
              </w:rPr>
            </w:pPr>
            <w:r>
              <w:rPr>
                <w:rFonts w:ascii="Arial" w:cs="Arial" w:eastAsia="Arial" w:hAnsi="Arial"/>
                <w:sz w:val="19"/>
                <w:szCs w:val="19"/>
                <w:color w:val="052666"/>
              </w:rPr>
              <w:t>•</w:t>
            </w:r>
          </w:p>
        </w:tc>
        <w:tc>
          <w:tcPr>
            <w:tcW w:w="3620" w:type="dxa"/>
            <w:vAlign w:val="bottom"/>
          </w:tcPr>
          <w:p>
            <w:pPr>
              <w:ind w:left="80"/>
              <w:spacing w:after="0" w:line="216" w:lineRule="exact"/>
              <w:rPr>
                <w:sz w:val="20"/>
                <w:szCs w:val="20"/>
                <w:color w:val="auto"/>
              </w:rPr>
            </w:pPr>
            <w:r>
              <w:rPr>
                <w:rFonts w:ascii="Arial" w:cs="Arial" w:eastAsia="Arial" w:hAnsi="Arial"/>
                <w:sz w:val="19"/>
                <w:szCs w:val="19"/>
                <w:color w:val="auto"/>
              </w:rPr>
              <w:t>A Common</w:t>
            </w: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060" w:type="dxa"/>
            <w:vAlign w:val="bottom"/>
          </w:tcPr>
          <w:p>
            <w:pPr>
              <w:ind w:left="80"/>
              <w:spacing w:after="0" w:line="216" w:lineRule="exact"/>
              <w:rPr>
                <w:sz w:val="20"/>
                <w:szCs w:val="20"/>
                <w:color w:val="auto"/>
              </w:rPr>
            </w:pPr>
            <w:r>
              <w:rPr>
                <w:rFonts w:ascii="Arial" w:cs="Arial" w:eastAsia="Arial" w:hAnsi="Arial"/>
                <w:sz w:val="19"/>
                <w:szCs w:val="19"/>
                <w:color w:val="auto"/>
              </w:rPr>
              <w:t>Audit</w:t>
            </w:r>
          </w:p>
        </w:tc>
      </w:tr>
      <w:tr>
        <w:trPr>
          <w:trHeight w:val="234"/>
        </w:trPr>
        <w:tc>
          <w:tcPr>
            <w:tcW w:w="140" w:type="dxa"/>
            <w:vAlign w:val="bottom"/>
          </w:tcPr>
          <w:p>
            <w:pPr>
              <w:spacing w:after="0"/>
              <w:rPr>
                <w:sz w:val="20"/>
                <w:szCs w:val="20"/>
                <w:color w:val="auto"/>
              </w:rPr>
            </w:pPr>
            <w:r>
              <w:rPr>
                <w:rFonts w:ascii="Arial" w:cs="Arial" w:eastAsia="Arial" w:hAnsi="Arial"/>
                <w:sz w:val="19"/>
                <w:szCs w:val="19"/>
                <w:color w:val="052666"/>
              </w:rPr>
              <w:t>•</w:t>
            </w:r>
          </w:p>
        </w:tc>
        <w:tc>
          <w:tcPr>
            <w:tcW w:w="3620" w:type="dxa"/>
            <w:vAlign w:val="bottom"/>
          </w:tcPr>
          <w:p>
            <w:pPr>
              <w:ind w:left="80"/>
              <w:spacing w:after="0"/>
              <w:rPr>
                <w:sz w:val="20"/>
                <w:szCs w:val="20"/>
                <w:color w:val="auto"/>
              </w:rPr>
            </w:pPr>
            <w:r>
              <w:rPr>
                <w:rFonts w:ascii="Arial" w:cs="Arial" w:eastAsia="Arial" w:hAnsi="Arial"/>
                <w:sz w:val="19"/>
                <w:szCs w:val="19"/>
                <w:color w:val="auto"/>
              </w:rPr>
              <w:t>C Common</w:t>
            </w:r>
          </w:p>
        </w:tc>
        <w:tc>
          <w:tcPr>
            <w:tcW w:w="420" w:type="dxa"/>
            <w:vAlign w:val="bottom"/>
          </w:tcPr>
          <w:p>
            <w:pPr>
              <w:ind w:left="280"/>
              <w:spacing w:after="0"/>
              <w:rPr>
                <w:sz w:val="20"/>
                <w:szCs w:val="20"/>
                <w:color w:val="auto"/>
              </w:rPr>
            </w:pPr>
            <w:r>
              <w:rPr>
                <w:rFonts w:ascii="Arial" w:cs="Arial" w:eastAsia="Arial" w:hAnsi="Arial"/>
                <w:sz w:val="19"/>
                <w:szCs w:val="19"/>
                <w:color w:val="052666"/>
              </w:rPr>
              <w:t>•</w:t>
            </w:r>
          </w:p>
        </w:tc>
        <w:tc>
          <w:tcPr>
            <w:tcW w:w="2060" w:type="dxa"/>
            <w:vAlign w:val="bottom"/>
          </w:tcPr>
          <w:p>
            <w:pPr>
              <w:ind w:left="80"/>
              <w:spacing w:after="0"/>
              <w:rPr>
                <w:sz w:val="20"/>
                <w:szCs w:val="20"/>
                <w:color w:val="auto"/>
              </w:rPr>
            </w:pPr>
            <w:r>
              <w:rPr>
                <w:rFonts w:ascii="Arial" w:cs="Arial" w:eastAsia="Arial" w:hAnsi="Arial"/>
                <w:sz w:val="19"/>
                <w:szCs w:val="19"/>
                <w:color w:val="auto"/>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-653415</wp:posOffset>
            </wp:positionV>
            <wp:extent cx="7132320" cy="13544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ind w:left="4040"/>
        <w:spacing w:after="0"/>
        <w:tabs>
          <w:tab w:leader="none" w:pos="4240" w:val="left"/>
        </w:tabs>
        <w:rPr>
          <w:sz w:val="20"/>
          <w:szCs w:val="20"/>
          <w:color w:val="auto"/>
        </w:rPr>
      </w:pPr>
      <w:r>
        <w:rPr>
          <w:rFonts w:ascii="Arial" w:cs="Arial" w:eastAsia="Arial" w:hAnsi="Arial"/>
          <w:sz w:val="19"/>
          <w:szCs w:val="19"/>
          <w:color w:val="052666"/>
        </w:rPr>
        <w:t>•</w:t>
      </w:r>
      <w:r>
        <w:rPr>
          <w:sz w:val="20"/>
          <w:szCs w:val="20"/>
          <w:color w:val="auto"/>
        </w:rPr>
        <w:tab/>
      </w:r>
      <w:r>
        <w:rPr>
          <w:rFonts w:ascii="Arial" w:cs="Arial" w:eastAsia="Arial" w:hAnsi="Arial"/>
          <w:sz w:val="18"/>
          <w:szCs w:val="18"/>
          <w:color w:val="auto"/>
        </w:rPr>
        <w:t>Nominating and Governance (Chair)</w:t>
      </w:r>
    </w:p>
    <w:p>
      <w:pPr>
        <w:ind w:left="4040"/>
        <w:spacing w:after="0"/>
        <w:tabs>
          <w:tab w:leader="none" w:pos="4240" w:val="left"/>
        </w:tabs>
        <w:rPr>
          <w:sz w:val="20"/>
          <w:szCs w:val="20"/>
          <w:color w:val="auto"/>
        </w:rPr>
      </w:pPr>
      <w:r>
        <w:rPr>
          <w:rFonts w:ascii="Arial" w:cs="Arial" w:eastAsia="Arial" w:hAnsi="Arial"/>
          <w:sz w:val="19"/>
          <w:szCs w:val="19"/>
          <w:color w:val="052666"/>
        </w:rPr>
        <w:t>•</w:t>
      </w:r>
      <w:r>
        <w:rPr>
          <w:sz w:val="20"/>
          <w:szCs w:val="20"/>
          <w:color w:val="auto"/>
        </w:rPr>
        <w:tab/>
      </w:r>
      <w:r>
        <w:rPr>
          <w:rFonts w:ascii="Arial" w:cs="Arial" w:eastAsia="Arial" w:hAnsi="Arial"/>
          <w:sz w:val="18"/>
          <w:szCs w:val="18"/>
          <w:color w:val="auto"/>
        </w:rPr>
        <w:t>Quality and Compliance (Chair)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Business Experience</w:t>
      </w:r>
    </w:p>
    <w:p>
      <w:pPr>
        <w:spacing w:after="0" w:line="4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Dr. Sussman previously served as Founder and Chairman of The Villages Health from 2012 to 2026, and previously served as President and Chief Executive Officer of Lehigh Valley Hospital and Health Network from 1993 to 2010. He was a member of the Board of Directors of Yale New Haven Health System from 2011 to 2023. Dr. Sussman previously chaired the boards of the Council of Teaching Hospitals and of the Association of American Medical Colleges.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201930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56515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700"/>
            <w:col w:w="8080"/>
          </w:cols>
          <w:pgMar w:left="320" w:top="773" w:right="339" w:bottom="1440" w:gutter="0" w:footer="0" w:header="0"/>
          <w:type w:val="continuous"/>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000052"/>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Directors whose Terms Expire in 2028</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II Directors</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Warren J. Nimetz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3455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90" w:lineRule="exact"/>
        <w:rPr>
          <w:sz w:val="20"/>
          <w:szCs w:val="20"/>
          <w:color w:val="auto"/>
        </w:rPr>
      </w:pPr>
    </w:p>
    <w:tbl>
      <w:tblPr>
        <w:tblLayout w:type="fixed"/>
        <w:tblInd w:w="3160" w:type="dxa"/>
        <w:tblCellMar>
          <w:top w:w="0" w:type="dxa"/>
          <w:left w:w="0" w:type="dxa"/>
          <w:bottom w:w="0" w:type="dxa"/>
          <w:right w:w="0" w:type="dxa"/>
        </w:tblCellMar>
      </w:tblPr>
      <w:tr>
        <w:trPr>
          <w:trHeight w:val="218"/>
        </w:trPr>
        <w:tc>
          <w:tcPr>
            <w:tcW w:w="3760" w:type="dxa"/>
            <w:vAlign w:val="bottom"/>
            <w:gridSpan w:val="2"/>
          </w:tcPr>
          <w:p>
            <w:pPr>
              <w:spacing w:after="0"/>
              <w:rPr>
                <w:sz w:val="20"/>
                <w:szCs w:val="20"/>
                <w:color w:val="auto"/>
              </w:rPr>
            </w:pPr>
            <w:r>
              <w:rPr>
                <w:rFonts w:ascii="Arial" w:cs="Arial" w:eastAsia="Arial" w:hAnsi="Arial"/>
                <w:sz w:val="19"/>
                <w:szCs w:val="19"/>
                <w:b w:val="1"/>
                <w:bCs w:val="1"/>
                <w:color w:val="auto"/>
              </w:rPr>
              <w:t>Class of Stockholders Entitled to Vote:</w:t>
            </w:r>
          </w:p>
        </w:tc>
        <w:tc>
          <w:tcPr>
            <w:tcW w:w="2480" w:type="dxa"/>
            <w:vAlign w:val="bottom"/>
            <w:gridSpan w:val="2"/>
          </w:tcPr>
          <w:p>
            <w:pPr>
              <w:ind w:left="280"/>
              <w:spacing w:after="0"/>
              <w:rPr>
                <w:sz w:val="20"/>
                <w:szCs w:val="20"/>
                <w:color w:val="auto"/>
              </w:rPr>
            </w:pPr>
            <w:r>
              <w:rPr>
                <w:rFonts w:ascii="Arial" w:cs="Arial" w:eastAsia="Arial" w:hAnsi="Arial"/>
                <w:sz w:val="19"/>
                <w:szCs w:val="19"/>
                <w:b w:val="1"/>
                <w:bCs w:val="1"/>
                <w:color w:val="auto"/>
                <w:w w:val="98"/>
              </w:rPr>
              <w:t>Committee Membership:</w:t>
            </w:r>
          </w:p>
        </w:tc>
      </w:tr>
      <w:tr>
        <w:trPr>
          <w:trHeight w:val="216"/>
        </w:trPr>
        <w:tc>
          <w:tcPr>
            <w:tcW w:w="140" w:type="dxa"/>
            <w:vAlign w:val="bottom"/>
          </w:tcPr>
          <w:p>
            <w:pPr>
              <w:spacing w:after="0" w:line="216" w:lineRule="exact"/>
              <w:rPr>
                <w:sz w:val="20"/>
                <w:szCs w:val="20"/>
                <w:color w:val="auto"/>
              </w:rPr>
            </w:pPr>
            <w:r>
              <w:rPr>
                <w:rFonts w:ascii="Arial" w:cs="Arial" w:eastAsia="Arial" w:hAnsi="Arial"/>
                <w:sz w:val="19"/>
                <w:szCs w:val="19"/>
                <w:color w:val="052666"/>
              </w:rPr>
              <w:t>•</w:t>
            </w:r>
          </w:p>
        </w:tc>
        <w:tc>
          <w:tcPr>
            <w:tcW w:w="3620" w:type="dxa"/>
            <w:vAlign w:val="bottom"/>
          </w:tcPr>
          <w:p>
            <w:pPr>
              <w:ind w:left="80"/>
              <w:spacing w:after="0" w:line="216" w:lineRule="exact"/>
              <w:rPr>
                <w:sz w:val="20"/>
                <w:szCs w:val="20"/>
                <w:color w:val="auto"/>
              </w:rPr>
            </w:pPr>
            <w:r>
              <w:rPr>
                <w:rFonts w:ascii="Arial" w:cs="Arial" w:eastAsia="Arial" w:hAnsi="Arial"/>
                <w:sz w:val="19"/>
                <w:szCs w:val="19"/>
                <w:color w:val="auto"/>
              </w:rPr>
              <w:t>A Common</w:t>
            </w: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060" w:type="dxa"/>
            <w:vAlign w:val="bottom"/>
          </w:tcPr>
          <w:p>
            <w:pPr>
              <w:ind w:left="80"/>
              <w:spacing w:after="0" w:line="216" w:lineRule="exact"/>
              <w:rPr>
                <w:sz w:val="20"/>
                <w:szCs w:val="20"/>
                <w:color w:val="auto"/>
              </w:rPr>
            </w:pPr>
            <w:r>
              <w:rPr>
                <w:rFonts w:ascii="Arial" w:cs="Arial" w:eastAsia="Arial" w:hAnsi="Arial"/>
                <w:sz w:val="19"/>
                <w:szCs w:val="19"/>
                <w:color w:val="auto"/>
              </w:rPr>
              <w:t>Executive</w:t>
            </w:r>
          </w:p>
        </w:tc>
      </w:tr>
      <w:tr>
        <w:trPr>
          <w:trHeight w:val="249"/>
        </w:trPr>
        <w:tc>
          <w:tcPr>
            <w:tcW w:w="140" w:type="dxa"/>
            <w:vAlign w:val="bottom"/>
          </w:tcPr>
          <w:p>
            <w:pPr>
              <w:spacing w:after="0"/>
              <w:rPr>
                <w:sz w:val="20"/>
                <w:szCs w:val="20"/>
                <w:color w:val="auto"/>
              </w:rPr>
            </w:pPr>
            <w:r>
              <w:rPr>
                <w:rFonts w:ascii="Arial" w:cs="Arial" w:eastAsia="Arial" w:hAnsi="Arial"/>
                <w:sz w:val="19"/>
                <w:szCs w:val="19"/>
                <w:color w:val="052666"/>
              </w:rPr>
              <w:t>•</w:t>
            </w:r>
          </w:p>
        </w:tc>
        <w:tc>
          <w:tcPr>
            <w:tcW w:w="3620" w:type="dxa"/>
            <w:vAlign w:val="bottom"/>
          </w:tcPr>
          <w:p>
            <w:pPr>
              <w:ind w:left="80"/>
              <w:spacing w:after="0"/>
              <w:rPr>
                <w:sz w:val="20"/>
                <w:szCs w:val="20"/>
                <w:color w:val="auto"/>
              </w:rPr>
            </w:pPr>
            <w:r>
              <w:rPr>
                <w:rFonts w:ascii="Arial" w:cs="Arial" w:eastAsia="Arial" w:hAnsi="Arial"/>
                <w:sz w:val="19"/>
                <w:szCs w:val="19"/>
                <w:color w:val="auto"/>
              </w:rPr>
              <w:t>C Common</w:t>
            </w:r>
          </w:p>
        </w:tc>
        <w:tc>
          <w:tcPr>
            <w:tcW w:w="420" w:type="dxa"/>
            <w:vAlign w:val="bottom"/>
          </w:tcPr>
          <w:p>
            <w:pPr>
              <w:ind w:left="280"/>
              <w:spacing w:after="0"/>
              <w:rPr>
                <w:sz w:val="20"/>
                <w:szCs w:val="20"/>
                <w:color w:val="auto"/>
              </w:rPr>
            </w:pPr>
            <w:r>
              <w:rPr>
                <w:rFonts w:ascii="Arial" w:cs="Arial" w:eastAsia="Arial" w:hAnsi="Arial"/>
                <w:sz w:val="19"/>
                <w:szCs w:val="19"/>
                <w:color w:val="052666"/>
              </w:rPr>
              <w:t>•</w:t>
            </w:r>
          </w:p>
        </w:tc>
        <w:tc>
          <w:tcPr>
            <w:tcW w:w="2060" w:type="dxa"/>
            <w:vAlign w:val="bottom"/>
          </w:tcPr>
          <w:p>
            <w:pPr>
              <w:ind w:left="80"/>
              <w:spacing w:after="0"/>
              <w:rPr>
                <w:sz w:val="20"/>
                <w:szCs w:val="20"/>
                <w:color w:val="auto"/>
              </w:rPr>
            </w:pPr>
            <w:r>
              <w:rPr>
                <w:rFonts w:ascii="Arial" w:cs="Arial" w:eastAsia="Arial" w:hAnsi="Arial"/>
                <w:sz w:val="19"/>
                <w:szCs w:val="19"/>
                <w:color w:val="auto"/>
              </w:rPr>
              <w:t>Finance</w:t>
            </w:r>
          </w:p>
        </w:tc>
      </w:tr>
    </w:tbl>
    <w:p>
      <w:pPr>
        <w:spacing w:after="0" w:line="264" w:lineRule="exact"/>
        <w:rPr>
          <w:sz w:val="20"/>
          <w:szCs w:val="20"/>
          <w:color w:val="auto"/>
        </w:rPr>
      </w:pPr>
    </w:p>
    <w:p>
      <w:pPr>
        <w:ind w:left="3200"/>
        <w:spacing w:after="0"/>
        <w:rPr>
          <w:sz w:val="20"/>
          <w:szCs w:val="20"/>
          <w:color w:val="auto"/>
        </w:rPr>
      </w:pPr>
      <w:r>
        <w:rPr>
          <w:rFonts w:ascii="Arial" w:cs="Arial" w:eastAsia="Arial" w:hAnsi="Arial"/>
          <w:sz w:val="19"/>
          <w:szCs w:val="19"/>
          <w:b w:val="1"/>
          <w:bCs w:val="1"/>
          <w:color w:val="auto"/>
        </w:rPr>
        <w:t>Business Experience</w:t>
      </w:r>
    </w:p>
    <w:p>
      <w:pPr>
        <w:spacing w:after="0" w:line="41" w:lineRule="exact"/>
        <w:rPr>
          <w:sz w:val="20"/>
          <w:szCs w:val="20"/>
          <w:color w:val="auto"/>
        </w:rPr>
      </w:pPr>
    </w:p>
    <w:p>
      <w:pPr>
        <w:jc w:val="both"/>
        <w:ind w:left="3160"/>
        <w:spacing w:after="0" w:line="243" w:lineRule="auto"/>
        <w:rPr>
          <w:sz w:val="20"/>
          <w:szCs w:val="20"/>
          <w:color w:val="auto"/>
        </w:rPr>
      </w:pPr>
      <w:r>
        <w:rPr>
          <w:rFonts w:ascii="Arial" w:cs="Arial" w:eastAsia="Arial" w:hAnsi="Arial"/>
          <w:sz w:val="19"/>
          <w:szCs w:val="19"/>
          <w:color w:val="auto"/>
        </w:rPr>
        <w:t>Mr. Nimetz is currently Of Counsel and was a Partner at the law firm of Norton Rose Fulbright US LLP since 1987. We utilized during the year ended December 31, 2025, and currently utilize, the services of Norton Rose Fulbright US LLP as outside counsel.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2018</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Age: </w:t>
      </w: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10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Maria R. Singer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Age: </w:t>
      </w: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760" w:type="dxa"/>
            <w:vAlign w:val="bottom"/>
            <w:gridSpan w:val="2"/>
          </w:tcPr>
          <w:p>
            <w:pPr>
              <w:spacing w:after="0"/>
              <w:rPr>
                <w:sz w:val="20"/>
                <w:szCs w:val="20"/>
                <w:color w:val="auto"/>
              </w:rPr>
            </w:pPr>
            <w:r>
              <w:rPr>
                <w:rFonts w:ascii="Arial" w:cs="Arial" w:eastAsia="Arial" w:hAnsi="Arial"/>
                <w:sz w:val="19"/>
                <w:szCs w:val="19"/>
                <w:b w:val="1"/>
                <w:bCs w:val="1"/>
                <w:color w:val="auto"/>
              </w:rPr>
              <w:t>Class of Stockholders Entitled to Vote:</w:t>
            </w:r>
          </w:p>
        </w:tc>
        <w:tc>
          <w:tcPr>
            <w:tcW w:w="2920" w:type="dxa"/>
            <w:vAlign w:val="bottom"/>
            <w:gridSpan w:val="2"/>
          </w:tcPr>
          <w:p>
            <w:pPr>
              <w:ind w:left="280"/>
              <w:spacing w:after="0"/>
              <w:rPr>
                <w:sz w:val="20"/>
                <w:szCs w:val="20"/>
                <w:color w:val="auto"/>
              </w:rPr>
            </w:pPr>
            <w:r>
              <w:rPr>
                <w:rFonts w:ascii="Arial" w:cs="Arial" w:eastAsia="Arial" w:hAnsi="Arial"/>
                <w:sz w:val="19"/>
                <w:szCs w:val="19"/>
                <w:b w:val="1"/>
                <w:bCs w:val="1"/>
                <w:color w:val="auto"/>
              </w:rPr>
              <w:t>Committee Membership:</w:t>
            </w:r>
          </w:p>
        </w:tc>
      </w:tr>
      <w:tr>
        <w:trPr>
          <w:trHeight w:val="216"/>
        </w:trPr>
        <w:tc>
          <w:tcPr>
            <w:tcW w:w="140" w:type="dxa"/>
            <w:vAlign w:val="bottom"/>
          </w:tcPr>
          <w:p>
            <w:pPr>
              <w:spacing w:after="0" w:line="216" w:lineRule="exact"/>
              <w:rPr>
                <w:sz w:val="20"/>
                <w:szCs w:val="20"/>
                <w:color w:val="auto"/>
              </w:rPr>
            </w:pPr>
            <w:r>
              <w:rPr>
                <w:rFonts w:ascii="Arial" w:cs="Arial" w:eastAsia="Arial" w:hAnsi="Arial"/>
                <w:sz w:val="19"/>
                <w:szCs w:val="19"/>
                <w:color w:val="052666"/>
              </w:rPr>
              <w:t>•</w:t>
            </w:r>
          </w:p>
        </w:tc>
        <w:tc>
          <w:tcPr>
            <w:tcW w:w="3620" w:type="dxa"/>
            <w:vAlign w:val="bottom"/>
          </w:tcPr>
          <w:p>
            <w:pPr>
              <w:ind w:left="80"/>
              <w:spacing w:after="0" w:line="216" w:lineRule="exact"/>
              <w:rPr>
                <w:sz w:val="20"/>
                <w:szCs w:val="20"/>
                <w:color w:val="auto"/>
              </w:rPr>
            </w:pPr>
            <w:r>
              <w:rPr>
                <w:rFonts w:ascii="Arial" w:cs="Arial" w:eastAsia="Arial" w:hAnsi="Arial"/>
                <w:sz w:val="19"/>
                <w:szCs w:val="19"/>
                <w:color w:val="auto"/>
              </w:rPr>
              <w:t>B Common</w:t>
            </w: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500" w:type="dxa"/>
            <w:vAlign w:val="bottom"/>
          </w:tcPr>
          <w:p>
            <w:pPr>
              <w:ind w:left="80"/>
              <w:spacing w:after="0" w:line="216" w:lineRule="exact"/>
              <w:rPr>
                <w:sz w:val="20"/>
                <w:szCs w:val="20"/>
                <w:color w:val="auto"/>
              </w:rPr>
            </w:pPr>
            <w:r>
              <w:rPr>
                <w:rFonts w:ascii="Arial" w:cs="Arial" w:eastAsia="Arial" w:hAnsi="Arial"/>
                <w:sz w:val="19"/>
                <w:szCs w:val="19"/>
                <w:color w:val="auto"/>
              </w:rPr>
              <w:t>Audit</w:t>
            </w:r>
          </w:p>
        </w:tc>
      </w:tr>
      <w:tr>
        <w:trPr>
          <w:trHeight w:val="216"/>
        </w:trPr>
        <w:tc>
          <w:tcPr>
            <w:tcW w:w="140" w:type="dxa"/>
            <w:vAlign w:val="bottom"/>
          </w:tcPr>
          <w:p>
            <w:pPr>
              <w:spacing w:after="0" w:line="216" w:lineRule="exact"/>
              <w:rPr>
                <w:sz w:val="20"/>
                <w:szCs w:val="20"/>
                <w:color w:val="auto"/>
              </w:rPr>
            </w:pPr>
            <w:r>
              <w:rPr>
                <w:rFonts w:ascii="Arial" w:cs="Arial" w:eastAsia="Arial" w:hAnsi="Arial"/>
                <w:sz w:val="19"/>
                <w:szCs w:val="19"/>
                <w:color w:val="052666"/>
              </w:rPr>
              <w:t>•</w:t>
            </w:r>
          </w:p>
        </w:tc>
        <w:tc>
          <w:tcPr>
            <w:tcW w:w="3620" w:type="dxa"/>
            <w:vAlign w:val="bottom"/>
          </w:tcPr>
          <w:p>
            <w:pPr>
              <w:ind w:left="80"/>
              <w:spacing w:after="0" w:line="216" w:lineRule="exact"/>
              <w:rPr>
                <w:sz w:val="20"/>
                <w:szCs w:val="20"/>
                <w:color w:val="auto"/>
              </w:rPr>
            </w:pPr>
            <w:r>
              <w:rPr>
                <w:rFonts w:ascii="Arial" w:cs="Arial" w:eastAsia="Arial" w:hAnsi="Arial"/>
                <w:sz w:val="19"/>
                <w:szCs w:val="19"/>
                <w:color w:val="auto"/>
              </w:rPr>
              <w:t>D Common</w:t>
            </w: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500" w:type="dxa"/>
            <w:vAlign w:val="bottom"/>
          </w:tcPr>
          <w:p>
            <w:pPr>
              <w:ind w:left="80"/>
              <w:spacing w:after="0" w:line="216" w:lineRule="exact"/>
              <w:rPr>
                <w:sz w:val="20"/>
                <w:szCs w:val="20"/>
                <w:color w:val="auto"/>
              </w:rPr>
            </w:pPr>
            <w:r>
              <w:rPr>
                <w:rFonts w:ascii="Arial" w:cs="Arial" w:eastAsia="Arial" w:hAnsi="Arial"/>
                <w:sz w:val="19"/>
                <w:szCs w:val="19"/>
                <w:color w:val="auto"/>
              </w:rPr>
              <w:t>Finance</w:t>
            </w:r>
          </w:p>
        </w:tc>
      </w:tr>
      <w:tr>
        <w:trPr>
          <w:trHeight w:val="216"/>
        </w:trPr>
        <w:tc>
          <w:tcPr>
            <w:tcW w:w="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0" w:type="dxa"/>
            <w:vAlign w:val="bottom"/>
          </w:tcPr>
          <w:p>
            <w:pPr>
              <w:ind w:left="280"/>
              <w:spacing w:after="0" w:line="216" w:lineRule="exact"/>
              <w:rPr>
                <w:sz w:val="20"/>
                <w:szCs w:val="20"/>
                <w:color w:val="auto"/>
              </w:rPr>
            </w:pPr>
            <w:r>
              <w:rPr>
                <w:rFonts w:ascii="Arial" w:cs="Arial" w:eastAsia="Arial" w:hAnsi="Arial"/>
                <w:sz w:val="19"/>
                <w:szCs w:val="19"/>
                <w:color w:val="052666"/>
              </w:rPr>
              <w:t>•</w:t>
            </w:r>
          </w:p>
        </w:tc>
        <w:tc>
          <w:tcPr>
            <w:tcW w:w="2500" w:type="dxa"/>
            <w:vAlign w:val="bottom"/>
          </w:tcPr>
          <w:p>
            <w:pPr>
              <w:ind w:left="80"/>
              <w:spacing w:after="0" w:line="216" w:lineRule="exact"/>
              <w:rPr>
                <w:sz w:val="20"/>
                <w:szCs w:val="20"/>
                <w:color w:val="auto"/>
              </w:rPr>
            </w:pPr>
            <w:r>
              <w:rPr>
                <w:rFonts w:ascii="Arial" w:cs="Arial" w:eastAsia="Arial" w:hAnsi="Arial"/>
                <w:sz w:val="19"/>
                <w:szCs w:val="19"/>
                <w:color w:val="auto"/>
                <w:w w:val="99"/>
              </w:rPr>
              <w:t>Nominating and Governance</w:t>
            </w:r>
          </w:p>
        </w:tc>
      </w:tr>
      <w:tr>
        <w:trPr>
          <w:trHeight w:val="249"/>
        </w:trPr>
        <w:tc>
          <w:tcPr>
            <w:tcW w:w="1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20" w:type="dxa"/>
            <w:vAlign w:val="bottom"/>
          </w:tcPr>
          <w:p>
            <w:pPr>
              <w:ind w:left="280"/>
              <w:spacing w:after="0"/>
              <w:rPr>
                <w:sz w:val="20"/>
                <w:szCs w:val="20"/>
                <w:color w:val="auto"/>
              </w:rPr>
            </w:pPr>
            <w:r>
              <w:rPr>
                <w:rFonts w:ascii="Arial" w:cs="Arial" w:eastAsia="Arial" w:hAnsi="Arial"/>
                <w:sz w:val="19"/>
                <w:szCs w:val="19"/>
                <w:color w:val="052666"/>
              </w:rPr>
              <w:t>•</w:t>
            </w:r>
          </w:p>
        </w:tc>
        <w:tc>
          <w:tcPr>
            <w:tcW w:w="2500" w:type="dxa"/>
            <w:vAlign w:val="bottom"/>
          </w:tcPr>
          <w:p>
            <w:pPr>
              <w:ind w:left="80"/>
              <w:spacing w:after="0"/>
              <w:rPr>
                <w:sz w:val="20"/>
                <w:szCs w:val="20"/>
                <w:color w:val="auto"/>
              </w:rPr>
            </w:pPr>
            <w:r>
              <w:rPr>
                <w:rFonts w:ascii="Arial" w:cs="Arial" w:eastAsia="Arial" w:hAnsi="Arial"/>
                <w:sz w:val="19"/>
                <w:szCs w:val="19"/>
                <w:color w:val="auto"/>
              </w:rPr>
              <w:t>Quality and Compliance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-937895</wp:posOffset>
            </wp:positionV>
            <wp:extent cx="7132320" cy="13455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Business Experience</w:t>
      </w:r>
    </w:p>
    <w:p>
      <w:pPr>
        <w:spacing w:after="0" w:line="4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Ms. Singer is Chief Operating Officer, Corporate Finance at Houlihan Lokey. She previously served as Managing Director and COO of Blackstone Advisory Partners from 2008-2015. She served in various roles at Lehman Brothers, Inc. from 2002-2008, including Senior Vice President, Office of the Chairman and Senior Vice President, Debt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90170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720"/>
            <w:col w:w="8080"/>
          </w:cols>
          <w:pgMar w:left="320" w:top="773"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See the “Corporate Governance” section for additional information about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052666"/>
        </w:rPr>
        <w:t>THE BOARD OF DIRECTORS RECOMMENDS A VOTE “</w:t>
      </w:r>
      <w:r>
        <w:rPr>
          <w:rFonts w:ascii="Arial" w:cs="Arial" w:eastAsia="Arial" w:hAnsi="Arial"/>
          <w:sz w:val="20"/>
          <w:szCs w:val="20"/>
          <w:b w:val="1"/>
          <w:bCs w:val="1"/>
          <w:color w:val="052666"/>
        </w:rPr>
        <w:t>FOR</w:t>
      </w:r>
      <w:r>
        <w:rPr>
          <w:rFonts w:ascii="Arial" w:cs="Arial" w:eastAsia="Arial" w:hAnsi="Arial"/>
          <w:sz w:val="20"/>
          <w:szCs w:val="20"/>
          <w:color w:val="052666"/>
        </w:rPr>
        <w:t>” THE ELECTION OF THESE</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052666"/>
        </w:rPr>
        <w:t>NOMINEES AS DIRECTORS.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Vote Required</w:t>
      </w:r>
    </w:p>
    <w:p>
      <w:pPr>
        <w:spacing w:after="0" w:line="22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One Class III director will be elected by the highest number of affirmative votes of the shares of Class A and Class C Common Stock, voting together as a single class, present in person or represented by proxy and entitled to vote, and one Class III director will be elected by the highest number of affirmative votes of the shares of Class B and Class D Common Stock, voting together as a single class, present in person or represented by proxy and entitled to vote. Withheld votes and broker non-votes will not affect the outcome of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40"/>
          <w:szCs w:val="40"/>
          <w:b w:val="1"/>
          <w:bCs w:val="1"/>
          <w:color w:val="052666"/>
        </w:rPr>
        <w:t>PROPOSAL NO. 2</w:t>
      </w:r>
    </w:p>
    <w:p>
      <w:pPr>
        <w:spacing w:after="0" w:line="39" w:lineRule="exact"/>
        <w:rPr>
          <w:sz w:val="20"/>
          <w:szCs w:val="20"/>
          <w:color w:val="auto"/>
        </w:rPr>
      </w:pPr>
    </w:p>
    <w:p>
      <w:pPr>
        <w:ind w:right="1500"/>
        <w:spacing w:after="0" w:line="263" w:lineRule="auto"/>
        <w:rPr>
          <w:sz w:val="20"/>
          <w:szCs w:val="20"/>
          <w:color w:val="auto"/>
        </w:rPr>
      </w:pPr>
      <w:r>
        <w:rPr>
          <w:rFonts w:ascii="Arial" w:cs="Arial" w:eastAsia="Arial" w:hAnsi="Arial"/>
          <w:sz w:val="40"/>
          <w:szCs w:val="40"/>
          <w:b w:val="1"/>
          <w:bCs w:val="1"/>
          <w:color w:val="052666"/>
        </w:rPr>
        <w:t>ADVISORY VOTE ON NAMED EXECUTIVE OFFICER COMPENSATION</w:t>
      </w:r>
    </w:p>
    <w:p>
      <w:pPr>
        <w:spacing w:after="0" w:line="9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As previously disclosed by us, in 2022 as a result of shareholder feedback, our Compensation Committee of the Board of Directors (the “Compensation Committee”) approved changes to various elements of compensation for our Chief Executive Officer (“CEO”) and certain of our other named executive officers (“NEOs”). In 2022, after reviewing market data prepared by Frederic W. Cook &amp; Co., Inc. ("FW Cook"), our third-party executive compensation consultant, the Compensation Committee determined that the target pay mix for our CEO and certain of our other NEOs could be more closely aligned with the comparable target pay mix at our peer group companies.</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Due to the differences between our target pay mix and that of our peer group, in 2022, our Compensation Committee determined that decreases in the weighting of LTI, and accompanying increases in cash incentive pay mix, were warranted for our CEO and certain of our other NEOs. Adjustments to base salaries were also warranted to further align the elements of our executive compensation to the pay mix of our peer group companies. At the time of implementation, there were no significant changes to the target total direct compensation ("TDC") for our CEO and other NEOs since these changes consisted of shifts in the mix of pay, not TDC amounts. In addition, commencing in March, 2022, each NEO began receiving their stock-based compensation as fixed dollar awards rather than awards that were denominated in a fixed number of shares.</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Subsequent changes were also implemented in connection with the form of stock-based compensation awards made to our CEO and other NEOs to further align with peer group long-term incentive mix. To that end, commencing in 2024, our CEO and NEOs each received their annual target stock-based compensation awards in the form of time-based restricted stock units ("RSUs") at grant date market value, vesting over a four year period, and in the form of performance-based RSUs earned based upon the achievement of the three-year growth in our adjusted earnings before interest, taxes, depreciation and amortization and the impacts of other income/expense ("Adjusted EBITDA net of NCI"), as compared to a target range of pre-established thresholds. Previously, our CEO and other NEOs received their stock-based compensation awards in the form of stock options and performance-based RSUs. Also commencing in 2024, all other employees began receiving their stock-based compensation as fixed dollar awards rather than awards that were denominated in a fixed number of shares. Such stock-based compensation was awarded in the form of time-based RSUs rather than a blend of stock options and time-based RSUs.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believe the changes to the elements of compensation for each of our NEOs, as outlined above, continue to preserve significant reliance on at-risk, performance-based compensation for our CEO and other NEOs. In 2025, our CEO and our other NEOs received approximately 70% of target TDC in the form of long-term incentives.</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 xml:space="preserve">Please see additional disclosure below in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including disclosure related to certain changes made in connection with the performance-based RSUs awarded in March, 2026</w:t>
      </w:r>
      <w:r>
        <w:rPr>
          <w:rFonts w:ascii="Arial" w:cs="Arial" w:eastAsia="Arial" w:hAnsi="Arial"/>
          <w:sz w:val="20"/>
          <w:szCs w:val="20"/>
          <w:i w:val="1"/>
          <w:iCs w:val="1"/>
          <w:color w:val="auto"/>
        </w:rPr>
        <w:t>.</w:t>
      </w:r>
    </w:p>
    <w:p>
      <w:pPr>
        <w:spacing w:after="0" w:line="15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Pursuant to Section 14A of the Exchange Act and rules of the Securities and Exchange Commission, we are asking you to approve, on an advisory (non-binding) basis, the compensation paid to our named executive officers as disclosed in the Compensation Discussion and Analysis below, the compensation tables below, and any related narrative discussion contained in this Proxy Statement. This proposal, commonly known as a “say-on-pay” proposal, gives stockholders the opportunity to express their views on the compensation paid to our named executive officers. This vote is not intended to address any specific item of compensation, but rather the overall compensation of our named executive officers and the philosophy, policies and practices described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000052"/>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color w:val="auto"/>
        </w:rPr>
        <w:t>this Proxy Statement. Accordingly, we are asking the stockholders to vote “FOR” the following resolution at the Annual Meeting:</w:t>
      </w:r>
    </w:p>
    <w:p>
      <w:pPr>
        <w:spacing w:after="0" w:line="21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“RESOLVED, that the Company’s stockholders approve, on an advisory basis, the compensation paid to the Company’s named executive officers, as disclosed in the Company’s proxy statement for the 2026 Annual Meeting of Stockholders, pursuant to Item 402 of Regulation S-K, including the Compensation Discussion and Analysis, compensation tables and narrative discussion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780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78041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052666"/>
        </w:rPr>
        <w:t>THE BOARD RECOMMENDS STOCKHOLDERS VOTE FOR THE APPROVAL OF THE COMPENSATION PAID TO THE</w:t>
      </w:r>
    </w:p>
    <w:p>
      <w:pPr>
        <w:spacing w:after="0" w:line="4" w:lineRule="exact"/>
        <w:rPr>
          <w:sz w:val="20"/>
          <w:szCs w:val="20"/>
          <w:color w:val="auto"/>
        </w:rPr>
      </w:pPr>
    </w:p>
    <w:p>
      <w:pPr>
        <w:jc w:val="center"/>
        <w:ind w:right="60"/>
        <w:spacing w:after="0" w:line="234" w:lineRule="auto"/>
        <w:rPr>
          <w:sz w:val="20"/>
          <w:szCs w:val="20"/>
          <w:color w:val="auto"/>
        </w:rPr>
      </w:pPr>
      <w:r>
        <w:rPr>
          <w:rFonts w:ascii="Arial" w:cs="Arial" w:eastAsia="Arial" w:hAnsi="Arial"/>
          <w:sz w:val="20"/>
          <w:szCs w:val="20"/>
          <w:color w:val="052666"/>
        </w:rPr>
        <w:t>COMPANY’S NAMED EXECUTIVE OFFICERS, AS DISCLOSED PURSUANT TO ITEM 402 OF REGULATION S-K, INCLUDING THE COMPENSATION DISCUSSION AND ANALYSIS, COMPENSATION TABLES AND NARRATIVE DISCUSSION CONTAINED IN THIS PROXY STATEMENT.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Vote Required</w:t>
      </w:r>
    </w:p>
    <w:p>
      <w:pPr>
        <w:spacing w:after="0" w:line="33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affirmative vote of a majority of the votes cast by holders of Class A, B, C and D Common Stock present in person or represented by proxy and entitled to vote on the matter is required for the approval of this proposal.</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If you are a stockholder of record and you do not sign and return your Proxy card or vote by telephone or internet, your shares will not be voted at the Annual Meeting. Under the New York Stock Exchange rules, this proposal is not a routine matter and broker non-votes may occur with respect to this proposal. If your shares are held in street name and you do not issue instructions to your broker, your broker or nominee may not vote your shares on these matters without receiving instructions.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Broker non-votes with respect to this matter will be treated as neither a vote “for” nor a vote “against” the matter, although they will be counted in determining the number of votes required to attain a majority of the voting power of the outstanding shares present or represented at the meeting and entitled to vote. An abstention from voting by a stockholder present in person or by proxy at the meeting has no effect on the outcome of the vote because an abstention does not count as a vote cast.</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“say-on-pay” vote is advisory and will not be binding upon the Company, the Board of Directors or the Compensation Committee. However, the Compensation Committee will take into account the outcome of the vote when considering future named executive officer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rPr>
          <w:sz w:val="20"/>
          <w:szCs w:val="20"/>
          <w:color w:val="auto"/>
        </w:rPr>
      </w:pPr>
      <w:r>
        <w:rPr>
          <w:rFonts w:ascii="Arial" w:cs="Arial" w:eastAsia="Arial" w:hAnsi="Arial"/>
          <w:sz w:val="40"/>
          <w:szCs w:val="40"/>
          <w:b w:val="1"/>
          <w:bCs w:val="1"/>
          <w:color w:val="052666"/>
        </w:rPr>
        <w:t>PROPOSAL NO. 3</w:t>
      </w:r>
    </w:p>
    <w:p>
      <w:pPr>
        <w:spacing w:after="0" w:line="39" w:lineRule="exact"/>
        <w:rPr>
          <w:sz w:val="20"/>
          <w:szCs w:val="20"/>
          <w:color w:val="auto"/>
        </w:rPr>
      </w:pPr>
    </w:p>
    <w:p>
      <w:pPr>
        <w:ind w:right="900"/>
        <w:spacing w:after="0" w:line="276" w:lineRule="auto"/>
        <w:rPr>
          <w:sz w:val="20"/>
          <w:szCs w:val="20"/>
          <w:color w:val="auto"/>
        </w:rPr>
      </w:pPr>
      <w:r>
        <w:rPr>
          <w:rFonts w:ascii="Arial" w:cs="Arial" w:eastAsia="Arial" w:hAnsi="Arial"/>
          <w:sz w:val="39"/>
          <w:szCs w:val="39"/>
          <w:b w:val="1"/>
          <w:bCs w:val="1"/>
          <w:color w:val="052666"/>
        </w:rPr>
        <w:t>RATIFICATION OF THE SELECTION OF INDEPENDENT REGISTERED PUBLIC ACCOUNTANTS</w:t>
      </w:r>
    </w:p>
    <w:p>
      <w:pPr>
        <w:spacing w:after="0" w:line="29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Audit Committee of the Board has selected, and as a matter of good corporate governance, is requesting the ratification by the stockholders of the selection of PricewaterhouseCoopers LLP to serve as our independent registered public accountants for the year ending December 31, 2026. PricewaterhouseCoopers LLP has served as our independent registered public accountants since 2007. If a favorable vote is not obtained, the Audit Committee may reconsider the selection of PricewaterhouseCoopers LLP. Even if the selection is ratified, the Audit Committee, in its discretion, may select different independent auditors if it subsequently determines that such a change would be in the best interest of the Company and its stockholders.</w:t>
      </w:r>
    </w:p>
    <w:p>
      <w:pPr>
        <w:spacing w:after="0" w:line="17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PricewaterhouseCoopers LLP representatives will attend the Annual Meeting and respond to questions where appropriate. Such representatives may make a statement at the Annual Meeting should they so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642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642620"/>
                    </a:xfrm>
                    <a:prstGeom prst="rect">
                      <a:avLst/>
                    </a:prstGeom>
                    <a:noFill/>
                  </pic:spPr>
                </pic:pic>
              </a:graphicData>
            </a:graphic>
          </wp:anchor>
        </w:drawing>
      </w:r>
    </w:p>
    <w:p>
      <w:pPr>
        <w:spacing w:after="0" w:line="336" w:lineRule="exact"/>
        <w:rPr>
          <w:sz w:val="20"/>
          <w:szCs w:val="20"/>
          <w:color w:val="auto"/>
        </w:rPr>
      </w:pPr>
    </w:p>
    <w:p>
      <w:pPr>
        <w:jc w:val="center"/>
        <w:ind w:right="60"/>
        <w:spacing w:after="0" w:line="242" w:lineRule="auto"/>
        <w:rPr>
          <w:sz w:val="20"/>
          <w:szCs w:val="20"/>
          <w:color w:val="auto"/>
        </w:rPr>
      </w:pPr>
      <w:r>
        <w:rPr>
          <w:rFonts w:ascii="Arial" w:cs="Arial" w:eastAsia="Arial" w:hAnsi="Arial"/>
          <w:sz w:val="20"/>
          <w:szCs w:val="20"/>
          <w:color w:val="052666"/>
        </w:rPr>
        <w:t>THE BOARD RECOMMENDS THAT STOCKHOLDERS VOTE “</w:t>
      </w:r>
      <w:r>
        <w:rPr>
          <w:rFonts w:ascii="Arial" w:cs="Arial" w:eastAsia="Arial" w:hAnsi="Arial"/>
          <w:sz w:val="20"/>
          <w:szCs w:val="20"/>
          <w:b w:val="1"/>
          <w:bCs w:val="1"/>
          <w:color w:val="052666"/>
        </w:rPr>
        <w:t>FOR”</w:t>
      </w:r>
      <w:r>
        <w:rPr>
          <w:rFonts w:ascii="Arial" w:cs="Arial" w:eastAsia="Arial" w:hAnsi="Arial"/>
          <w:sz w:val="20"/>
          <w:szCs w:val="20"/>
          <w:color w:val="052666"/>
        </w:rPr>
        <w:t xml:space="preserve"> THE RATIFICATION OF THE SELECTION OF PRICEWATERHOUSECOOPERS LLP AS OUR INDEPENDENT REGISTERED PUBLIC ACCOUNTANTS FOR THE FISCAL YEAR ENDING DECEMBER 31, 2026.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Vote Required</w:t>
      </w:r>
    </w:p>
    <w:p>
      <w:pPr>
        <w:spacing w:after="0" w:line="33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Ratification of the selection of the independent registered public accountants by the stockholders requires that affirmative “FOR” vote of a majority of the votes cast by holders of Class A, Class B, Class C and Class D Common Stock present in person or represented by proxy and entitled to vote on the matter. Unless marked to the contrary, proxies will be voted FOR the ratification of the selection of PricewaterhouseCoopers LLP as our independent registered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4" w:name="page25"/>
    <w:bookmarkEnd w:id="24"/>
    <w:p>
      <w:pPr>
        <w:spacing w:after="0"/>
        <w:rPr>
          <w:sz w:val="20"/>
          <w:szCs w:val="20"/>
          <w:color w:val="auto"/>
        </w:rPr>
      </w:pPr>
      <w:r>
        <w:rPr>
          <w:rFonts w:ascii="Arial" w:cs="Arial" w:eastAsia="Arial" w:hAnsi="Arial"/>
          <w:sz w:val="40"/>
          <w:szCs w:val="40"/>
          <w:b w:val="1"/>
          <w:bCs w:val="1"/>
          <w:color w:val="052666"/>
        </w:rPr>
        <w:t>PROPOSAL NO. 4</w:t>
      </w:r>
    </w:p>
    <w:p>
      <w:pPr>
        <w:spacing w:after="0" w:line="39" w:lineRule="exact"/>
        <w:rPr>
          <w:sz w:val="20"/>
          <w:szCs w:val="20"/>
          <w:color w:val="auto"/>
        </w:rPr>
      </w:pPr>
    </w:p>
    <w:p>
      <w:pPr>
        <w:ind w:right="200"/>
        <w:spacing w:after="0" w:line="263" w:lineRule="auto"/>
        <w:rPr>
          <w:sz w:val="20"/>
          <w:szCs w:val="20"/>
          <w:color w:val="auto"/>
        </w:rPr>
      </w:pPr>
      <w:r>
        <w:rPr>
          <w:rFonts w:ascii="Arial" w:cs="Arial" w:eastAsia="Arial" w:hAnsi="Arial"/>
          <w:sz w:val="40"/>
          <w:szCs w:val="40"/>
          <w:b w:val="1"/>
          <w:bCs w:val="1"/>
          <w:color w:val="052666"/>
        </w:rPr>
        <w:t>STOCKHOLDER PROPOSAL TO REPORT VOTES BASED ON UHS SHAREHOLDER MONEY AT RISK</w:t>
      </w:r>
    </w:p>
    <w:p>
      <w:pPr>
        <w:spacing w:after="0" w:line="206"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auto"/>
        </w:rPr>
        <w:t>We have been informed that John Chevedden, 2215 Nelson Avenue, No. 205, Redondo Beach, CA, 90278, the beneficial owner of no fewer than 50 shares of our common stock, intends to introduce the resolution below at the Annual Meeting. The following stockholder proposal will be voted on at the Annual Meeting only if properly presented by or on behalf of Mr. Chevedden. In accordance with SEC rules, the proposed stockholder resolution and supporting statement are printed below verbatim from his submission.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Board of Directors opposes Mr. Chevedden’s proposal for the reasons stated after the proposal.</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Stockholder Proposal</w:t>
      </w: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Proposal 4 – Report Votes Based on UHS Shareholder Money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143510</wp:posOffset>
            </wp:positionV>
            <wp:extent cx="3206115" cy="6261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auto"/>
        </w:rPr>
        <w:t>Shareholders request that in addition to the usual way that Universal Health Services reports the annual meeting votes, for instance for the 2025 annual meeting, that UHS report the annual meeting votes results for each item based on the money at risk that the shareholders of UHS have.</w:t>
      </w:r>
    </w:p>
    <w:p>
      <w:pPr>
        <w:spacing w:after="0" w:line="171"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auto"/>
        </w:rPr>
        <w:t>This proposal advocates a best practice given that UHS officers and directors have only 16% of the ownership of UHS yet have 91 % of the voting power. Long-term UHS shareholders may have forgotten this detriment to UHS shareholder value.</w:t>
      </w:r>
    </w:p>
    <w:p>
      <w:pPr>
        <w:spacing w:after="0" w:line="155"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auto"/>
        </w:rPr>
        <w:t>To improve shareholder value it would be a best practice for UHS to transition to a one-share equals one-vote structure, but until this is accomplished the annual meeting voting results should be presented in 2 formats. Thus the vast majority of UHS shareholders will then be able to see clearly when the votes of the UHS officers and directors are contrary to the votes of the overwhelming majority of UHS shareholders.</w:t>
      </w:r>
    </w:p>
    <w:p>
      <w:pPr>
        <w:spacing w:after="0" w:line="172"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auto"/>
        </w:rPr>
        <w:t>Dual-class stocks like UHS tend to create an inferior class of shareholders and hand over power to a select few, who are then allowed to pass the financial risk onto others. With few constraints placed upon them, managers holding super-class stock can spin out of control.</w:t>
      </w:r>
    </w:p>
    <w:p>
      <w:pPr>
        <w:spacing w:after="0" w:line="171"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auto"/>
        </w:rPr>
        <w:t>Insiders and senior managers can entrench themselves into the operations of the company, regardless of their abilities and performance. Dual-class structures may allow management to make bad decisions with few consequences.</w:t>
      </w:r>
    </w:p>
    <w:p>
      <w:pPr>
        <w:spacing w:after="0" w:line="15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auto"/>
        </w:rPr>
        <w:t>Until UHS transitions to one-share equals one-vote, it is a best practice for the UHS annual meeting voting results to be reported in 2 formats.</w:t>
      </w:r>
    </w:p>
    <w:p>
      <w:pPr>
        <w:spacing w:after="0" w:line="47"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Please vote yes:</w:t>
      </w:r>
    </w:p>
    <w:p>
      <w:pPr>
        <w:spacing w:after="0" w:line="200"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u w:val="single" w:color="auto"/>
          <w:color w:val="auto"/>
        </w:rPr>
        <w:t>Report Votes Based on UHS Shareholder Money at Risk –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70" w:right="61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000052"/>
        </w:rPr>
        <w:t>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UHS Statement in Opposition to Stockholder Proposal</w:t>
      </w:r>
    </w:p>
    <w:p>
      <w:pPr>
        <w:spacing w:after="0" w:line="228" w:lineRule="exact"/>
        <w:rPr>
          <w:sz w:val="20"/>
          <w:szCs w:val="20"/>
          <w:color w:val="auto"/>
        </w:rPr>
      </w:pPr>
    </w:p>
    <w:p>
      <w:pPr>
        <w:jc w:val="both"/>
        <w:ind w:left="120" w:right="260"/>
        <w:spacing w:after="0" w:line="230" w:lineRule="auto"/>
        <w:rPr>
          <w:sz w:val="20"/>
          <w:szCs w:val="20"/>
          <w:color w:val="auto"/>
        </w:rPr>
      </w:pPr>
      <w:r>
        <w:rPr>
          <w:rFonts w:ascii="Arial" w:cs="Arial" w:eastAsia="Arial" w:hAnsi="Arial"/>
          <w:sz w:val="20"/>
          <w:szCs w:val="20"/>
          <w:color w:val="auto"/>
        </w:rPr>
        <w:t>The Board of Directors recommends that stockholders vote AGAINST this stockholder proposal for the following reasons. The Board of Directors has carefully considered the proposal and, given that the Company’s certificate of incorporation provides that, except with respect to the election of directors and as required by law, all classes vote together as a single class, the Board of Directors believes such disclosure could be misleading and is inappropriate. The Company already provides comprehensive information about our capital structure and security ownership through our existing disclosures. The Board of Directors believes that the requested additional disclosure, which we believe is not commonly provided by other companies, would be unnecessary. We believe this effectively would be the same as requiring the disclosure of how each person votes and has no effect on the outcome under the Company’s certificate of incorporation or Delaware law. For these reasons and those detailed below, this proposal is not in the best interests of the Company or its stockholders.</w:t>
      </w:r>
    </w:p>
    <w:p>
      <w:pPr>
        <w:spacing w:after="0" w:line="176" w:lineRule="exact"/>
        <w:rPr>
          <w:sz w:val="20"/>
          <w:szCs w:val="20"/>
          <w:color w:val="auto"/>
        </w:rPr>
      </w:pPr>
    </w:p>
    <w:p>
      <w:pPr>
        <w:jc w:val="both"/>
        <w:ind w:left="120" w:right="260"/>
        <w:spacing w:after="0" w:line="227" w:lineRule="auto"/>
        <w:rPr>
          <w:sz w:val="20"/>
          <w:szCs w:val="20"/>
          <w:color w:val="auto"/>
        </w:rPr>
      </w:pPr>
      <w:r>
        <w:rPr>
          <w:rFonts w:ascii="Arial" w:cs="Arial" w:eastAsia="Arial" w:hAnsi="Arial"/>
          <w:sz w:val="20"/>
          <w:szCs w:val="20"/>
          <w:color w:val="auto"/>
        </w:rPr>
        <w:t>Detailed disclosure with respect to our capital structure, the voting rights of each class of common stock, and security ownership is provided to our shareholders annually in our proxy statements and in our other filings made with the SEC. As previously disclosed in such filings (and in this Proxy Statement), except with respect to the election of directors and as required by law, all classes vote together as single class with each share of Class A Common Stock entitles the holder thereof to one vote; each share of Class B Common Stock entitles the holder thereof to one-tenth of a vote; each share of Class C Common Stock entitles the holder thereof to 100 votes (provided the holder of Class C Common Stock holds a number of shares of Class A Common Stock equal to ten times the number of shares of Class C Common Stock that holder holds); and each share of Class D Common Stock entitles the holder thereof to ten votes (provided the holder of Class D Common Stock holds a number of shares of Class B Common Stock equal to ten times the number of shares of Class D Common Stock that holder holds). In the event a holder of Class C or Class D Common Stock holds a number of shares of Class A or Class B Common Stock, respectively, less than ten times the number of shares of Class C or Class D Common Stock that holder holds, then that holder will be entitled to only one vote for every share of Class C Common Stock, or one-tenth of a vote for every share of Class D Common Stock, which that holder holds in excess of one-tenth the number of shares of Class A or Class B Common Stock, respectively, held by that holder. In addition, we provide disclosure regarding the Common Stock ownership of certain of our beneficial owners and management. Because our stockholders already have access to these disclosures, including our capital structure and characteristics of our Common Stock, they are able to make informed assessments of our voting results. As such, we believe the requested disclosure is unnecessary, would add additional burden to our reporting, and would not add significant value to our stockholders. Additionally, the requested disclosure is not commonly provided by other companies with multi-class capital structures regarding voting on matters requiring stockholders of all classes to vote together as a single class, and disclosing the voting results separately for each class of shares based on money at risk would position us as an outlier in the market. Most importantly, such disclosure is irrelevant because, except with respect to the election of directors and as required by law, all classes vote together as single class and the total vote is reported as required. That vote is the only factor relevant to whether a proposal is adopted.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On the basis of the foregoing, the Board of Directors recommends a vote AGAINST the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000052"/>
        </w:rPr>
        <w:t>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jc w:val="center"/>
        <w:ind w:left="400"/>
        <w:spacing w:after="0" w:line="286" w:lineRule="auto"/>
        <w:rPr>
          <w:sz w:val="20"/>
          <w:szCs w:val="20"/>
          <w:color w:val="auto"/>
        </w:rPr>
      </w:pPr>
      <w:r>
        <w:rPr>
          <w:rFonts w:ascii="Arial" w:cs="Arial" w:eastAsia="Arial" w:hAnsi="Arial"/>
          <w:sz w:val="19"/>
          <w:szCs w:val="19"/>
          <w:color w:val="052666"/>
        </w:rPr>
        <w:t>THE BOARD RECOMMENDS THAT STOCKHOLDERS VOTE “</w:t>
      </w:r>
      <w:r>
        <w:rPr>
          <w:rFonts w:ascii="Arial" w:cs="Arial" w:eastAsia="Arial" w:hAnsi="Arial"/>
          <w:sz w:val="19"/>
          <w:szCs w:val="19"/>
          <w:b w:val="1"/>
          <w:bCs w:val="1"/>
          <w:color w:val="052666"/>
        </w:rPr>
        <w:t>AGAINST”</w:t>
      </w:r>
      <w:r>
        <w:rPr>
          <w:rFonts w:ascii="Arial" w:cs="Arial" w:eastAsia="Arial" w:hAnsi="Arial"/>
          <w:sz w:val="19"/>
          <w:szCs w:val="19"/>
          <w:color w:val="052666"/>
        </w:rPr>
        <w:t xml:space="preserve"> THE STOCKHOLDER PROPOSAL REGARDING REPORTING VOTES BASED ON UHS SHAREHOLDER MONEY AT RISK DESCRIBED IN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Required Vote</w:t>
      </w:r>
    </w:p>
    <w:p>
      <w:pPr>
        <w:spacing w:after="0" w:line="336" w:lineRule="exact"/>
        <w:rPr>
          <w:sz w:val="20"/>
          <w:szCs w:val="20"/>
          <w:color w:val="auto"/>
        </w:rPr>
      </w:pPr>
    </w:p>
    <w:p>
      <w:pPr>
        <w:jc w:val="both"/>
        <w:ind w:left="120" w:right="140"/>
        <w:spacing w:after="0" w:line="237" w:lineRule="auto"/>
        <w:rPr>
          <w:sz w:val="20"/>
          <w:szCs w:val="20"/>
          <w:color w:val="auto"/>
        </w:rPr>
      </w:pPr>
      <w:r>
        <w:rPr>
          <w:rFonts w:ascii="Arial" w:cs="Arial" w:eastAsia="Arial" w:hAnsi="Arial"/>
          <w:sz w:val="20"/>
          <w:szCs w:val="20"/>
          <w:color w:val="auto"/>
        </w:rPr>
        <w:t>The affirmative vote of the votes cast by holders of a majority of the Common Stock votes present in person or represented by proxy and entitled to vote on the matter is required for the approval of the stockholder proposal. Abstentions from voting on this proposal will have no effect on the outcome of the vote because an abstention does not count as a vote cast.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1297305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27" w:name="page28"/>
    <w:bookmarkEnd w:id="27"/>
    <w:p>
      <w:pPr>
        <w:spacing w:after="0"/>
        <w:rPr>
          <w:sz w:val="20"/>
          <w:szCs w:val="20"/>
          <w:color w:val="auto"/>
        </w:rPr>
      </w:pPr>
      <w:r>
        <w:rPr>
          <w:rFonts w:ascii="Arial" w:cs="Arial" w:eastAsia="Arial" w:hAnsi="Arial"/>
          <w:sz w:val="40"/>
          <w:szCs w:val="40"/>
          <w:b w:val="1"/>
          <w:bCs w:val="1"/>
          <w:color w:val="052666"/>
        </w:rPr>
        <w:t>PROPOSAL NO. 5</w:t>
      </w:r>
    </w:p>
    <w:p>
      <w:pPr>
        <w:spacing w:after="0" w:line="39" w:lineRule="exact"/>
        <w:rPr>
          <w:sz w:val="20"/>
          <w:szCs w:val="20"/>
          <w:color w:val="auto"/>
        </w:rPr>
      </w:pPr>
    </w:p>
    <w:p>
      <w:pPr>
        <w:ind w:right="1720"/>
        <w:spacing w:after="0" w:line="267" w:lineRule="auto"/>
        <w:rPr>
          <w:sz w:val="20"/>
          <w:szCs w:val="20"/>
          <w:color w:val="auto"/>
        </w:rPr>
      </w:pPr>
      <w:r>
        <w:rPr>
          <w:rFonts w:ascii="Arial" w:cs="Arial" w:eastAsia="Arial" w:hAnsi="Arial"/>
          <w:sz w:val="39"/>
          <w:szCs w:val="39"/>
          <w:b w:val="1"/>
          <w:bCs w:val="1"/>
          <w:color w:val="052666"/>
        </w:rPr>
        <w:t>STOCKHOLDER PROPOSAL REGARDING PUBLIC DISCLOSURE OF WORKFORCE DIVERSITY</w:t>
      </w:r>
    </w:p>
    <w:p>
      <w:pPr>
        <w:jc w:val="both"/>
        <w:spacing w:after="0" w:line="234" w:lineRule="auto"/>
        <w:rPr>
          <w:sz w:val="20"/>
          <w:szCs w:val="20"/>
          <w:color w:val="auto"/>
        </w:rPr>
      </w:pPr>
      <w:r>
        <w:rPr>
          <w:rFonts w:ascii="Arial" w:cs="Arial" w:eastAsia="Arial" w:hAnsi="Arial"/>
          <w:sz w:val="20"/>
          <w:szCs w:val="20"/>
          <w:color w:val="auto"/>
        </w:rPr>
        <w:t>We have been informed that the New York State Common Retirement Fund, 110 State Street, Albany, New York 12236, the beneficial owner of no less than $25,000 in market value of our common stock, intends to introduce the resolution below at the Annual Meeting. The following stockholder proposal will be voted on at the Annual Meeting only if properly presented on behalf of the New York State Common Retirement Fund. In accordance with SEC rules, the proposed stockholder resolution and supporting statement are printed below verbatim from this submission.</w:t>
      </w:r>
    </w:p>
    <w:p>
      <w:pPr>
        <w:spacing w:after="0" w:line="65"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The Board of Directors opposes the New York State Common Retirement Fund’s proposal for the reasons stated after the proposal.</w:t>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Stockholder Proposal</w:t>
      </w:r>
    </w:p>
    <w:p>
      <w:pPr>
        <w:spacing w:after="0" w:line="120" w:lineRule="exact"/>
        <w:rPr>
          <w:sz w:val="20"/>
          <w:szCs w:val="20"/>
          <w:color w:val="auto"/>
        </w:rPr>
      </w:pPr>
    </w:p>
    <w:p>
      <w:pPr>
        <w:jc w:val="both"/>
        <w:ind w:right="460"/>
        <w:spacing w:after="0" w:line="233" w:lineRule="auto"/>
        <w:rPr>
          <w:sz w:val="20"/>
          <w:szCs w:val="20"/>
          <w:color w:val="auto"/>
        </w:rPr>
      </w:pPr>
      <w:r>
        <w:rPr>
          <w:rFonts w:ascii="Arial" w:cs="Arial" w:eastAsia="Arial" w:hAnsi="Arial"/>
          <w:sz w:val="20"/>
          <w:szCs w:val="20"/>
          <w:color w:val="auto"/>
        </w:rPr>
        <w:t>Resolved: Shareholders request that the Board of Directors adopt a policy requiring Universal Health Services, Inc. (Universal Health or the Company) to publicly disclose its workforce diversity, including, at the Board’s discretion, a breakdown of its workforce by race, ethnicity and gender and retention rates of employees by the same categories (Report). As part of such Report, the board, at its discretion, may wish to disclose its Consolidated EEO-1 Report (EEO-1 Report), which it is required to submit annually to the U.S Equal Employment Opportunity Commission. This Report shall be prepared at reasonable cost and omit information that is proprietary, privileged or violative of contractual obligations.</w:t>
      </w:r>
    </w:p>
    <w:p>
      <w:pPr>
        <w:spacing w:after="0" w:line="62"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Supporting Statement</w:t>
      </w:r>
    </w:p>
    <w:p>
      <w:pPr>
        <w:spacing w:after="0" w:line="120" w:lineRule="exact"/>
        <w:rPr>
          <w:sz w:val="20"/>
          <w:szCs w:val="20"/>
          <w:color w:val="auto"/>
        </w:rPr>
      </w:pPr>
    </w:p>
    <w:p>
      <w:pPr>
        <w:jc w:val="both"/>
        <w:ind w:right="460"/>
        <w:spacing w:after="0" w:line="231" w:lineRule="auto"/>
        <w:rPr>
          <w:sz w:val="20"/>
          <w:szCs w:val="20"/>
          <w:color w:val="auto"/>
        </w:rPr>
      </w:pPr>
      <w:r>
        <w:rPr>
          <w:rFonts w:ascii="Arial" w:cs="Arial" w:eastAsia="Arial" w:hAnsi="Arial"/>
          <w:sz w:val="20"/>
          <w:szCs w:val="20"/>
          <w:color w:val="auto"/>
        </w:rPr>
        <w:t>As intangible assets increasingly drive corporate value creation, investors seek a better understanding of human capital management strategy and performance. Universal Health employs approximately 86,000 employees in the United States and 13,000 in the United Kingdom. In the past the Company disclosed gender and race/ethnicity statistics for its workforce overall, new hires, and promotions. It is well recognized in the market and by Universal Health that there is a shortage of workers in the healthcare industry in the United States. Attrition in the industry is high and represents a major cost. According to third-party data provider Comparably, the Company is a laggard in retention among similar size companies. Transparency around these critical data points is needed, yet the Company is providing investors with less information than it did before.</w:t>
      </w:r>
    </w:p>
    <w:p>
      <w:pPr>
        <w:spacing w:after="0" w:line="65" w:lineRule="exact"/>
        <w:rPr>
          <w:sz w:val="20"/>
          <w:szCs w:val="20"/>
          <w:color w:val="auto"/>
        </w:rPr>
      </w:pPr>
    </w:p>
    <w:p>
      <w:pPr>
        <w:jc w:val="both"/>
        <w:ind w:right="460"/>
        <w:spacing w:after="0" w:line="232" w:lineRule="auto"/>
        <w:rPr>
          <w:sz w:val="20"/>
          <w:szCs w:val="20"/>
          <w:color w:val="auto"/>
        </w:rPr>
      </w:pPr>
      <w:r>
        <w:rPr>
          <w:rFonts w:ascii="Arial" w:cs="Arial" w:eastAsia="Arial" w:hAnsi="Arial"/>
          <w:sz w:val="20"/>
          <w:szCs w:val="20"/>
          <w:color w:val="auto"/>
        </w:rPr>
        <w:t>The Fund believes that disclosure of this information would help investors assess the implementation of their portfolio companies’ commitments to inclusion. Further, disclosure of the EEO-1 Report would be a cost-effective method of reporting some of this information. A lack of consistent and comparable disclosure of human capital practices makes it difficult for investors to integrate this key factor in their analysis of company risk and value. Virtually all 100 S&amp;P companies and over 400 S&amp;P 500 companies have disclosed their EEO-1 Reports. Likewise in Universal Health’s sector, 81% of companies published their 2023 EEO-1 Reports. Standardized, quantitative, and reliable data will enable investors to assess Universal Health’s workforce management practices versus its peers.</w:t>
      </w:r>
    </w:p>
    <w:p>
      <w:pPr>
        <w:spacing w:after="0" w:line="172" w:lineRule="exact"/>
        <w:rPr>
          <w:sz w:val="20"/>
          <w:szCs w:val="20"/>
          <w:color w:val="auto"/>
        </w:rPr>
      </w:pPr>
    </w:p>
    <w:p>
      <w:pPr>
        <w:jc w:val="both"/>
        <w:ind w:right="460"/>
        <w:spacing w:after="0" w:line="244" w:lineRule="auto"/>
        <w:rPr>
          <w:sz w:val="20"/>
          <w:szCs w:val="20"/>
          <w:color w:val="auto"/>
        </w:rPr>
      </w:pPr>
      <w:r>
        <w:rPr>
          <w:rFonts w:ascii="Arial" w:cs="Arial" w:eastAsia="Arial" w:hAnsi="Arial"/>
          <w:sz w:val="20"/>
          <w:szCs w:val="20"/>
          <w:color w:val="auto"/>
        </w:rPr>
        <w:t>Universal Health is committed to diversity and inclusion, which is associated with employee retention and can provide a competitive advantage. Many investors believe that diverse and inclusive workplaces “encourag[e] varied perspectives that can better anticipate shifts in consumer preferences, reduc[e] costly turnover, and increas[e] productivity and morale,” in addition to other benefits.</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There remains a strong</w:t>
      </w:r>
    </w:p>
    <w:p>
      <w:pPr>
        <w:spacing w:after="0" w:line="11" w:lineRule="exact"/>
        <w:rPr>
          <w:sz w:val="20"/>
          <w:szCs w:val="20"/>
          <w:color w:val="auto"/>
        </w:rPr>
      </w:pPr>
    </w:p>
    <w:p>
      <w:pPr>
        <w:ind w:right="680" w:firstLine="8"/>
        <w:spacing w:after="0" w:line="216" w:lineRule="auto"/>
        <w:tabs>
          <w:tab w:leader="none" w:pos="85"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 xml:space="preserve">Letter from Investors to SEC Chair (Nov. 18, 2021), </w:t>
      </w:r>
      <w:r>
        <w:rPr>
          <w:rFonts w:ascii="Arial" w:cs="Arial" w:eastAsia="Arial" w:hAnsi="Arial"/>
          <w:sz w:val="15"/>
          <w:szCs w:val="15"/>
          <w:u w:val="single" w:color="auto"/>
          <w:color w:val="0563C1"/>
        </w:rPr>
        <w:t>https://www.bostontrustwalden.com/wp-content/uploads/2021/11/Investor-Signatory-Letter-to-the-SEC-Requesting-Mandatory-EEO-1-Disclosure_Nov-2021.pdf</w:t>
      </w:r>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000052"/>
        </w:rPr>
        <w:t>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investor preference for this disclosure so that they may assess performance versus peers. We urge Universal Health to join its peers in disclosing the requested information.</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UHS Statement in Opposition to Stockholder Proposal</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UHS Is Committed to Providing Equal Employment Opportunities</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It is the policy of Universal Health Services to provide equal employment opportunities to all employees, prospective and current. UHS is committed to complying with all federal, state, and local laws and regulations relating to equal employment and non-discrimination matters for all protected classes of employees including race, religion, color, gender, sexual orientation, age, national origin, genetic information, ancestry, disability, pregnancy, marital status, and military status. This policy applies to all employment practices, benefits, training, performance evaluations, company programs and practices, and all other terms, conditions and privileges of employment.</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We are committed to the principle of Equal Employment Opportunity ("EEO") for all employees and applicants. As an EEO employer we support, and are fully committed, to recruitment, selection, placement, promotion and compensation of all individuals without regard to race, color, religion, age (40 and over or as otherwise defined by applicable law), sex (including pregnancy, gender identity, and sexual orientation), genetic information (including family medical history), national origin, disability status, protected veteran status or any other characteristic protected by federal, state or local laws.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value each member of our team and are committed to treating everyone with dignity and respect. Our commitment to diversity, equity, and inclusion includes regularly monitoring employment practices to ensure inclusivity regardless of an employee’s gender, race or ethnicity and championing for inclusive behaviors through leadership example, policies and procedures, training and special events.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Recognition and Awards</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Recently, UHS was named to Newsweek’s annual ranking of America’s Greatest Workplaces for Culture, Belonging &amp; Community 2026. This recognition reflects success across multiple performance metrics relevant to women, minorities, and diverse demographic groups. The study combined a large-scale national survey, extensive desk research, and third-party data, evaluating companies with more than 1,000 employees. The survey, conducted between April and October 2025, gathered over 2.7 million company reviews from more than 179,000 employees. Additionally, findings from three prior studies (2022–2024) were incorporated, making this one of the largest independent employee studies in the U.S.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addition, UHS was named to the 2024 American Opportunity Index as an Employer of Choice. This ranking measures how well America’s largest companies invest in their employees through hiring, pay, promotion, parity, and culture. UHS ranked #1 in Medical Care Facilities and #56 overall.</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Engagement and Development</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independently conducted employee engagement survey by Press Ganey showed continued improvement in 2025, even as industry benchmarks declined by 0.02. Key metrics include:</w:t>
      </w:r>
    </w:p>
    <w:p>
      <w:pPr>
        <w:spacing w:after="0" w:line="4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20"/>
          <w:szCs w:val="20"/>
          <w:color w:val="auto"/>
        </w:rPr>
      </w:pPr>
      <w:r>
        <w:rPr>
          <w:rFonts w:ascii="Arial" w:cs="Arial" w:eastAsia="Arial" w:hAnsi="Arial"/>
          <w:sz w:val="20"/>
          <w:szCs w:val="20"/>
          <w:color w:val="auto"/>
        </w:rPr>
        <w:t>Overall engagement: +0.02</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20"/>
          <w:szCs w:val="20"/>
          <w:color w:val="auto"/>
        </w:rPr>
      </w:pPr>
      <w:r>
        <w:rPr>
          <w:rFonts w:ascii="Arial" w:cs="Arial" w:eastAsia="Arial" w:hAnsi="Arial"/>
          <w:sz w:val="20"/>
          <w:szCs w:val="20"/>
          <w:color w:val="auto"/>
        </w:rPr>
        <w:t>Likelihood to recommend UHS as a great place to work: +0.05</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20"/>
          <w:szCs w:val="20"/>
          <w:color w:val="auto"/>
        </w:rPr>
      </w:pPr>
      <w:r>
        <w:rPr>
          <w:rFonts w:ascii="Arial" w:cs="Arial" w:eastAsia="Arial" w:hAnsi="Arial"/>
          <w:sz w:val="20"/>
          <w:szCs w:val="20"/>
          <w:color w:val="auto"/>
        </w:rPr>
        <w:t>Intent to stay if offered another job: +0.04</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20"/>
          <w:szCs w:val="20"/>
          <w:color w:val="auto"/>
        </w:rPr>
      </w:pPr>
      <w:r>
        <w:rPr>
          <w:rFonts w:ascii="Arial" w:cs="Arial" w:eastAsia="Arial" w:hAnsi="Arial"/>
          <w:sz w:val="20"/>
          <w:szCs w:val="20"/>
          <w:color w:val="auto"/>
        </w:rPr>
        <w:t>Career development opportunities: +0.07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26</w:t>
      </w:r>
    </w:p>
    <w:p>
      <w:pPr>
        <w:spacing w:after="0" w:line="108"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773" w:right="79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000052"/>
        </w:rPr>
        <w:t>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ind w:right="440"/>
        <w:spacing w:after="0" w:line="237" w:lineRule="auto"/>
        <w:rPr>
          <w:sz w:val="20"/>
          <w:szCs w:val="20"/>
          <w:color w:val="auto"/>
        </w:rPr>
      </w:pPr>
      <w:r>
        <w:rPr>
          <w:rFonts w:ascii="Arial" w:cs="Arial" w:eastAsia="Arial" w:hAnsi="Arial"/>
          <w:sz w:val="20"/>
          <w:szCs w:val="20"/>
          <w:color w:val="auto"/>
        </w:rPr>
        <w:t xml:space="preserve">Retention has also improved, with turnover decreasing by 4% year-over-year. To support career growth, we expanded our in-house “U Learn” curriculum, offering over 60 courses across three structured tracks: </w:t>
      </w:r>
      <w:r>
        <w:rPr>
          <w:rFonts w:ascii="Arial" w:cs="Arial" w:eastAsia="Arial" w:hAnsi="Arial"/>
          <w:sz w:val="20"/>
          <w:szCs w:val="20"/>
          <w:i w:val="1"/>
          <w:iCs w:val="1"/>
          <w:color w:val="auto"/>
        </w:rPr>
        <w:t>Invest in U, Develop U,</w:t>
      </w:r>
      <w:r>
        <w:rPr>
          <w:rFonts w:ascii="Arial" w:cs="Arial" w:eastAsia="Arial" w:hAnsi="Arial"/>
          <w:sz w:val="20"/>
          <w:szCs w:val="20"/>
          <w:color w:val="auto"/>
        </w:rPr>
        <w:t xml:space="preserve"> and </w:t>
      </w:r>
      <w:r>
        <w:rPr>
          <w:rFonts w:ascii="Arial" w:cs="Arial" w:eastAsia="Arial" w:hAnsi="Arial"/>
          <w:sz w:val="20"/>
          <w:szCs w:val="20"/>
          <w:i w:val="1"/>
          <w:iCs w:val="1"/>
          <w:color w:val="auto"/>
        </w:rPr>
        <w:t>Manage U</w:t>
      </w:r>
      <w:r>
        <w:rPr>
          <w:rFonts w:ascii="Arial" w:cs="Arial" w:eastAsia="Arial" w:hAnsi="Arial"/>
          <w:sz w:val="20"/>
          <w:szCs w:val="20"/>
          <w:color w:val="auto"/>
        </w:rPr>
        <w:t>. These programs are designed to foster growth at every career stage and have contributed to the positive</w:t>
      </w:r>
      <w:r>
        <w:rPr>
          <w:rFonts w:ascii="Arial" w:cs="Arial" w:eastAsia="Arial" w:hAnsi="Arial"/>
          <w:sz w:val="20"/>
          <w:szCs w:val="20"/>
          <w:i w:val="1"/>
          <w:iCs w:val="1"/>
          <w:color w:val="auto"/>
        </w:rPr>
        <w:t xml:space="preserve"> </w:t>
      </w:r>
      <w:r>
        <w:rPr>
          <w:rFonts w:ascii="Arial" w:cs="Arial" w:eastAsia="Arial" w:hAnsi="Arial"/>
          <w:sz w:val="20"/>
          <w:szCs w:val="20"/>
          <w:color w:val="auto"/>
        </w:rPr>
        <w:t>outcomes noted above.</w:t>
      </w:r>
    </w:p>
    <w:p>
      <w:pPr>
        <w:spacing w:after="0" w:line="172" w:lineRule="exact"/>
        <w:rPr>
          <w:sz w:val="20"/>
          <w:szCs w:val="20"/>
          <w:color w:val="auto"/>
        </w:rPr>
      </w:pPr>
    </w:p>
    <w:p>
      <w:pPr>
        <w:ind w:right="680"/>
        <w:spacing w:after="0" w:line="338" w:lineRule="auto"/>
        <w:rPr>
          <w:sz w:val="20"/>
          <w:szCs w:val="20"/>
          <w:color w:val="auto"/>
        </w:rPr>
      </w:pPr>
      <w:r>
        <w:rPr>
          <w:rFonts w:ascii="Arial" w:cs="Arial" w:eastAsia="Arial" w:hAnsi="Arial"/>
          <w:sz w:val="20"/>
          <w:szCs w:val="20"/>
          <w:color w:val="auto"/>
        </w:rPr>
        <w:t xml:space="preserve">These initiatives not only strengthen our workforce but also support sustainable growth and long-term shareholder value. </w:t>
      </w:r>
      <w:r>
        <w:rPr>
          <w:rFonts w:ascii="Arial" w:cs="Arial" w:eastAsia="Arial" w:hAnsi="Arial"/>
          <w:sz w:val="20"/>
          <w:szCs w:val="20"/>
          <w:b w:val="1"/>
          <w:bCs w:val="1"/>
          <w:color w:val="auto"/>
        </w:rPr>
        <w:t>Objections to Proposal</w:t>
      </w:r>
    </w:p>
    <w:p>
      <w:pPr>
        <w:jc w:val="both"/>
        <w:ind w:right="440"/>
        <w:spacing w:after="0" w:line="237" w:lineRule="auto"/>
        <w:rPr>
          <w:sz w:val="20"/>
          <w:szCs w:val="20"/>
          <w:color w:val="auto"/>
        </w:rPr>
      </w:pPr>
      <w:r>
        <w:rPr>
          <w:rFonts w:ascii="Arial" w:cs="Arial" w:eastAsia="Arial" w:hAnsi="Arial"/>
          <w:sz w:val="20"/>
          <w:szCs w:val="20"/>
          <w:color w:val="auto"/>
        </w:rPr>
        <w:t>The shareholder proposal is extremely broad and would have us gather and publicly disclose detailed personal information about our employees. We gather information about our employees, including diversity data, as required by the Equal Employment Opportunity Commission. We do not solicit personal information from our employees that is not required by law.</w:t>
      </w:r>
    </w:p>
    <w:p>
      <w:pPr>
        <w:spacing w:after="0" w:line="172" w:lineRule="exact"/>
        <w:rPr>
          <w:sz w:val="20"/>
          <w:szCs w:val="20"/>
          <w:color w:val="auto"/>
        </w:rPr>
      </w:pPr>
    </w:p>
    <w:p>
      <w:pPr>
        <w:jc w:val="both"/>
        <w:ind w:right="440"/>
        <w:spacing w:after="0" w:line="243" w:lineRule="auto"/>
        <w:rPr>
          <w:sz w:val="20"/>
          <w:szCs w:val="20"/>
          <w:color w:val="auto"/>
        </w:rPr>
      </w:pPr>
      <w:r>
        <w:rPr>
          <w:rFonts w:ascii="Arial" w:cs="Arial" w:eastAsia="Arial" w:hAnsi="Arial"/>
          <w:sz w:val="19"/>
          <w:szCs w:val="19"/>
          <w:color w:val="auto"/>
        </w:rPr>
        <w:t>Moreover, we believe that there are inherent risks and limitations in using the EEO-1 Report as the measure for evaluating our workplace diversity. As an initial matter, the information contained within the EEO-1 Report is a backward-looking singular snapshot in time, and does not accurately describe, measure, or properly contextualize our workplace diversity. Without proper context of the specific information described in the EEO-1 Report, there is a risk that the numbers could be misconstrued and not reflect the very real positive impact to UHS of our employment initiatives, workplace environment, and the overall effectiveness of our corporate strategies and programs. In addition, the information disclosed in the EEO-1 Report is provided voluntarily by our employees and is based on a pre-determined, government form that categorizes our workforce into certain EEOC-mandated job categories that fail to account for company or industry-specific roles. As such, there are risks that the EEO-1 Report may not accurately or effectively describe the diversity within our organization.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Conclusion</w:t>
      </w:r>
    </w:p>
    <w:p>
      <w:pPr>
        <w:spacing w:after="0" w:line="96" w:lineRule="exact"/>
        <w:rPr>
          <w:sz w:val="20"/>
          <w:szCs w:val="20"/>
          <w:color w:val="auto"/>
        </w:rPr>
      </w:pPr>
    </w:p>
    <w:p>
      <w:pPr>
        <w:jc w:val="both"/>
        <w:ind w:right="440"/>
        <w:spacing w:after="0" w:line="241" w:lineRule="auto"/>
        <w:rPr>
          <w:sz w:val="20"/>
          <w:szCs w:val="20"/>
          <w:color w:val="auto"/>
        </w:rPr>
      </w:pPr>
      <w:r>
        <w:rPr>
          <w:rFonts w:ascii="Arial" w:cs="Arial" w:eastAsia="Arial" w:hAnsi="Arial"/>
          <w:sz w:val="20"/>
          <w:szCs w:val="20"/>
          <w:color w:val="auto"/>
        </w:rPr>
        <w:t>Given our firm commitment as an EEO employer, the burden implementing the proposal given our current data collection practices and the inherent limitations of the EEO-1 report data, the Board of Directors unanimously recommends that the stockholders vote “AGAINST” the proposal to disclose workforce diversity information.</w:t>
      </w:r>
    </w:p>
    <w:p>
      <w:pPr>
        <w:spacing w:after="0" w:line="277" w:lineRule="exact"/>
        <w:rPr>
          <w:sz w:val="20"/>
          <w:szCs w:val="20"/>
          <w:color w:val="auto"/>
        </w:rPr>
      </w:pPr>
    </w:p>
    <w:p>
      <w:pPr>
        <w:jc w:val="center"/>
        <w:ind w:right="40"/>
        <w:spacing w:after="0" w:line="259" w:lineRule="auto"/>
        <w:rPr>
          <w:sz w:val="20"/>
          <w:szCs w:val="20"/>
          <w:color w:val="auto"/>
        </w:rPr>
      </w:pPr>
      <w:r>
        <w:rPr>
          <w:rFonts w:ascii="Arial" w:cs="Arial" w:eastAsia="Arial" w:hAnsi="Arial"/>
          <w:sz w:val="20"/>
          <w:szCs w:val="20"/>
          <w:color w:val="052666"/>
        </w:rPr>
        <w:t>THE BOARD RECOMMENDS THAT STOCKHOLDERS VOTE “</w:t>
      </w:r>
      <w:r>
        <w:rPr>
          <w:rFonts w:ascii="Arial" w:cs="Arial" w:eastAsia="Arial" w:hAnsi="Arial"/>
          <w:sz w:val="20"/>
          <w:szCs w:val="20"/>
          <w:b w:val="1"/>
          <w:bCs w:val="1"/>
          <w:color w:val="052666"/>
        </w:rPr>
        <w:t>AGAINST”</w:t>
      </w:r>
      <w:r>
        <w:rPr>
          <w:rFonts w:ascii="Arial" w:cs="Arial" w:eastAsia="Arial" w:hAnsi="Arial"/>
          <w:sz w:val="20"/>
          <w:szCs w:val="20"/>
          <w:color w:val="052666"/>
        </w:rPr>
        <w:t xml:space="preserve"> THE STOCKHOLDER PROPOSAL REGARDING PUBLIC DISCLOSURE OF WORKFORCE DIVERSITY DESCRIBED IN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411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Vote Required</w:t>
      </w:r>
    </w:p>
    <w:p>
      <w:pPr>
        <w:spacing w:after="0" w:line="228" w:lineRule="exact"/>
        <w:rPr>
          <w:sz w:val="20"/>
          <w:szCs w:val="20"/>
          <w:color w:val="auto"/>
        </w:rPr>
      </w:pPr>
    </w:p>
    <w:p>
      <w:pPr>
        <w:jc w:val="both"/>
        <w:ind w:right="440"/>
        <w:spacing w:after="0" w:line="237" w:lineRule="auto"/>
        <w:rPr>
          <w:sz w:val="20"/>
          <w:szCs w:val="20"/>
          <w:color w:val="auto"/>
        </w:rPr>
      </w:pPr>
      <w:r>
        <w:rPr>
          <w:rFonts w:ascii="Arial" w:cs="Arial" w:eastAsia="Arial" w:hAnsi="Arial"/>
          <w:sz w:val="20"/>
          <w:szCs w:val="20"/>
          <w:color w:val="auto"/>
        </w:rPr>
        <w:t>The affirmative vote of the votes cast by holders of a majority of the Common Stock votes present in person or represented by proxy and entitled to vote on the matter is required for the approval of the stockholder proposal. Abstentions from voting on this proposal will have no effect on the outcome of the vote because an abstention does not count as a vote cast.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0" w:name="page31"/>
    <w:bookmarkEnd w:id="30"/>
    <w:p>
      <w:pPr>
        <w:spacing w:after="0"/>
        <w:rPr>
          <w:sz w:val="20"/>
          <w:szCs w:val="20"/>
          <w:color w:val="auto"/>
        </w:rPr>
      </w:pPr>
      <w:r>
        <w:rPr>
          <w:rFonts w:ascii="Arial" w:cs="Arial" w:eastAsia="Arial" w:hAnsi="Arial"/>
          <w:sz w:val="40"/>
          <w:szCs w:val="40"/>
          <w:b w:val="1"/>
          <w:bCs w:val="1"/>
          <w:color w:val="052666"/>
        </w:rPr>
        <w:t>EXECUTIVE COMPENSATION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and Analysis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following Compensation Discussion and Analysis describes the 2025 compensation program for our named executive officers. For 2025, our named executive officers were: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shd w:val="clear" w:color="auto" w:fill="EAEAEA"/>
          </w:tcPr>
          <w:p>
            <w:pPr>
              <w:jc w:val="center"/>
              <w:ind w:left="1393"/>
              <w:spacing w:after="0"/>
              <w:rPr>
                <w:sz w:val="20"/>
                <w:szCs w:val="20"/>
                <w:color w:val="auto"/>
              </w:rPr>
            </w:pPr>
            <w:r>
              <w:rPr>
                <w:rFonts w:ascii="Arial" w:cs="Arial" w:eastAsia="Arial" w:hAnsi="Arial"/>
                <w:sz w:val="20"/>
                <w:szCs w:val="20"/>
                <w:color w:val="052666"/>
                <w:w w:val="98"/>
              </w:rPr>
              <w:t>Marc D. Miller</w:t>
            </w:r>
          </w:p>
        </w:tc>
        <w:tc>
          <w:tcPr>
            <w:tcW w:w="560" w:type="dxa"/>
            <w:vAlign w:val="bottom"/>
            <w:shd w:val="clear" w:color="auto" w:fill="EAEAEA"/>
          </w:tcPr>
          <w:p>
            <w:pPr>
              <w:spacing w:after="0"/>
              <w:rPr>
                <w:sz w:val="19"/>
                <w:szCs w:val="19"/>
                <w:color w:val="auto"/>
              </w:rPr>
            </w:pPr>
          </w:p>
        </w:tc>
        <w:tc>
          <w:tcPr>
            <w:tcW w:w="1800" w:type="dxa"/>
            <w:vAlign w:val="bottom"/>
            <w:shd w:val="clear" w:color="auto" w:fill="EAEAEA"/>
          </w:tcPr>
          <w:p>
            <w:pPr>
              <w:spacing w:after="0"/>
              <w:rPr>
                <w:sz w:val="19"/>
                <w:szCs w:val="19"/>
                <w:color w:val="auto"/>
              </w:rPr>
            </w:pPr>
          </w:p>
        </w:tc>
        <w:tc>
          <w:tcPr>
            <w:tcW w:w="4700" w:type="dxa"/>
            <w:vAlign w:val="bottom"/>
            <w:shd w:val="clear" w:color="auto" w:fill="EAEAEA"/>
          </w:tcPr>
          <w:p>
            <w:pPr>
              <w:jc w:val="center"/>
              <w:ind w:right="812"/>
              <w:spacing w:after="0"/>
              <w:rPr>
                <w:sz w:val="20"/>
                <w:szCs w:val="20"/>
                <w:color w:val="auto"/>
              </w:rPr>
            </w:pPr>
            <w:r>
              <w:rPr>
                <w:rFonts w:ascii="Arial" w:cs="Arial" w:eastAsia="Arial" w:hAnsi="Arial"/>
                <w:sz w:val="20"/>
                <w:szCs w:val="20"/>
                <w:color w:val="052666"/>
                <w:w w:val="98"/>
              </w:rPr>
              <w:t>Alan B. Miller</w:t>
            </w:r>
          </w:p>
        </w:tc>
      </w:tr>
      <w:tr>
        <w:trPr>
          <w:trHeight w:val="203"/>
        </w:trPr>
        <w:tc>
          <w:tcPr>
            <w:tcW w:w="4740" w:type="dxa"/>
            <w:vAlign w:val="bottom"/>
            <w:gridSpan w:val="2"/>
            <w:shd w:val="clear" w:color="auto" w:fill="EAEAEA"/>
          </w:tcPr>
          <w:p>
            <w:pPr>
              <w:jc w:val="center"/>
              <w:ind w:left="813"/>
              <w:spacing w:after="0"/>
              <w:rPr>
                <w:sz w:val="20"/>
                <w:szCs w:val="20"/>
                <w:color w:val="auto"/>
              </w:rPr>
            </w:pPr>
            <w:r>
              <w:rPr>
                <w:rFonts w:ascii="Arial" w:cs="Arial" w:eastAsia="Arial" w:hAnsi="Arial"/>
                <w:sz w:val="16"/>
                <w:szCs w:val="16"/>
                <w:color w:val="auto"/>
              </w:rPr>
              <w:t>Chief Executive Officer, President and Director</w:t>
            </w:r>
          </w:p>
        </w:tc>
        <w:tc>
          <w:tcPr>
            <w:tcW w:w="1800" w:type="dxa"/>
            <w:vAlign w:val="bottom"/>
            <w:shd w:val="clear" w:color="auto" w:fill="EAEAEA"/>
          </w:tcPr>
          <w:p>
            <w:pPr>
              <w:spacing w:after="0"/>
              <w:rPr>
                <w:sz w:val="17"/>
                <w:szCs w:val="17"/>
                <w:color w:val="auto"/>
              </w:rPr>
            </w:pPr>
          </w:p>
        </w:tc>
        <w:tc>
          <w:tcPr>
            <w:tcW w:w="4700" w:type="dxa"/>
            <w:vAlign w:val="bottom"/>
            <w:shd w:val="clear" w:color="auto" w:fill="EAEAEA"/>
          </w:tcPr>
          <w:p>
            <w:pPr>
              <w:jc w:val="center"/>
              <w:ind w:right="832"/>
              <w:spacing w:after="0"/>
              <w:rPr>
                <w:sz w:val="20"/>
                <w:szCs w:val="20"/>
                <w:color w:val="auto"/>
              </w:rPr>
            </w:pPr>
            <w:r>
              <w:rPr>
                <w:rFonts w:ascii="Arial" w:cs="Arial" w:eastAsia="Arial" w:hAnsi="Arial"/>
                <w:sz w:val="16"/>
                <w:szCs w:val="16"/>
                <w:color w:val="auto"/>
              </w:rPr>
              <w:t>Executive Chairman of the Board and Founder</w:t>
            </w:r>
          </w:p>
        </w:tc>
      </w:tr>
      <w:tr>
        <w:trPr>
          <w:trHeight w:val="445"/>
        </w:trPr>
        <w:tc>
          <w:tcPr>
            <w:tcW w:w="4180" w:type="dxa"/>
            <w:vAlign w:val="bottom"/>
            <w:shd w:val="clear" w:color="auto" w:fill="EAEAEA"/>
          </w:tcPr>
          <w:p>
            <w:pPr>
              <w:jc w:val="center"/>
              <w:spacing w:after="0"/>
              <w:rPr>
                <w:sz w:val="20"/>
                <w:szCs w:val="20"/>
                <w:color w:val="auto"/>
              </w:rPr>
            </w:pPr>
            <w:r>
              <w:rPr>
                <w:rFonts w:ascii="Arial" w:cs="Arial" w:eastAsia="Arial" w:hAnsi="Arial"/>
                <w:sz w:val="20"/>
                <w:szCs w:val="20"/>
                <w:color w:val="052666"/>
                <w:w w:val="98"/>
              </w:rPr>
              <w:t>Steve G. Filton</w:t>
            </w:r>
          </w:p>
        </w:tc>
        <w:tc>
          <w:tcPr>
            <w:tcW w:w="560" w:type="dxa"/>
            <w:vAlign w:val="bottom"/>
            <w:shd w:val="clear" w:color="auto" w:fill="EAEAEA"/>
          </w:tcPr>
          <w:p>
            <w:pPr>
              <w:spacing w:after="0"/>
              <w:rPr>
                <w:sz w:val="24"/>
                <w:szCs w:val="24"/>
                <w:color w:val="auto"/>
              </w:rPr>
            </w:pPr>
          </w:p>
        </w:tc>
        <w:tc>
          <w:tcPr>
            <w:tcW w:w="1800" w:type="dxa"/>
            <w:vAlign w:val="bottom"/>
            <w:shd w:val="clear" w:color="auto" w:fill="EAEAEA"/>
          </w:tcPr>
          <w:p>
            <w:pPr>
              <w:jc w:val="center"/>
              <w:spacing w:after="0"/>
              <w:rPr>
                <w:sz w:val="20"/>
                <w:szCs w:val="20"/>
                <w:color w:val="auto"/>
              </w:rPr>
            </w:pPr>
            <w:r>
              <w:rPr>
                <w:rFonts w:ascii="Arial" w:cs="Arial" w:eastAsia="Arial" w:hAnsi="Arial"/>
                <w:sz w:val="20"/>
                <w:szCs w:val="20"/>
                <w:color w:val="052666"/>
                <w:w w:val="98"/>
              </w:rPr>
              <w:t>Edward H. Sim</w:t>
            </w:r>
          </w:p>
        </w:tc>
        <w:tc>
          <w:tcPr>
            <w:tcW w:w="4700" w:type="dxa"/>
            <w:vAlign w:val="bottom"/>
            <w:shd w:val="clear" w:color="auto" w:fill="EAEAEA"/>
          </w:tcPr>
          <w:p>
            <w:pPr>
              <w:jc w:val="center"/>
              <w:ind w:left="452"/>
              <w:spacing w:after="0"/>
              <w:rPr>
                <w:sz w:val="20"/>
                <w:szCs w:val="20"/>
                <w:color w:val="auto"/>
              </w:rPr>
            </w:pPr>
            <w:r>
              <w:rPr>
                <w:rFonts w:ascii="Arial" w:cs="Arial" w:eastAsia="Arial" w:hAnsi="Arial"/>
                <w:sz w:val="20"/>
                <w:szCs w:val="20"/>
                <w:color w:val="052666"/>
                <w:w w:val="98"/>
              </w:rPr>
              <w:t>Matthew J. Peterson</w:t>
            </w:r>
          </w:p>
        </w:tc>
      </w:tr>
      <w:tr>
        <w:trPr>
          <w:trHeight w:val="189"/>
        </w:trPr>
        <w:tc>
          <w:tcPr>
            <w:tcW w:w="4180" w:type="dxa"/>
            <w:vAlign w:val="bottom"/>
            <w:shd w:val="clear" w:color="auto" w:fill="EAEAEA"/>
          </w:tcPr>
          <w:p>
            <w:pPr>
              <w:jc w:val="center"/>
              <w:spacing w:after="0"/>
              <w:rPr>
                <w:sz w:val="20"/>
                <w:szCs w:val="20"/>
                <w:color w:val="auto"/>
              </w:rPr>
            </w:pPr>
            <w:r>
              <w:rPr>
                <w:rFonts w:ascii="Arial" w:cs="Arial" w:eastAsia="Arial" w:hAnsi="Arial"/>
                <w:sz w:val="16"/>
                <w:szCs w:val="16"/>
                <w:color w:val="auto"/>
              </w:rPr>
              <w:t>Executive Vice President,</w:t>
            </w:r>
          </w:p>
        </w:tc>
        <w:tc>
          <w:tcPr>
            <w:tcW w:w="560" w:type="dxa"/>
            <w:vAlign w:val="bottom"/>
            <w:shd w:val="clear" w:color="auto" w:fill="EAEAEA"/>
          </w:tcPr>
          <w:p>
            <w:pPr>
              <w:spacing w:after="0"/>
              <w:rPr>
                <w:sz w:val="16"/>
                <w:szCs w:val="16"/>
                <w:color w:val="auto"/>
              </w:rPr>
            </w:pPr>
          </w:p>
        </w:tc>
        <w:tc>
          <w:tcPr>
            <w:tcW w:w="1800" w:type="dxa"/>
            <w:vAlign w:val="bottom"/>
            <w:shd w:val="clear" w:color="auto" w:fill="EAEAEA"/>
          </w:tcPr>
          <w:p>
            <w:pPr>
              <w:jc w:val="center"/>
              <w:spacing w:after="0"/>
              <w:rPr>
                <w:sz w:val="20"/>
                <w:szCs w:val="20"/>
                <w:color w:val="auto"/>
              </w:rPr>
            </w:pPr>
            <w:r>
              <w:rPr>
                <w:rFonts w:ascii="Arial" w:cs="Arial" w:eastAsia="Arial" w:hAnsi="Arial"/>
                <w:sz w:val="16"/>
                <w:szCs w:val="16"/>
                <w:color w:val="auto"/>
              </w:rPr>
              <w:t>Executive Vice</w:t>
            </w:r>
          </w:p>
        </w:tc>
        <w:tc>
          <w:tcPr>
            <w:tcW w:w="4700" w:type="dxa"/>
            <w:vAlign w:val="bottom"/>
            <w:shd w:val="clear" w:color="auto" w:fill="EAEAEA"/>
          </w:tcPr>
          <w:p>
            <w:pPr>
              <w:jc w:val="center"/>
              <w:ind w:left="452"/>
              <w:spacing w:after="0"/>
              <w:rPr>
                <w:sz w:val="20"/>
                <w:szCs w:val="20"/>
                <w:color w:val="auto"/>
              </w:rPr>
            </w:pPr>
            <w:r>
              <w:rPr>
                <w:rFonts w:ascii="Arial" w:cs="Arial" w:eastAsia="Arial" w:hAnsi="Arial"/>
                <w:sz w:val="16"/>
                <w:szCs w:val="16"/>
                <w:color w:val="auto"/>
              </w:rPr>
              <w:t>Executive Vice President,</w:t>
            </w:r>
          </w:p>
        </w:tc>
      </w:tr>
      <w:tr>
        <w:trPr>
          <w:trHeight w:val="189"/>
        </w:trPr>
        <w:tc>
          <w:tcPr>
            <w:tcW w:w="4180" w:type="dxa"/>
            <w:vAlign w:val="bottom"/>
            <w:shd w:val="clear" w:color="auto" w:fill="EAEAEA"/>
          </w:tcPr>
          <w:p>
            <w:pPr>
              <w:jc w:val="center"/>
              <w:spacing w:after="0"/>
              <w:rPr>
                <w:sz w:val="20"/>
                <w:szCs w:val="20"/>
                <w:color w:val="auto"/>
              </w:rPr>
            </w:pPr>
            <w:r>
              <w:rPr>
                <w:rFonts w:ascii="Arial" w:cs="Arial" w:eastAsia="Arial" w:hAnsi="Arial"/>
                <w:sz w:val="16"/>
                <w:szCs w:val="16"/>
                <w:color w:val="auto"/>
              </w:rPr>
              <w:t>Chief Financial Officer and</w:t>
            </w:r>
          </w:p>
        </w:tc>
        <w:tc>
          <w:tcPr>
            <w:tcW w:w="560" w:type="dxa"/>
            <w:vAlign w:val="bottom"/>
            <w:shd w:val="clear" w:color="auto" w:fill="EAEAEA"/>
          </w:tcPr>
          <w:p>
            <w:pPr>
              <w:spacing w:after="0"/>
              <w:rPr>
                <w:sz w:val="16"/>
                <w:szCs w:val="16"/>
                <w:color w:val="auto"/>
              </w:rPr>
            </w:pPr>
          </w:p>
        </w:tc>
        <w:tc>
          <w:tcPr>
            <w:tcW w:w="18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9"/>
              </w:rPr>
              <w:t>President,</w:t>
            </w:r>
          </w:p>
        </w:tc>
        <w:tc>
          <w:tcPr>
            <w:tcW w:w="4700" w:type="dxa"/>
            <w:vAlign w:val="bottom"/>
            <w:shd w:val="clear" w:color="auto" w:fill="EAEAEA"/>
          </w:tcPr>
          <w:p>
            <w:pPr>
              <w:jc w:val="center"/>
              <w:ind w:left="452"/>
              <w:spacing w:after="0"/>
              <w:rPr>
                <w:sz w:val="20"/>
                <w:szCs w:val="20"/>
                <w:color w:val="auto"/>
              </w:rPr>
            </w:pPr>
            <w:r>
              <w:rPr>
                <w:rFonts w:ascii="Arial" w:cs="Arial" w:eastAsia="Arial" w:hAnsi="Arial"/>
                <w:sz w:val="16"/>
                <w:szCs w:val="16"/>
                <w:color w:val="auto"/>
              </w:rPr>
              <w:t>President of Behavioral Health Division</w:t>
            </w:r>
          </w:p>
        </w:tc>
      </w:tr>
      <w:tr>
        <w:trPr>
          <w:trHeight w:val="203"/>
        </w:trPr>
        <w:tc>
          <w:tcPr>
            <w:tcW w:w="4180" w:type="dxa"/>
            <w:vAlign w:val="bottom"/>
            <w:shd w:val="clear" w:color="auto" w:fill="EAEAEA"/>
          </w:tcPr>
          <w:p>
            <w:pPr>
              <w:jc w:val="center"/>
              <w:spacing w:after="0"/>
              <w:rPr>
                <w:sz w:val="20"/>
                <w:szCs w:val="20"/>
                <w:color w:val="auto"/>
              </w:rPr>
            </w:pPr>
            <w:r>
              <w:rPr>
                <w:rFonts w:ascii="Arial" w:cs="Arial" w:eastAsia="Arial" w:hAnsi="Arial"/>
                <w:sz w:val="16"/>
                <w:szCs w:val="16"/>
                <w:color w:val="auto"/>
              </w:rPr>
              <w:t>Secretary</w:t>
            </w:r>
          </w:p>
        </w:tc>
        <w:tc>
          <w:tcPr>
            <w:tcW w:w="7060" w:type="dxa"/>
            <w:vAlign w:val="bottom"/>
            <w:gridSpan w:val="3"/>
            <w:shd w:val="clear" w:color="auto" w:fill="EAEAEA"/>
          </w:tcPr>
          <w:p>
            <w:pPr>
              <w:jc w:val="center"/>
              <w:ind w:right="4052"/>
              <w:spacing w:after="0"/>
              <w:rPr>
                <w:sz w:val="20"/>
                <w:szCs w:val="20"/>
                <w:color w:val="auto"/>
              </w:rPr>
            </w:pPr>
            <w:r>
              <w:rPr>
                <w:rFonts w:ascii="Arial" w:cs="Arial" w:eastAsia="Arial" w:hAnsi="Arial"/>
                <w:sz w:val="16"/>
                <w:szCs w:val="16"/>
                <w:color w:val="auto"/>
              </w:rPr>
              <w:t>President of Acute Care Division</w:t>
            </w:r>
          </w:p>
        </w:tc>
      </w:tr>
    </w:tbl>
    <w:p>
      <w:pPr>
        <w:spacing w:after="0" w:line="21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52666"/>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gridSpan w:val="15"/>
          </w:tcPr>
          <w:p>
            <w:pPr>
              <w:spacing w:after="0"/>
              <w:rPr>
                <w:sz w:val="20"/>
                <w:szCs w:val="20"/>
                <w:color w:val="auto"/>
              </w:rPr>
            </w:pPr>
            <w:r>
              <w:rPr>
                <w:rFonts w:ascii="Arial" w:cs="Arial" w:eastAsia="Arial" w:hAnsi="Arial"/>
                <w:sz w:val="20"/>
                <w:szCs w:val="20"/>
                <w:b w:val="1"/>
                <w:bCs w:val="1"/>
                <w:color w:val="0000FF"/>
              </w:rPr>
              <w:t>Compensation Discussion and Analysis</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052666"/>
              </w:rPr>
              <w:t>28</w:t>
            </w:r>
          </w:p>
        </w:tc>
        <w:tc>
          <w:tcPr>
            <w:tcW w:w="0" w:type="dxa"/>
            <w:vAlign w:val="bottom"/>
          </w:tcPr>
          <w:p>
            <w:pPr>
              <w:spacing w:after="0"/>
              <w:rPr>
                <w:sz w:val="1"/>
                <w:szCs w:val="1"/>
                <w:color w:val="auto"/>
              </w:rPr>
            </w:pPr>
          </w:p>
        </w:tc>
      </w:tr>
      <w:tr>
        <w:trPr>
          <w:trHeight w:val="20"/>
        </w:trPr>
        <w:tc>
          <w:tcPr>
            <w:tcW w:w="340" w:type="dxa"/>
            <w:vAlign w:val="bottom"/>
            <w:tcBorders>
              <w:top w:val="single" w:sz="8" w:color="0000FF"/>
              <w:bottom w:val="single" w:sz="8" w:color="666666"/>
            </w:tcBorders>
          </w:tcPr>
          <w:p>
            <w:pPr>
              <w:spacing w:after="0" w:line="20" w:lineRule="exact"/>
              <w:rPr>
                <w:sz w:val="1"/>
                <w:szCs w:val="1"/>
                <w:color w:val="auto"/>
              </w:rPr>
            </w:pPr>
          </w:p>
        </w:tc>
        <w:tc>
          <w:tcPr>
            <w:tcW w:w="720" w:type="dxa"/>
            <w:vAlign w:val="bottom"/>
            <w:tcBorders>
              <w:top w:val="single" w:sz="8" w:color="0000FF"/>
              <w:bottom w:val="single" w:sz="8" w:color="666666"/>
            </w:tcBorders>
          </w:tcPr>
          <w:p>
            <w:pPr>
              <w:spacing w:after="0" w:line="20" w:lineRule="exact"/>
              <w:rPr>
                <w:sz w:val="1"/>
                <w:szCs w:val="1"/>
                <w:color w:val="auto"/>
              </w:rPr>
            </w:pPr>
          </w:p>
        </w:tc>
        <w:tc>
          <w:tcPr>
            <w:tcW w:w="140" w:type="dxa"/>
            <w:vAlign w:val="bottom"/>
            <w:tcBorders>
              <w:top w:val="single" w:sz="8" w:color="0000FF"/>
              <w:bottom w:val="single" w:sz="8" w:color="666666"/>
            </w:tcBorders>
          </w:tcPr>
          <w:p>
            <w:pPr>
              <w:spacing w:after="0" w:line="20" w:lineRule="exact"/>
              <w:rPr>
                <w:sz w:val="1"/>
                <w:szCs w:val="1"/>
                <w:color w:val="auto"/>
              </w:rPr>
            </w:pPr>
          </w:p>
        </w:tc>
        <w:tc>
          <w:tcPr>
            <w:tcW w:w="860" w:type="dxa"/>
            <w:vAlign w:val="bottom"/>
            <w:tcBorders>
              <w:top w:val="single" w:sz="8" w:color="0000FF"/>
              <w:bottom w:val="single" w:sz="8" w:color="666666"/>
            </w:tcBorders>
          </w:tcPr>
          <w:p>
            <w:pPr>
              <w:spacing w:after="0" w:line="20" w:lineRule="exact"/>
              <w:rPr>
                <w:sz w:val="1"/>
                <w:szCs w:val="1"/>
                <w:color w:val="auto"/>
              </w:rPr>
            </w:pPr>
          </w:p>
        </w:tc>
        <w:tc>
          <w:tcPr>
            <w:tcW w:w="200" w:type="dxa"/>
            <w:vAlign w:val="bottom"/>
            <w:tcBorders>
              <w:top w:val="single" w:sz="8" w:color="0000FF"/>
              <w:bottom w:val="single" w:sz="8" w:color="666666"/>
            </w:tcBorders>
          </w:tcPr>
          <w:p>
            <w:pPr>
              <w:spacing w:after="0" w:line="20" w:lineRule="exact"/>
              <w:rPr>
                <w:sz w:val="1"/>
                <w:szCs w:val="1"/>
                <w:color w:val="auto"/>
              </w:rPr>
            </w:pPr>
          </w:p>
        </w:tc>
        <w:tc>
          <w:tcPr>
            <w:tcW w:w="140" w:type="dxa"/>
            <w:vAlign w:val="bottom"/>
            <w:tcBorders>
              <w:top w:val="single" w:sz="8" w:color="0000FF"/>
              <w:bottom w:val="single" w:sz="8" w:color="666666"/>
            </w:tcBorders>
          </w:tcPr>
          <w:p>
            <w:pPr>
              <w:spacing w:after="0" w:line="20" w:lineRule="exact"/>
              <w:rPr>
                <w:sz w:val="1"/>
                <w:szCs w:val="1"/>
                <w:color w:val="auto"/>
              </w:rPr>
            </w:pPr>
          </w:p>
        </w:tc>
        <w:tc>
          <w:tcPr>
            <w:tcW w:w="20" w:type="dxa"/>
            <w:vAlign w:val="bottom"/>
            <w:tcBorders>
              <w:top w:val="single" w:sz="8" w:color="0000FF"/>
              <w:bottom w:val="single" w:sz="8" w:color="666666"/>
            </w:tcBorders>
          </w:tcPr>
          <w:p>
            <w:pPr>
              <w:spacing w:after="0" w:line="20" w:lineRule="exact"/>
              <w:rPr>
                <w:sz w:val="1"/>
                <w:szCs w:val="1"/>
                <w:color w:val="auto"/>
              </w:rPr>
            </w:pPr>
          </w:p>
        </w:tc>
        <w:tc>
          <w:tcPr>
            <w:tcW w:w="260" w:type="dxa"/>
            <w:vAlign w:val="bottom"/>
            <w:tcBorders>
              <w:top w:val="single" w:sz="8" w:color="0000FF"/>
              <w:bottom w:val="single" w:sz="8" w:color="666666"/>
            </w:tcBorders>
          </w:tcPr>
          <w:p>
            <w:pPr>
              <w:spacing w:after="0" w:line="20" w:lineRule="exact"/>
              <w:rPr>
                <w:sz w:val="1"/>
                <w:szCs w:val="1"/>
                <w:color w:val="auto"/>
              </w:rPr>
            </w:pPr>
          </w:p>
        </w:tc>
        <w:tc>
          <w:tcPr>
            <w:tcW w:w="360" w:type="dxa"/>
            <w:vAlign w:val="bottom"/>
            <w:tcBorders>
              <w:top w:val="single" w:sz="8" w:color="0000FF"/>
              <w:bottom w:val="single" w:sz="8" w:color="666666"/>
            </w:tcBorders>
          </w:tcPr>
          <w:p>
            <w:pPr>
              <w:spacing w:after="0" w:line="20" w:lineRule="exact"/>
              <w:rPr>
                <w:sz w:val="1"/>
                <w:szCs w:val="1"/>
                <w:color w:val="auto"/>
              </w:rPr>
            </w:pPr>
          </w:p>
        </w:tc>
        <w:tc>
          <w:tcPr>
            <w:tcW w:w="120" w:type="dxa"/>
            <w:vAlign w:val="bottom"/>
            <w:tcBorders>
              <w:top w:val="single" w:sz="8" w:color="0000FF"/>
              <w:bottom w:val="single" w:sz="8" w:color="666666"/>
            </w:tcBorders>
          </w:tcPr>
          <w:p>
            <w:pPr>
              <w:spacing w:after="0" w:line="20" w:lineRule="exact"/>
              <w:rPr>
                <w:sz w:val="1"/>
                <w:szCs w:val="1"/>
                <w:color w:val="auto"/>
              </w:rPr>
            </w:pPr>
          </w:p>
        </w:tc>
        <w:tc>
          <w:tcPr>
            <w:tcW w:w="480" w:type="dxa"/>
            <w:vAlign w:val="bottom"/>
            <w:tcBorders>
              <w:top w:val="single" w:sz="8" w:color="0000FF"/>
              <w:bottom w:val="single" w:sz="8" w:color="666666"/>
            </w:tcBorders>
          </w:tcPr>
          <w:p>
            <w:pPr>
              <w:spacing w:after="0" w:line="20" w:lineRule="exact"/>
              <w:rPr>
                <w:sz w:val="1"/>
                <w:szCs w:val="1"/>
                <w:color w:val="auto"/>
              </w:rPr>
            </w:pPr>
          </w:p>
        </w:tc>
        <w:tc>
          <w:tcPr>
            <w:tcW w:w="120" w:type="dxa"/>
            <w:vAlign w:val="bottom"/>
            <w:tcBorders>
              <w:top w:val="single" w:sz="8" w:color="0000FF"/>
              <w:bottom w:val="single" w:sz="8" w:color="666666"/>
            </w:tcBorders>
          </w:tcPr>
          <w:p>
            <w:pPr>
              <w:spacing w:after="0" w:line="20" w:lineRule="exact"/>
              <w:rPr>
                <w:sz w:val="1"/>
                <w:szCs w:val="1"/>
                <w:color w:val="auto"/>
              </w:rPr>
            </w:pPr>
          </w:p>
        </w:tc>
        <w:tc>
          <w:tcPr>
            <w:tcW w:w="220" w:type="dxa"/>
            <w:vAlign w:val="bottom"/>
            <w:tcBorders>
              <w:bottom w:val="single" w:sz="8" w:color="666666"/>
            </w:tcBorders>
          </w:tcPr>
          <w:p>
            <w:pPr>
              <w:spacing w:after="0" w:line="20" w:lineRule="exact"/>
              <w:rPr>
                <w:sz w:val="1"/>
                <w:szCs w:val="1"/>
                <w:color w:val="auto"/>
              </w:rPr>
            </w:pPr>
          </w:p>
        </w:tc>
        <w:tc>
          <w:tcPr>
            <w:tcW w:w="1840" w:type="dxa"/>
            <w:vAlign w:val="bottom"/>
            <w:tcBorders>
              <w:bottom w:val="single" w:sz="8" w:color="666666"/>
            </w:tcBorders>
          </w:tcPr>
          <w:p>
            <w:pPr>
              <w:spacing w:after="0" w:line="20" w:lineRule="exact"/>
              <w:rPr>
                <w:sz w:val="1"/>
                <w:szCs w:val="1"/>
                <w:color w:val="auto"/>
              </w:rPr>
            </w:pPr>
          </w:p>
        </w:tc>
        <w:tc>
          <w:tcPr>
            <w:tcW w:w="3520" w:type="dxa"/>
            <w:vAlign w:val="bottom"/>
            <w:tcBorders>
              <w:bottom w:val="single" w:sz="8" w:color="666666"/>
            </w:tcBorders>
          </w:tcPr>
          <w:p>
            <w:pPr>
              <w:spacing w:after="0" w:line="20" w:lineRule="exact"/>
              <w:rPr>
                <w:sz w:val="1"/>
                <w:szCs w:val="1"/>
                <w:color w:val="auto"/>
              </w:rPr>
            </w:pPr>
          </w:p>
        </w:tc>
        <w:tc>
          <w:tcPr>
            <w:tcW w:w="190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0" w:type="dxa"/>
            <w:vAlign w:val="bottom"/>
          </w:tcPr>
          <w:p>
            <w:pPr>
              <w:spacing w:after="0"/>
              <w:rPr>
                <w:sz w:val="21"/>
                <w:szCs w:val="21"/>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Our 2025 Performance and Highlights</w:t>
            </w:r>
          </w:p>
        </w:tc>
        <w:tc>
          <w:tcPr>
            <w:tcW w:w="19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Our Executive Officers</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Compensation Philosophy and Objectives</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Compensation Setting Process</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Elements of Compensation</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Compensation Peer Group</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Annual Base Salary</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Annual Cash Incentives</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Long-Term Incentives</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Deferred Compensation</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Retirement Benefits</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Benefits</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line="20" w:lineRule="exact"/>
              <w:rPr>
                <w:sz w:val="1"/>
                <w:szCs w:val="1"/>
                <w:color w:val="auto"/>
              </w:rPr>
            </w:pPr>
          </w:p>
        </w:tc>
      </w:tr>
      <w:tr>
        <w:trPr>
          <w:trHeight w:val="277"/>
        </w:trPr>
        <w:tc>
          <w:tcPr>
            <w:tcW w:w="34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20"/>
                <w:szCs w:val="20"/>
                <w:color w:val="0000FF"/>
              </w:rPr>
              <w:t>Summary</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20"/>
                <w:szCs w:val="20"/>
                <w:b w:val="1"/>
                <w:bCs w:val="1"/>
                <w:color w:val="052666"/>
              </w:rPr>
              <w:t>45</w:t>
            </w:r>
          </w:p>
        </w:tc>
        <w:tc>
          <w:tcPr>
            <w:tcW w:w="0" w:type="dxa"/>
            <w:vAlign w:val="bottom"/>
          </w:tcPr>
          <w:p>
            <w:pPr>
              <w:spacing w:after="0" w:line="20" w:lineRule="exact"/>
              <w:rPr>
                <w:sz w:val="1"/>
                <w:szCs w:val="1"/>
                <w:color w:val="auto"/>
              </w:rPr>
            </w:pPr>
          </w:p>
        </w:tc>
      </w:tr>
      <w:tr>
        <w:trPr>
          <w:trHeight w:val="426"/>
        </w:trPr>
        <w:tc>
          <w:tcPr>
            <w:tcW w:w="9340" w:type="dxa"/>
            <w:vAlign w:val="bottom"/>
            <w:gridSpan w:val="15"/>
          </w:tcPr>
          <w:p>
            <w:pPr>
              <w:spacing w:after="0"/>
              <w:rPr>
                <w:sz w:val="20"/>
                <w:szCs w:val="20"/>
                <w:color w:val="auto"/>
              </w:rPr>
            </w:pPr>
            <w:r>
              <w:rPr>
                <w:rFonts w:ascii="Arial" w:cs="Arial" w:eastAsia="Arial" w:hAnsi="Arial"/>
                <w:sz w:val="20"/>
                <w:szCs w:val="20"/>
                <w:b w:val="1"/>
                <w:bCs w:val="1"/>
                <w:color w:val="0000FF"/>
              </w:rPr>
              <w:t>Compensation Committee Report</w:t>
            </w: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FF"/>
              <w:bottom w:val="single" w:sz="8" w:color="666666"/>
            </w:tcBorders>
          </w:tcPr>
          <w:p>
            <w:pPr>
              <w:spacing w:after="0" w:line="20" w:lineRule="exact"/>
              <w:rPr>
                <w:sz w:val="1"/>
                <w:szCs w:val="1"/>
                <w:color w:val="auto"/>
              </w:rPr>
            </w:pPr>
          </w:p>
        </w:tc>
        <w:tc>
          <w:tcPr>
            <w:tcW w:w="720" w:type="dxa"/>
            <w:vAlign w:val="bottom"/>
            <w:tcBorders>
              <w:top w:val="single" w:sz="8" w:color="0000FF"/>
              <w:bottom w:val="single" w:sz="8" w:color="666666"/>
            </w:tcBorders>
          </w:tcPr>
          <w:p>
            <w:pPr>
              <w:spacing w:after="0" w:line="20" w:lineRule="exact"/>
              <w:rPr>
                <w:sz w:val="1"/>
                <w:szCs w:val="1"/>
                <w:color w:val="auto"/>
              </w:rPr>
            </w:pPr>
          </w:p>
        </w:tc>
        <w:tc>
          <w:tcPr>
            <w:tcW w:w="140" w:type="dxa"/>
            <w:vAlign w:val="bottom"/>
            <w:tcBorders>
              <w:top w:val="single" w:sz="8" w:color="0000FF"/>
              <w:bottom w:val="single" w:sz="8" w:color="666666"/>
            </w:tcBorders>
          </w:tcPr>
          <w:p>
            <w:pPr>
              <w:spacing w:after="0" w:line="20" w:lineRule="exact"/>
              <w:rPr>
                <w:sz w:val="1"/>
                <w:szCs w:val="1"/>
                <w:color w:val="auto"/>
              </w:rPr>
            </w:pPr>
          </w:p>
        </w:tc>
        <w:tc>
          <w:tcPr>
            <w:tcW w:w="860" w:type="dxa"/>
            <w:vAlign w:val="bottom"/>
            <w:tcBorders>
              <w:top w:val="single" w:sz="8" w:color="0000FF"/>
              <w:bottom w:val="single" w:sz="8" w:color="666666"/>
            </w:tcBorders>
          </w:tcPr>
          <w:p>
            <w:pPr>
              <w:spacing w:after="0" w:line="20" w:lineRule="exact"/>
              <w:rPr>
                <w:sz w:val="1"/>
                <w:szCs w:val="1"/>
                <w:color w:val="auto"/>
              </w:rPr>
            </w:pPr>
          </w:p>
        </w:tc>
        <w:tc>
          <w:tcPr>
            <w:tcW w:w="200" w:type="dxa"/>
            <w:vAlign w:val="bottom"/>
            <w:tcBorders>
              <w:top w:val="single" w:sz="8" w:color="0000FF"/>
              <w:bottom w:val="single" w:sz="8" w:color="666666"/>
            </w:tcBorders>
          </w:tcPr>
          <w:p>
            <w:pPr>
              <w:spacing w:after="0" w:line="20" w:lineRule="exact"/>
              <w:rPr>
                <w:sz w:val="1"/>
                <w:szCs w:val="1"/>
                <w:color w:val="auto"/>
              </w:rPr>
            </w:pPr>
          </w:p>
        </w:tc>
        <w:tc>
          <w:tcPr>
            <w:tcW w:w="140" w:type="dxa"/>
            <w:vAlign w:val="bottom"/>
            <w:tcBorders>
              <w:top w:val="single" w:sz="8" w:color="0000FF"/>
              <w:bottom w:val="single" w:sz="8" w:color="666666"/>
            </w:tcBorders>
          </w:tcPr>
          <w:p>
            <w:pPr>
              <w:spacing w:after="0" w:line="20" w:lineRule="exact"/>
              <w:rPr>
                <w:sz w:val="1"/>
                <w:szCs w:val="1"/>
                <w:color w:val="auto"/>
              </w:rPr>
            </w:pPr>
          </w:p>
        </w:tc>
        <w:tc>
          <w:tcPr>
            <w:tcW w:w="20" w:type="dxa"/>
            <w:vAlign w:val="bottom"/>
            <w:tcBorders>
              <w:top w:val="single" w:sz="8" w:color="0000FF"/>
              <w:bottom w:val="single" w:sz="8" w:color="666666"/>
            </w:tcBorders>
          </w:tcPr>
          <w:p>
            <w:pPr>
              <w:spacing w:after="0" w:line="20" w:lineRule="exact"/>
              <w:rPr>
                <w:sz w:val="1"/>
                <w:szCs w:val="1"/>
                <w:color w:val="auto"/>
              </w:rPr>
            </w:pPr>
          </w:p>
        </w:tc>
        <w:tc>
          <w:tcPr>
            <w:tcW w:w="260" w:type="dxa"/>
            <w:vAlign w:val="bottom"/>
            <w:tcBorders>
              <w:top w:val="single" w:sz="8" w:color="0000FF"/>
              <w:bottom w:val="single" w:sz="8" w:color="666666"/>
            </w:tcBorders>
          </w:tcPr>
          <w:p>
            <w:pPr>
              <w:spacing w:after="0" w:line="20" w:lineRule="exact"/>
              <w:rPr>
                <w:sz w:val="1"/>
                <w:szCs w:val="1"/>
                <w:color w:val="auto"/>
              </w:rPr>
            </w:pPr>
          </w:p>
        </w:tc>
        <w:tc>
          <w:tcPr>
            <w:tcW w:w="360" w:type="dxa"/>
            <w:vAlign w:val="bottom"/>
            <w:tcBorders>
              <w:top w:val="single" w:sz="8" w:color="0000FF"/>
              <w:bottom w:val="single" w:sz="8" w:color="666666"/>
            </w:tcBorders>
          </w:tcPr>
          <w:p>
            <w:pPr>
              <w:spacing w:after="0" w:line="20" w:lineRule="exact"/>
              <w:rPr>
                <w:sz w:val="1"/>
                <w:szCs w:val="1"/>
                <w:color w:val="auto"/>
              </w:rPr>
            </w:pPr>
          </w:p>
        </w:tc>
        <w:tc>
          <w:tcPr>
            <w:tcW w:w="120" w:type="dxa"/>
            <w:vAlign w:val="bottom"/>
            <w:tcBorders>
              <w:top w:val="single" w:sz="8" w:color="0000FF"/>
              <w:bottom w:val="single" w:sz="8" w:color="666666"/>
            </w:tcBorders>
          </w:tcPr>
          <w:p>
            <w:pPr>
              <w:spacing w:after="0" w:line="20" w:lineRule="exact"/>
              <w:rPr>
                <w:sz w:val="1"/>
                <w:szCs w:val="1"/>
                <w:color w:val="auto"/>
              </w:rPr>
            </w:pPr>
          </w:p>
        </w:tc>
        <w:tc>
          <w:tcPr>
            <w:tcW w:w="480" w:type="dxa"/>
            <w:vAlign w:val="bottom"/>
            <w:tcBorders>
              <w:bottom w:val="single" w:sz="8" w:color="666666"/>
            </w:tcBorders>
          </w:tcPr>
          <w:p>
            <w:pPr>
              <w:spacing w:after="0" w:line="20" w:lineRule="exact"/>
              <w:rPr>
                <w:sz w:val="1"/>
                <w:szCs w:val="1"/>
                <w:color w:val="auto"/>
              </w:rPr>
            </w:pPr>
          </w:p>
        </w:tc>
        <w:tc>
          <w:tcPr>
            <w:tcW w:w="120" w:type="dxa"/>
            <w:vAlign w:val="bottom"/>
            <w:tcBorders>
              <w:bottom w:val="single" w:sz="8" w:color="666666"/>
            </w:tcBorders>
          </w:tcPr>
          <w:p>
            <w:pPr>
              <w:spacing w:after="0" w:line="20" w:lineRule="exact"/>
              <w:rPr>
                <w:sz w:val="1"/>
                <w:szCs w:val="1"/>
                <w:color w:val="auto"/>
              </w:rPr>
            </w:pPr>
          </w:p>
        </w:tc>
        <w:tc>
          <w:tcPr>
            <w:tcW w:w="220" w:type="dxa"/>
            <w:vAlign w:val="bottom"/>
            <w:tcBorders>
              <w:bottom w:val="single" w:sz="8" w:color="666666"/>
            </w:tcBorders>
          </w:tcPr>
          <w:p>
            <w:pPr>
              <w:spacing w:after="0" w:line="20" w:lineRule="exact"/>
              <w:rPr>
                <w:sz w:val="1"/>
                <w:szCs w:val="1"/>
                <w:color w:val="auto"/>
              </w:rPr>
            </w:pPr>
          </w:p>
        </w:tc>
        <w:tc>
          <w:tcPr>
            <w:tcW w:w="1840" w:type="dxa"/>
            <w:vAlign w:val="bottom"/>
            <w:tcBorders>
              <w:bottom w:val="single" w:sz="8" w:color="666666"/>
            </w:tcBorders>
          </w:tcPr>
          <w:p>
            <w:pPr>
              <w:spacing w:after="0" w:line="20" w:lineRule="exact"/>
              <w:rPr>
                <w:sz w:val="1"/>
                <w:szCs w:val="1"/>
                <w:color w:val="auto"/>
              </w:rPr>
            </w:pPr>
          </w:p>
        </w:tc>
        <w:tc>
          <w:tcPr>
            <w:tcW w:w="3520" w:type="dxa"/>
            <w:vAlign w:val="bottom"/>
            <w:tcBorders>
              <w:bottom w:val="single" w:sz="8" w:color="666666"/>
            </w:tcBorders>
          </w:tcPr>
          <w:p>
            <w:pPr>
              <w:spacing w:after="0" w:line="20" w:lineRule="exact"/>
              <w:rPr>
                <w:sz w:val="1"/>
                <w:szCs w:val="1"/>
                <w:color w:val="auto"/>
              </w:rPr>
            </w:pPr>
          </w:p>
        </w:tc>
        <w:tc>
          <w:tcPr>
            <w:tcW w:w="190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340" w:type="dxa"/>
            <w:vAlign w:val="bottom"/>
            <w:gridSpan w:val="15"/>
          </w:tcPr>
          <w:p>
            <w:pPr>
              <w:spacing w:after="0"/>
              <w:rPr>
                <w:sz w:val="20"/>
                <w:szCs w:val="20"/>
                <w:color w:val="auto"/>
              </w:rPr>
            </w:pPr>
            <w:r>
              <w:rPr>
                <w:rFonts w:ascii="Arial" w:cs="Arial" w:eastAsia="Arial" w:hAnsi="Arial"/>
                <w:sz w:val="20"/>
                <w:szCs w:val="20"/>
                <w:b w:val="1"/>
                <w:bCs w:val="1"/>
                <w:color w:val="0000FF"/>
              </w:rPr>
              <w:t>Compensation Committee Interlocks and Insider Participation</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052666"/>
              </w:rPr>
              <w:t>45</w:t>
            </w:r>
          </w:p>
        </w:tc>
        <w:tc>
          <w:tcPr>
            <w:tcW w:w="0" w:type="dxa"/>
            <w:vAlign w:val="bottom"/>
          </w:tcPr>
          <w:p>
            <w:pPr>
              <w:spacing w:after="0"/>
              <w:rPr>
                <w:sz w:val="1"/>
                <w:szCs w:val="1"/>
                <w:color w:val="auto"/>
              </w:rPr>
            </w:pPr>
          </w:p>
        </w:tc>
      </w:tr>
      <w:tr>
        <w:trPr>
          <w:trHeight w:val="20"/>
        </w:trPr>
        <w:tc>
          <w:tcPr>
            <w:tcW w:w="340" w:type="dxa"/>
            <w:vAlign w:val="bottom"/>
            <w:tcBorders>
              <w:top w:val="single" w:sz="8" w:color="0000FF"/>
              <w:bottom w:val="single" w:sz="8" w:color="666666"/>
            </w:tcBorders>
          </w:tcPr>
          <w:p>
            <w:pPr>
              <w:spacing w:after="0" w:line="20" w:lineRule="exact"/>
              <w:rPr>
                <w:sz w:val="1"/>
                <w:szCs w:val="1"/>
                <w:color w:val="auto"/>
              </w:rPr>
            </w:pPr>
          </w:p>
        </w:tc>
        <w:tc>
          <w:tcPr>
            <w:tcW w:w="720" w:type="dxa"/>
            <w:vAlign w:val="bottom"/>
            <w:tcBorders>
              <w:top w:val="single" w:sz="8" w:color="0000FF"/>
              <w:bottom w:val="single" w:sz="8" w:color="666666"/>
            </w:tcBorders>
          </w:tcPr>
          <w:p>
            <w:pPr>
              <w:spacing w:after="0" w:line="20" w:lineRule="exact"/>
              <w:rPr>
                <w:sz w:val="1"/>
                <w:szCs w:val="1"/>
                <w:color w:val="auto"/>
              </w:rPr>
            </w:pPr>
          </w:p>
        </w:tc>
        <w:tc>
          <w:tcPr>
            <w:tcW w:w="140" w:type="dxa"/>
            <w:vAlign w:val="bottom"/>
            <w:tcBorders>
              <w:top w:val="single" w:sz="8" w:color="0000FF"/>
              <w:bottom w:val="single" w:sz="8" w:color="666666"/>
            </w:tcBorders>
          </w:tcPr>
          <w:p>
            <w:pPr>
              <w:spacing w:after="0" w:line="20" w:lineRule="exact"/>
              <w:rPr>
                <w:sz w:val="1"/>
                <w:szCs w:val="1"/>
                <w:color w:val="auto"/>
              </w:rPr>
            </w:pPr>
          </w:p>
        </w:tc>
        <w:tc>
          <w:tcPr>
            <w:tcW w:w="860" w:type="dxa"/>
            <w:vAlign w:val="bottom"/>
            <w:tcBorders>
              <w:top w:val="single" w:sz="8" w:color="0000FF"/>
              <w:bottom w:val="single" w:sz="8" w:color="666666"/>
            </w:tcBorders>
          </w:tcPr>
          <w:p>
            <w:pPr>
              <w:spacing w:after="0" w:line="20" w:lineRule="exact"/>
              <w:rPr>
                <w:sz w:val="1"/>
                <w:szCs w:val="1"/>
                <w:color w:val="auto"/>
              </w:rPr>
            </w:pPr>
          </w:p>
        </w:tc>
        <w:tc>
          <w:tcPr>
            <w:tcW w:w="200" w:type="dxa"/>
            <w:vAlign w:val="bottom"/>
            <w:tcBorders>
              <w:top w:val="single" w:sz="8" w:color="0000FF"/>
              <w:bottom w:val="single" w:sz="8" w:color="666666"/>
            </w:tcBorders>
          </w:tcPr>
          <w:p>
            <w:pPr>
              <w:spacing w:after="0" w:line="20" w:lineRule="exact"/>
              <w:rPr>
                <w:sz w:val="1"/>
                <w:szCs w:val="1"/>
                <w:color w:val="auto"/>
              </w:rPr>
            </w:pPr>
          </w:p>
        </w:tc>
        <w:tc>
          <w:tcPr>
            <w:tcW w:w="140" w:type="dxa"/>
            <w:vAlign w:val="bottom"/>
            <w:tcBorders>
              <w:top w:val="single" w:sz="8" w:color="0000FF"/>
              <w:bottom w:val="single" w:sz="8" w:color="666666"/>
            </w:tcBorders>
          </w:tcPr>
          <w:p>
            <w:pPr>
              <w:spacing w:after="0" w:line="20" w:lineRule="exact"/>
              <w:rPr>
                <w:sz w:val="1"/>
                <w:szCs w:val="1"/>
                <w:color w:val="auto"/>
              </w:rPr>
            </w:pPr>
          </w:p>
        </w:tc>
        <w:tc>
          <w:tcPr>
            <w:tcW w:w="20" w:type="dxa"/>
            <w:vAlign w:val="bottom"/>
            <w:tcBorders>
              <w:top w:val="single" w:sz="8" w:color="0000FF"/>
              <w:bottom w:val="single" w:sz="8" w:color="666666"/>
            </w:tcBorders>
          </w:tcPr>
          <w:p>
            <w:pPr>
              <w:spacing w:after="0" w:line="20" w:lineRule="exact"/>
              <w:rPr>
                <w:sz w:val="1"/>
                <w:szCs w:val="1"/>
                <w:color w:val="auto"/>
              </w:rPr>
            </w:pPr>
          </w:p>
        </w:tc>
        <w:tc>
          <w:tcPr>
            <w:tcW w:w="260" w:type="dxa"/>
            <w:vAlign w:val="bottom"/>
            <w:tcBorders>
              <w:top w:val="single" w:sz="8" w:color="0000FF"/>
              <w:bottom w:val="single" w:sz="8" w:color="666666"/>
            </w:tcBorders>
          </w:tcPr>
          <w:p>
            <w:pPr>
              <w:spacing w:after="0" w:line="20" w:lineRule="exact"/>
              <w:rPr>
                <w:sz w:val="1"/>
                <w:szCs w:val="1"/>
                <w:color w:val="auto"/>
              </w:rPr>
            </w:pPr>
          </w:p>
        </w:tc>
        <w:tc>
          <w:tcPr>
            <w:tcW w:w="360" w:type="dxa"/>
            <w:vAlign w:val="bottom"/>
            <w:tcBorders>
              <w:top w:val="single" w:sz="8" w:color="0000FF"/>
              <w:bottom w:val="single" w:sz="8" w:color="666666"/>
            </w:tcBorders>
          </w:tcPr>
          <w:p>
            <w:pPr>
              <w:spacing w:after="0" w:line="20" w:lineRule="exact"/>
              <w:rPr>
                <w:sz w:val="1"/>
                <w:szCs w:val="1"/>
                <w:color w:val="auto"/>
              </w:rPr>
            </w:pPr>
          </w:p>
        </w:tc>
        <w:tc>
          <w:tcPr>
            <w:tcW w:w="120" w:type="dxa"/>
            <w:vAlign w:val="bottom"/>
            <w:tcBorders>
              <w:top w:val="single" w:sz="8" w:color="0000FF"/>
              <w:bottom w:val="single" w:sz="8" w:color="666666"/>
            </w:tcBorders>
          </w:tcPr>
          <w:p>
            <w:pPr>
              <w:spacing w:after="0" w:line="20" w:lineRule="exact"/>
              <w:rPr>
                <w:sz w:val="1"/>
                <w:szCs w:val="1"/>
                <w:color w:val="auto"/>
              </w:rPr>
            </w:pPr>
          </w:p>
        </w:tc>
        <w:tc>
          <w:tcPr>
            <w:tcW w:w="480" w:type="dxa"/>
            <w:vAlign w:val="bottom"/>
            <w:tcBorders>
              <w:top w:val="single" w:sz="8" w:color="0000FF"/>
              <w:bottom w:val="single" w:sz="8" w:color="666666"/>
            </w:tcBorders>
          </w:tcPr>
          <w:p>
            <w:pPr>
              <w:spacing w:after="0" w:line="20" w:lineRule="exact"/>
              <w:rPr>
                <w:sz w:val="1"/>
                <w:szCs w:val="1"/>
                <w:color w:val="auto"/>
              </w:rPr>
            </w:pPr>
          </w:p>
        </w:tc>
        <w:tc>
          <w:tcPr>
            <w:tcW w:w="120" w:type="dxa"/>
            <w:vAlign w:val="bottom"/>
            <w:tcBorders>
              <w:top w:val="single" w:sz="8" w:color="0000FF"/>
              <w:bottom w:val="single" w:sz="8" w:color="666666"/>
            </w:tcBorders>
          </w:tcPr>
          <w:p>
            <w:pPr>
              <w:spacing w:after="0" w:line="20" w:lineRule="exact"/>
              <w:rPr>
                <w:sz w:val="1"/>
                <w:szCs w:val="1"/>
                <w:color w:val="auto"/>
              </w:rPr>
            </w:pPr>
          </w:p>
        </w:tc>
        <w:tc>
          <w:tcPr>
            <w:tcW w:w="220" w:type="dxa"/>
            <w:vAlign w:val="bottom"/>
            <w:tcBorders>
              <w:top w:val="single" w:sz="8" w:color="0000FF"/>
              <w:bottom w:val="single" w:sz="8" w:color="666666"/>
            </w:tcBorders>
          </w:tcPr>
          <w:p>
            <w:pPr>
              <w:spacing w:after="0" w:line="20" w:lineRule="exact"/>
              <w:rPr>
                <w:sz w:val="1"/>
                <w:szCs w:val="1"/>
                <w:color w:val="auto"/>
              </w:rPr>
            </w:pPr>
          </w:p>
        </w:tc>
        <w:tc>
          <w:tcPr>
            <w:tcW w:w="1840" w:type="dxa"/>
            <w:vAlign w:val="bottom"/>
            <w:tcBorders>
              <w:top w:val="single" w:sz="8" w:color="0000FF"/>
              <w:bottom w:val="single" w:sz="8" w:color="666666"/>
            </w:tcBorders>
          </w:tcPr>
          <w:p>
            <w:pPr>
              <w:spacing w:after="0" w:line="20" w:lineRule="exact"/>
              <w:rPr>
                <w:sz w:val="1"/>
                <w:szCs w:val="1"/>
                <w:color w:val="auto"/>
              </w:rPr>
            </w:pPr>
          </w:p>
        </w:tc>
        <w:tc>
          <w:tcPr>
            <w:tcW w:w="3520" w:type="dxa"/>
            <w:vAlign w:val="bottom"/>
            <w:tcBorders>
              <w:bottom w:val="single" w:sz="8" w:color="666666"/>
            </w:tcBorders>
          </w:tcPr>
          <w:p>
            <w:pPr>
              <w:spacing w:after="0" w:line="20" w:lineRule="exact"/>
              <w:rPr>
                <w:sz w:val="1"/>
                <w:szCs w:val="1"/>
                <w:color w:val="auto"/>
              </w:rPr>
            </w:pPr>
          </w:p>
        </w:tc>
        <w:tc>
          <w:tcPr>
            <w:tcW w:w="190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Borders>
              <w:bottom w:val="single" w:sz="8" w:color="666666"/>
            </w:tcBorders>
          </w:tcPr>
          <w:p>
            <w:pPr>
              <w:spacing w:after="0"/>
              <w:rPr>
                <w:sz w:val="17"/>
                <w:szCs w:val="17"/>
                <w:color w:val="auto"/>
              </w:rPr>
            </w:pPr>
          </w:p>
        </w:tc>
        <w:tc>
          <w:tcPr>
            <w:tcW w:w="720" w:type="dxa"/>
            <w:vAlign w:val="bottom"/>
            <w:tcBorders>
              <w:bottom w:val="single" w:sz="8" w:color="666666"/>
            </w:tcBorders>
          </w:tcPr>
          <w:p>
            <w:pPr>
              <w:spacing w:after="0"/>
              <w:rPr>
                <w:sz w:val="17"/>
                <w:szCs w:val="17"/>
                <w:color w:val="auto"/>
              </w:rPr>
            </w:pPr>
          </w:p>
        </w:tc>
        <w:tc>
          <w:tcPr>
            <w:tcW w:w="140" w:type="dxa"/>
            <w:vAlign w:val="bottom"/>
            <w:tcBorders>
              <w:bottom w:val="single" w:sz="8" w:color="666666"/>
            </w:tcBorders>
          </w:tcPr>
          <w:p>
            <w:pPr>
              <w:spacing w:after="0"/>
              <w:rPr>
                <w:sz w:val="17"/>
                <w:szCs w:val="17"/>
                <w:color w:val="auto"/>
              </w:rPr>
            </w:pPr>
          </w:p>
        </w:tc>
        <w:tc>
          <w:tcPr>
            <w:tcW w:w="860" w:type="dxa"/>
            <w:vAlign w:val="bottom"/>
            <w:tcBorders>
              <w:bottom w:val="single" w:sz="8" w:color="666666"/>
            </w:tcBorders>
          </w:tcPr>
          <w:p>
            <w:pPr>
              <w:spacing w:after="0"/>
              <w:rPr>
                <w:sz w:val="17"/>
                <w:szCs w:val="17"/>
                <w:color w:val="auto"/>
              </w:rPr>
            </w:pPr>
          </w:p>
        </w:tc>
        <w:tc>
          <w:tcPr>
            <w:tcW w:w="200" w:type="dxa"/>
            <w:vAlign w:val="bottom"/>
            <w:tcBorders>
              <w:bottom w:val="single" w:sz="8" w:color="666666"/>
            </w:tcBorders>
          </w:tcPr>
          <w:p>
            <w:pPr>
              <w:spacing w:after="0"/>
              <w:rPr>
                <w:sz w:val="17"/>
                <w:szCs w:val="17"/>
                <w:color w:val="auto"/>
              </w:rPr>
            </w:pPr>
          </w:p>
        </w:tc>
        <w:tc>
          <w:tcPr>
            <w:tcW w:w="140" w:type="dxa"/>
            <w:vAlign w:val="bottom"/>
            <w:tcBorders>
              <w:bottom w:val="single" w:sz="8" w:color="666666"/>
            </w:tcBorders>
          </w:tcPr>
          <w:p>
            <w:pPr>
              <w:spacing w:after="0"/>
              <w:rPr>
                <w:sz w:val="17"/>
                <w:szCs w:val="17"/>
                <w:color w:val="auto"/>
              </w:rPr>
            </w:pPr>
          </w:p>
        </w:tc>
        <w:tc>
          <w:tcPr>
            <w:tcW w:w="20" w:type="dxa"/>
            <w:vAlign w:val="bottom"/>
            <w:tcBorders>
              <w:bottom w:val="single" w:sz="8" w:color="666666"/>
            </w:tcBorders>
          </w:tcPr>
          <w:p>
            <w:pPr>
              <w:spacing w:after="0"/>
              <w:rPr>
                <w:sz w:val="17"/>
                <w:szCs w:val="17"/>
                <w:color w:val="auto"/>
              </w:rPr>
            </w:pPr>
          </w:p>
        </w:tc>
        <w:tc>
          <w:tcPr>
            <w:tcW w:w="260" w:type="dxa"/>
            <w:vAlign w:val="bottom"/>
            <w:tcBorders>
              <w:bottom w:val="single" w:sz="8" w:color="666666"/>
            </w:tcBorders>
          </w:tcPr>
          <w:p>
            <w:pPr>
              <w:spacing w:after="0"/>
              <w:rPr>
                <w:sz w:val="17"/>
                <w:szCs w:val="17"/>
                <w:color w:val="auto"/>
              </w:rPr>
            </w:pPr>
          </w:p>
        </w:tc>
        <w:tc>
          <w:tcPr>
            <w:tcW w:w="360" w:type="dxa"/>
            <w:vAlign w:val="bottom"/>
            <w:tcBorders>
              <w:bottom w:val="single" w:sz="8" w:color="666666"/>
            </w:tcBorders>
          </w:tcPr>
          <w:p>
            <w:pPr>
              <w:spacing w:after="0"/>
              <w:rPr>
                <w:sz w:val="17"/>
                <w:szCs w:val="17"/>
                <w:color w:val="auto"/>
              </w:rPr>
            </w:pPr>
          </w:p>
        </w:tc>
        <w:tc>
          <w:tcPr>
            <w:tcW w:w="120" w:type="dxa"/>
            <w:vAlign w:val="bottom"/>
            <w:tcBorders>
              <w:bottom w:val="single" w:sz="8" w:color="666666"/>
            </w:tcBorders>
          </w:tcPr>
          <w:p>
            <w:pPr>
              <w:spacing w:after="0"/>
              <w:rPr>
                <w:sz w:val="17"/>
                <w:szCs w:val="17"/>
                <w:color w:val="auto"/>
              </w:rPr>
            </w:pPr>
          </w:p>
        </w:tc>
        <w:tc>
          <w:tcPr>
            <w:tcW w:w="480" w:type="dxa"/>
            <w:vAlign w:val="bottom"/>
            <w:tcBorders>
              <w:bottom w:val="single" w:sz="8" w:color="666666"/>
            </w:tcBorders>
          </w:tcPr>
          <w:p>
            <w:pPr>
              <w:spacing w:after="0"/>
              <w:rPr>
                <w:sz w:val="17"/>
                <w:szCs w:val="17"/>
                <w:color w:val="auto"/>
              </w:rPr>
            </w:pPr>
          </w:p>
        </w:tc>
        <w:tc>
          <w:tcPr>
            <w:tcW w:w="120" w:type="dxa"/>
            <w:vAlign w:val="bottom"/>
            <w:tcBorders>
              <w:bottom w:val="single" w:sz="8" w:color="666666"/>
            </w:tcBorders>
          </w:tcPr>
          <w:p>
            <w:pPr>
              <w:spacing w:after="0"/>
              <w:rPr>
                <w:sz w:val="17"/>
                <w:szCs w:val="17"/>
                <w:color w:val="auto"/>
              </w:rPr>
            </w:pPr>
          </w:p>
        </w:tc>
        <w:tc>
          <w:tcPr>
            <w:tcW w:w="220" w:type="dxa"/>
            <w:vAlign w:val="bottom"/>
            <w:tcBorders>
              <w:bottom w:val="single" w:sz="8" w:color="666666"/>
            </w:tcBorders>
          </w:tcPr>
          <w:p>
            <w:pPr>
              <w:spacing w:after="0"/>
              <w:rPr>
                <w:sz w:val="17"/>
                <w:szCs w:val="17"/>
                <w:color w:val="auto"/>
              </w:rPr>
            </w:pPr>
          </w:p>
        </w:tc>
        <w:tc>
          <w:tcPr>
            <w:tcW w:w="1840" w:type="dxa"/>
            <w:vAlign w:val="bottom"/>
            <w:tcBorders>
              <w:bottom w:val="single" w:sz="8" w:color="666666"/>
            </w:tcBorders>
          </w:tcPr>
          <w:p>
            <w:pPr>
              <w:spacing w:after="0"/>
              <w:rPr>
                <w:sz w:val="17"/>
                <w:szCs w:val="17"/>
                <w:color w:val="auto"/>
              </w:rPr>
            </w:pPr>
          </w:p>
        </w:tc>
        <w:tc>
          <w:tcPr>
            <w:tcW w:w="3520" w:type="dxa"/>
            <w:vAlign w:val="bottom"/>
            <w:tcBorders>
              <w:bottom w:val="single" w:sz="8" w:color="666666"/>
            </w:tcBorders>
          </w:tcPr>
          <w:p>
            <w:pPr>
              <w:spacing w:after="0"/>
              <w:rPr>
                <w:sz w:val="17"/>
                <w:szCs w:val="17"/>
                <w:color w:val="auto"/>
              </w:rPr>
            </w:pPr>
          </w:p>
        </w:tc>
        <w:tc>
          <w:tcPr>
            <w:tcW w:w="1900" w:type="dxa"/>
            <w:vAlign w:val="bottom"/>
            <w:tcBorders>
              <w:bottom w:val="single" w:sz="8" w:color="666666"/>
            </w:tcBorders>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5820" w:type="dxa"/>
            <w:vAlign w:val="bottom"/>
            <w:gridSpan w:val="14"/>
          </w:tcPr>
          <w:p>
            <w:pPr>
              <w:jc w:val="right"/>
              <w:ind w:right="100"/>
              <w:spacing w:after="0"/>
              <w:rPr>
                <w:sz w:val="20"/>
                <w:szCs w:val="20"/>
                <w:color w:val="auto"/>
              </w:rPr>
            </w:pPr>
            <w:r>
              <w:rPr>
                <w:rFonts w:ascii="Arial" w:cs="Arial" w:eastAsia="Arial" w:hAnsi="Arial"/>
                <w:sz w:val="18"/>
                <w:szCs w:val="18"/>
                <w:color w:val="auto"/>
              </w:rPr>
              <w:t>28</w:t>
            </w:r>
          </w:p>
        </w:tc>
        <w:tc>
          <w:tcPr>
            <w:tcW w:w="3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gridSpan w:val="5"/>
          </w:tcPr>
          <w:p>
            <w:pPr>
              <w:jc w:val="center"/>
              <w:ind w:right="1260"/>
              <w:spacing w:after="0"/>
              <w:rPr>
                <w:sz w:val="20"/>
                <w:szCs w:val="20"/>
                <w:color w:val="auto"/>
              </w:rPr>
            </w:pPr>
            <w:r>
              <w:rPr>
                <w:rFonts w:ascii="Arial" w:cs="Arial" w:eastAsia="Arial" w:hAnsi="Arial"/>
                <w:sz w:val="16"/>
                <w:szCs w:val="16"/>
                <w:b w:val="1"/>
                <w:bCs w:val="1"/>
                <w:color w:val="000052"/>
              </w:rPr>
              <w:t>Universal Health Services, Inc. 2026 Proxy Statement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0"/>
        </w:trPr>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31" w:name="page32"/>
    <w:bookmarkEnd w:id="31"/>
    <w:p>
      <w:pPr>
        <w:ind w:left="9300"/>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2025 Performance and Highlights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provides selected financial information for the years ended 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052666"/>
              </w:rPr>
              <w:t>For the year ended December 31,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052666"/>
                <w:w w:val="98"/>
              </w:rPr>
              <w:t>Increase</w:t>
            </w:r>
          </w:p>
        </w:tc>
        <w:tc>
          <w:tcPr>
            <w:tcW w:w="1080" w:type="dxa"/>
            <w:vAlign w:val="bottom"/>
            <w:tcBorders>
              <w:bottom w:val="single" w:sz="8" w:color="auto"/>
            </w:tcBorders>
          </w:tcPr>
          <w:p>
            <w:pPr>
              <w:spacing w:after="0"/>
              <w:rPr>
                <w:sz w:val="14"/>
                <w:szCs w:val="14"/>
                <w:color w:val="auto"/>
              </w:rPr>
            </w:pPr>
          </w:p>
        </w:tc>
      </w:tr>
      <w:tr>
        <w:trPr>
          <w:trHeight w:val="169"/>
        </w:trPr>
        <w:tc>
          <w:tcPr>
            <w:tcW w:w="5540" w:type="dxa"/>
            <w:vAlign w:val="bottom"/>
            <w:gridSpan w:val="2"/>
          </w:tcPr>
          <w:p>
            <w:pPr>
              <w:spacing w:after="0"/>
              <w:rPr>
                <w:sz w:val="20"/>
                <w:szCs w:val="20"/>
                <w:color w:val="auto"/>
              </w:rPr>
            </w:pPr>
            <w:r>
              <w:rPr>
                <w:rFonts w:ascii="Arial" w:cs="Arial" w:eastAsia="Arial" w:hAnsi="Arial"/>
                <w:sz w:val="14"/>
                <w:szCs w:val="14"/>
                <w:b w:val="1"/>
                <w:bCs w:val="1"/>
                <w:color w:val="052666"/>
              </w:rPr>
              <w:t>Financial Highlights (amounts in thousands except per share amounts)</w:t>
            </w:r>
          </w:p>
        </w:tc>
        <w:tc>
          <w:tcPr>
            <w:tcW w:w="200" w:type="dxa"/>
            <w:vAlign w:val="bottom"/>
          </w:tcPr>
          <w:p>
            <w:pPr>
              <w:spacing w:after="0"/>
              <w:rPr>
                <w:sz w:val="14"/>
                <w:szCs w:val="14"/>
                <w:color w:val="auto"/>
              </w:rPr>
            </w:pPr>
          </w:p>
        </w:tc>
        <w:tc>
          <w:tcPr>
            <w:tcW w:w="1200" w:type="dxa"/>
            <w:vAlign w:val="bottom"/>
          </w:tcPr>
          <w:p>
            <w:pPr>
              <w:jc w:val="right"/>
              <w:ind w:right="481"/>
              <w:spacing w:after="0"/>
              <w:rPr>
                <w:sz w:val="20"/>
                <w:szCs w:val="20"/>
                <w:color w:val="auto"/>
              </w:rPr>
            </w:pPr>
            <w:r>
              <w:rPr>
                <w:rFonts w:ascii="Arial" w:cs="Arial" w:eastAsia="Arial" w:hAnsi="Arial"/>
                <w:sz w:val="14"/>
                <w:szCs w:val="14"/>
                <w:b w:val="1"/>
                <w:bCs w:val="1"/>
                <w:color w:val="052666"/>
              </w:rPr>
              <w:t>2025</w:t>
            </w:r>
          </w:p>
        </w:tc>
        <w:tc>
          <w:tcPr>
            <w:tcW w:w="380" w:type="dxa"/>
            <w:vAlign w:val="bottom"/>
          </w:tcPr>
          <w:p>
            <w:pPr>
              <w:spacing w:after="0"/>
              <w:rPr>
                <w:sz w:val="14"/>
                <w:szCs w:val="14"/>
                <w:color w:val="auto"/>
              </w:rPr>
            </w:pPr>
          </w:p>
        </w:tc>
        <w:tc>
          <w:tcPr>
            <w:tcW w:w="1240" w:type="dxa"/>
            <w:vAlign w:val="bottom"/>
          </w:tcPr>
          <w:p>
            <w:pPr>
              <w:jc w:val="right"/>
              <w:ind w:right="600"/>
              <w:spacing w:after="0"/>
              <w:rPr>
                <w:sz w:val="20"/>
                <w:szCs w:val="20"/>
                <w:color w:val="auto"/>
              </w:rPr>
            </w:pPr>
            <w:r>
              <w:rPr>
                <w:rFonts w:ascii="Arial" w:cs="Arial" w:eastAsia="Arial" w:hAnsi="Arial"/>
                <w:sz w:val="14"/>
                <w:szCs w:val="14"/>
                <w:b w:val="1"/>
                <w:bCs w:val="1"/>
                <w:color w:val="052666"/>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052666"/>
              </w:rPr>
              <w:t>Amount</w:t>
            </w:r>
          </w:p>
        </w:tc>
        <w:tc>
          <w:tcPr>
            <w:tcW w:w="1080" w:type="dxa"/>
            <w:vAlign w:val="bottom"/>
          </w:tcPr>
          <w:p>
            <w:pPr>
              <w:jc w:val="right"/>
              <w:ind w:right="220"/>
              <w:spacing w:after="0"/>
              <w:rPr>
                <w:sz w:val="20"/>
                <w:szCs w:val="20"/>
                <w:color w:val="auto"/>
              </w:rPr>
            </w:pPr>
            <w:r>
              <w:rPr>
                <w:rFonts w:ascii="Arial" w:cs="Arial" w:eastAsia="Arial" w:hAnsi="Arial"/>
                <w:sz w:val="14"/>
                <w:szCs w:val="14"/>
                <w:b w:val="1"/>
                <w:bCs w:val="1"/>
                <w:color w:val="052666"/>
              </w:rPr>
              <w:t>Percentage</w:t>
            </w:r>
          </w:p>
        </w:tc>
      </w:tr>
      <w:tr>
        <w:trPr>
          <w:trHeight w:val="183"/>
        </w:trPr>
        <w:tc>
          <w:tcPr>
            <w:tcW w:w="4860" w:type="dxa"/>
            <w:vAlign w:val="bottom"/>
            <w:tcBorders>
              <w:top w:val="single" w:sz="8" w:color="052666"/>
            </w:tcBorders>
            <w:shd w:val="clear" w:color="auto" w:fill="EDEDED"/>
          </w:tcPr>
          <w:p>
            <w:pPr>
              <w:ind w:left="60"/>
              <w:spacing w:after="0" w:line="183" w:lineRule="exact"/>
              <w:rPr>
                <w:sz w:val="20"/>
                <w:szCs w:val="20"/>
                <w:color w:val="auto"/>
              </w:rPr>
            </w:pPr>
            <w:r>
              <w:rPr>
                <w:rFonts w:ascii="Arial" w:cs="Arial" w:eastAsia="Arial" w:hAnsi="Arial"/>
                <w:sz w:val="16"/>
                <w:szCs w:val="16"/>
                <w:color w:val="auto"/>
              </w:rPr>
              <w:t>Consolidated net revenues</w:t>
            </w:r>
          </w:p>
        </w:tc>
        <w:tc>
          <w:tcPr>
            <w:tcW w:w="680" w:type="dxa"/>
            <w:vAlign w:val="bottom"/>
            <w:shd w:val="clear" w:color="auto" w:fill="EDEDED"/>
          </w:tcPr>
          <w:p>
            <w:pPr>
              <w:spacing w:after="0"/>
              <w:rPr>
                <w:sz w:val="15"/>
                <w:szCs w:val="15"/>
                <w:color w:val="auto"/>
              </w:rPr>
            </w:pPr>
          </w:p>
        </w:tc>
        <w:tc>
          <w:tcPr>
            <w:tcW w:w="200" w:type="dxa"/>
            <w:vAlign w:val="bottom"/>
            <w:tcBorders>
              <w:top w:val="single" w:sz="8" w:color="auto"/>
            </w:tcBorders>
            <w:shd w:val="clear" w:color="auto" w:fill="EDEDED"/>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EDEDED"/>
          </w:tcPr>
          <w:p>
            <w:pPr>
              <w:jc w:val="right"/>
              <w:spacing w:after="0" w:line="183" w:lineRule="exact"/>
              <w:rPr>
                <w:sz w:val="20"/>
                <w:szCs w:val="20"/>
                <w:color w:val="auto"/>
              </w:rPr>
            </w:pPr>
            <w:r>
              <w:rPr>
                <w:rFonts w:ascii="Arial" w:cs="Arial" w:eastAsia="Arial" w:hAnsi="Arial"/>
                <w:sz w:val="16"/>
                <w:szCs w:val="16"/>
                <w:color w:val="auto"/>
              </w:rPr>
              <w:t>17,364,829</w:t>
            </w:r>
          </w:p>
        </w:tc>
        <w:tc>
          <w:tcPr>
            <w:tcW w:w="380" w:type="dxa"/>
            <w:vAlign w:val="bottom"/>
            <w:tcBorders>
              <w:top w:val="single" w:sz="8" w:color="auto"/>
            </w:tcBorders>
            <w:shd w:val="clear" w:color="auto" w:fill="EDEDED"/>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EDEDED"/>
          </w:tcPr>
          <w:p>
            <w:pPr>
              <w:jc w:val="right"/>
              <w:ind w:right="40"/>
              <w:spacing w:after="0" w:line="183" w:lineRule="exact"/>
              <w:rPr>
                <w:sz w:val="20"/>
                <w:szCs w:val="20"/>
                <w:color w:val="auto"/>
              </w:rPr>
            </w:pPr>
            <w:r>
              <w:rPr>
                <w:rFonts w:ascii="Arial" w:cs="Arial" w:eastAsia="Arial" w:hAnsi="Arial"/>
                <w:sz w:val="16"/>
                <w:szCs w:val="16"/>
                <w:color w:val="auto"/>
              </w:rPr>
              <w:t>15,827,935</w:t>
            </w:r>
          </w:p>
        </w:tc>
        <w:tc>
          <w:tcPr>
            <w:tcW w:w="100" w:type="dxa"/>
            <w:vAlign w:val="bottom"/>
            <w:shd w:val="clear" w:color="auto" w:fill="EDEDED"/>
          </w:tcPr>
          <w:p>
            <w:pPr>
              <w:spacing w:after="0"/>
              <w:rPr>
                <w:sz w:val="15"/>
                <w:szCs w:val="15"/>
                <w:color w:val="auto"/>
              </w:rPr>
            </w:pPr>
          </w:p>
        </w:tc>
        <w:tc>
          <w:tcPr>
            <w:tcW w:w="220" w:type="dxa"/>
            <w:vAlign w:val="bottom"/>
            <w:tcBorders>
              <w:top w:val="single" w:sz="8" w:color="052666"/>
            </w:tcBorders>
            <w:shd w:val="clear" w:color="auto" w:fill="EDEDED"/>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052666"/>
            </w:tcBorders>
            <w:shd w:val="clear" w:color="auto" w:fill="EDEDED"/>
          </w:tcPr>
          <w:p>
            <w:pPr>
              <w:jc w:val="right"/>
              <w:ind w:right="41"/>
              <w:spacing w:after="0" w:line="183" w:lineRule="exact"/>
              <w:rPr>
                <w:sz w:val="20"/>
                <w:szCs w:val="20"/>
                <w:color w:val="auto"/>
              </w:rPr>
            </w:pPr>
            <w:r>
              <w:rPr>
                <w:rFonts w:ascii="Arial" w:cs="Arial" w:eastAsia="Arial" w:hAnsi="Arial"/>
                <w:sz w:val="16"/>
                <w:szCs w:val="16"/>
                <w:color w:val="auto"/>
              </w:rPr>
              <w:t>1,536,894</w:t>
            </w:r>
          </w:p>
        </w:tc>
        <w:tc>
          <w:tcPr>
            <w:tcW w:w="120" w:type="dxa"/>
            <w:vAlign w:val="bottom"/>
            <w:tcBorders>
              <w:top w:val="single" w:sz="8" w:color="auto"/>
            </w:tcBorders>
            <w:shd w:val="clear" w:color="auto" w:fill="EDEDED"/>
          </w:tcPr>
          <w:p>
            <w:pPr>
              <w:spacing w:after="0"/>
              <w:rPr>
                <w:sz w:val="15"/>
                <w:szCs w:val="15"/>
                <w:color w:val="auto"/>
              </w:rPr>
            </w:pPr>
          </w:p>
        </w:tc>
        <w:tc>
          <w:tcPr>
            <w:tcW w:w="1080" w:type="dxa"/>
            <w:vAlign w:val="bottom"/>
            <w:tcBorders>
              <w:top w:val="single" w:sz="8" w:color="auto"/>
            </w:tcBorders>
            <w:shd w:val="clear" w:color="auto" w:fill="EDEDED"/>
          </w:tcPr>
          <w:p>
            <w:pPr>
              <w:jc w:val="right"/>
              <w:spacing w:after="0" w:line="183" w:lineRule="exact"/>
              <w:rPr>
                <w:sz w:val="20"/>
                <w:szCs w:val="20"/>
                <w:color w:val="auto"/>
              </w:rPr>
            </w:pPr>
            <w:r>
              <w:rPr>
                <w:rFonts w:ascii="Arial" w:cs="Arial" w:eastAsia="Arial" w:hAnsi="Arial"/>
                <w:sz w:val="16"/>
                <w:szCs w:val="16"/>
                <w:color w:val="auto"/>
              </w:rPr>
              <w:t>9.7%</w:t>
            </w:r>
          </w:p>
        </w:tc>
      </w:tr>
      <w:tr>
        <w:trPr>
          <w:trHeight w:val="189"/>
        </w:trPr>
        <w:tc>
          <w:tcPr>
            <w:tcW w:w="5540" w:type="dxa"/>
            <w:vAlign w:val="bottom"/>
            <w:gridSpan w:val="2"/>
          </w:tcPr>
          <w:p>
            <w:pPr>
              <w:ind w:left="60"/>
              <w:spacing w:after="0"/>
              <w:rPr>
                <w:sz w:val="20"/>
                <w:szCs w:val="20"/>
                <w:color w:val="auto"/>
              </w:rPr>
            </w:pPr>
            <w:r>
              <w:rPr>
                <w:rFonts w:ascii="Arial" w:cs="Arial" w:eastAsia="Arial" w:hAnsi="Arial"/>
                <w:sz w:val="16"/>
                <w:szCs w:val="16"/>
                <w:color w:val="auto"/>
              </w:rPr>
              <w:t>Adjusted net income attributable to UHS (a.)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1,401,082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1,128,135</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272,947</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189"/>
        </w:trPr>
        <w:tc>
          <w:tcPr>
            <w:tcW w:w="5540" w:type="dxa"/>
            <w:vAlign w:val="bottom"/>
            <w:gridSpan w:val="2"/>
            <w:shd w:val="clear" w:color="auto" w:fill="EDEDED"/>
          </w:tcPr>
          <w:p>
            <w:pPr>
              <w:ind w:left="60"/>
              <w:spacing w:after="0"/>
              <w:rPr>
                <w:sz w:val="20"/>
                <w:szCs w:val="20"/>
                <w:color w:val="auto"/>
              </w:rPr>
            </w:pPr>
            <w:r>
              <w:rPr>
                <w:rFonts w:ascii="Arial" w:cs="Arial" w:eastAsia="Arial" w:hAnsi="Arial"/>
                <w:sz w:val="16"/>
                <w:szCs w:val="16"/>
                <w:color w:val="auto"/>
              </w:rPr>
              <w:t>Adjusted net income attributable to UHS, per diluted share (a.)</w:t>
            </w:r>
          </w:p>
        </w:tc>
        <w:tc>
          <w:tcPr>
            <w:tcW w:w="200" w:type="dxa"/>
            <w:vAlign w:val="bottom"/>
            <w:shd w:val="clear" w:color="auto" w:fill="EDEDED"/>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21.74</w:t>
            </w:r>
          </w:p>
        </w:tc>
        <w:tc>
          <w:tcPr>
            <w:tcW w:w="380" w:type="dxa"/>
            <w:vAlign w:val="bottom"/>
            <w:shd w:val="clear" w:color="auto" w:fill="EDEDED"/>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16.61</w:t>
            </w:r>
          </w:p>
        </w:tc>
        <w:tc>
          <w:tcPr>
            <w:tcW w:w="320" w:type="dxa"/>
            <w:vAlign w:val="bottom"/>
            <w:gridSpan w:val="2"/>
            <w:shd w:val="clear" w:color="auto" w:fill="EDEDED"/>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EDEDED"/>
          </w:tcPr>
          <w:p>
            <w:pPr>
              <w:spacing w:after="0"/>
              <w:rPr>
                <w:sz w:val="16"/>
                <w:szCs w:val="16"/>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30.9%</w:t>
            </w:r>
          </w:p>
        </w:tc>
      </w:tr>
      <w:tr>
        <w:trPr>
          <w:trHeight w:val="378"/>
        </w:trPr>
        <w:tc>
          <w:tcPr>
            <w:tcW w:w="5540" w:type="dxa"/>
            <w:vAlign w:val="bottom"/>
            <w:gridSpan w:val="2"/>
          </w:tcPr>
          <w:p>
            <w:pPr>
              <w:ind w:left="60"/>
              <w:spacing w:after="0"/>
              <w:rPr>
                <w:sz w:val="20"/>
                <w:szCs w:val="20"/>
                <w:color w:val="auto"/>
              </w:rPr>
            </w:pPr>
            <w:r>
              <w:rPr>
                <w:rFonts w:ascii="Arial" w:cs="Arial" w:eastAsia="Arial" w:hAnsi="Arial"/>
                <w:sz w:val="16"/>
                <w:szCs w:val="16"/>
                <w:color w:val="auto"/>
              </w:rPr>
              <w:t>Net revenues - Acute care services, same facility basis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9,323,647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8,590,209</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733,438</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189"/>
        </w:trPr>
        <w:tc>
          <w:tcPr>
            <w:tcW w:w="5540" w:type="dxa"/>
            <w:vAlign w:val="bottom"/>
            <w:gridSpan w:val="2"/>
            <w:shd w:val="clear" w:color="auto" w:fill="EDEDED"/>
          </w:tcPr>
          <w:p>
            <w:pPr>
              <w:ind w:left="60"/>
              <w:spacing w:after="0"/>
              <w:rPr>
                <w:sz w:val="20"/>
                <w:szCs w:val="20"/>
                <w:color w:val="auto"/>
              </w:rPr>
            </w:pPr>
            <w:r>
              <w:rPr>
                <w:rFonts w:ascii="Arial" w:cs="Arial" w:eastAsia="Arial" w:hAnsi="Arial"/>
                <w:sz w:val="16"/>
                <w:szCs w:val="16"/>
                <w:color w:val="auto"/>
              </w:rPr>
              <w:t>Net revenues - Behavioral health care services, same facility basis</w:t>
            </w:r>
          </w:p>
        </w:tc>
        <w:tc>
          <w:tcPr>
            <w:tcW w:w="200" w:type="dxa"/>
            <w:vAlign w:val="bottom"/>
            <w:shd w:val="clear" w:color="auto" w:fill="EDEDED"/>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7,185,336</w:t>
            </w:r>
          </w:p>
        </w:tc>
        <w:tc>
          <w:tcPr>
            <w:tcW w:w="380" w:type="dxa"/>
            <w:vAlign w:val="bottom"/>
            <w:shd w:val="clear" w:color="auto" w:fill="EDEDED"/>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6,668,971</w:t>
            </w:r>
          </w:p>
        </w:tc>
        <w:tc>
          <w:tcPr>
            <w:tcW w:w="320" w:type="dxa"/>
            <w:vAlign w:val="bottom"/>
            <w:gridSpan w:val="2"/>
            <w:shd w:val="clear" w:color="auto" w:fill="EDEDED"/>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516,365</w:t>
            </w:r>
          </w:p>
        </w:tc>
        <w:tc>
          <w:tcPr>
            <w:tcW w:w="120" w:type="dxa"/>
            <w:vAlign w:val="bottom"/>
            <w:shd w:val="clear" w:color="auto" w:fill="EDEDED"/>
          </w:tcPr>
          <w:p>
            <w:pPr>
              <w:spacing w:after="0"/>
              <w:rPr>
                <w:sz w:val="16"/>
                <w:szCs w:val="16"/>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7.7%</w:t>
            </w:r>
          </w:p>
        </w:tc>
      </w:tr>
      <w:tr>
        <w:trPr>
          <w:trHeight w:val="378"/>
        </w:trPr>
        <w:tc>
          <w:tcPr>
            <w:tcW w:w="5540" w:type="dxa"/>
            <w:vAlign w:val="bottom"/>
            <w:gridSpan w:val="2"/>
          </w:tcPr>
          <w:p>
            <w:pPr>
              <w:ind w:left="60"/>
              <w:spacing w:after="0"/>
              <w:rPr>
                <w:sz w:val="20"/>
                <w:szCs w:val="20"/>
                <w:color w:val="auto"/>
              </w:rPr>
            </w:pPr>
            <w:r>
              <w:rPr>
                <w:rFonts w:ascii="Arial" w:cs="Arial" w:eastAsia="Arial" w:hAnsi="Arial"/>
                <w:sz w:val="16"/>
                <w:szCs w:val="16"/>
                <w:color w:val="auto"/>
              </w:rPr>
              <w:t>Capital expenditures - Acute care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641,978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652,347</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(10,369)</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89"/>
        </w:trPr>
        <w:tc>
          <w:tcPr>
            <w:tcW w:w="5540" w:type="dxa"/>
            <w:vAlign w:val="bottom"/>
            <w:gridSpan w:val="2"/>
            <w:shd w:val="clear" w:color="auto" w:fill="EDEDED"/>
          </w:tcPr>
          <w:p>
            <w:pPr>
              <w:ind w:left="60"/>
              <w:spacing w:after="0"/>
              <w:rPr>
                <w:sz w:val="20"/>
                <w:szCs w:val="20"/>
                <w:color w:val="auto"/>
              </w:rPr>
            </w:pPr>
            <w:r>
              <w:rPr>
                <w:rFonts w:ascii="Arial" w:cs="Arial" w:eastAsia="Arial" w:hAnsi="Arial"/>
                <w:sz w:val="16"/>
                <w:szCs w:val="16"/>
                <w:color w:val="auto"/>
              </w:rPr>
              <w:t>Capital expenditures - Behavioral health care services</w:t>
            </w:r>
          </w:p>
        </w:tc>
        <w:tc>
          <w:tcPr>
            <w:tcW w:w="200" w:type="dxa"/>
            <w:vAlign w:val="bottom"/>
            <w:shd w:val="clear" w:color="auto" w:fill="EDEDED"/>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358,252</w:t>
            </w:r>
          </w:p>
        </w:tc>
        <w:tc>
          <w:tcPr>
            <w:tcW w:w="380" w:type="dxa"/>
            <w:vAlign w:val="bottom"/>
            <w:shd w:val="clear" w:color="auto" w:fill="EDEDED"/>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285,671</w:t>
            </w:r>
          </w:p>
        </w:tc>
        <w:tc>
          <w:tcPr>
            <w:tcW w:w="320" w:type="dxa"/>
            <w:vAlign w:val="bottom"/>
            <w:gridSpan w:val="2"/>
            <w:shd w:val="clear" w:color="auto" w:fill="EDEDED"/>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72,581</w:t>
            </w:r>
          </w:p>
        </w:tc>
        <w:tc>
          <w:tcPr>
            <w:tcW w:w="120" w:type="dxa"/>
            <w:vAlign w:val="bottom"/>
            <w:shd w:val="clear" w:color="auto" w:fill="EDEDED"/>
          </w:tcPr>
          <w:p>
            <w:pPr>
              <w:spacing w:after="0"/>
              <w:rPr>
                <w:sz w:val="16"/>
                <w:szCs w:val="16"/>
                <w:color w:val="auto"/>
              </w:rPr>
            </w:pPr>
          </w:p>
        </w:tc>
        <w:tc>
          <w:tcPr>
            <w:tcW w:w="10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25.4%</w:t>
            </w:r>
          </w:p>
        </w:tc>
      </w:tr>
      <w:tr>
        <w:trPr>
          <w:trHeight w:val="215"/>
        </w:trPr>
        <w:tc>
          <w:tcPr>
            <w:tcW w:w="5540" w:type="dxa"/>
            <w:vAlign w:val="bottom"/>
            <w:gridSpan w:val="2"/>
          </w:tcPr>
          <w:p>
            <w:pPr>
              <w:ind w:left="60"/>
              <w:spacing w:after="0"/>
              <w:rPr>
                <w:sz w:val="20"/>
                <w:szCs w:val="20"/>
                <w:color w:val="auto"/>
              </w:rPr>
            </w:pPr>
            <w:r>
              <w:rPr>
                <w:rFonts w:ascii="Arial" w:cs="Arial" w:eastAsia="Arial" w:hAnsi="Arial"/>
                <w:sz w:val="16"/>
                <w:szCs w:val="16"/>
                <w:color w:val="auto"/>
              </w:rPr>
              <w:t>Repurchase of common shares pursuant to share repurchase program</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899,275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598,522</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300,753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50.2%</w:t>
            </w:r>
          </w:p>
        </w:tc>
      </w:tr>
    </w:tbl>
    <w:p>
      <w:pPr>
        <w:spacing w:after="0" w:line="176" w:lineRule="exact"/>
        <w:rPr>
          <w:sz w:val="20"/>
          <w:szCs w:val="20"/>
          <w:color w:val="auto"/>
        </w:rPr>
      </w:pPr>
    </w:p>
    <w:p>
      <w:pPr>
        <w:jc w:val="both"/>
        <w:ind w:left="1020" w:hanging="503"/>
        <w:spacing w:after="0" w:line="256"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Adjusted net income and adjusted net income per diluted share (each being are a non-GAAP financial measure) for 2025 and 2024 were publicly disclosed and reconciled to our reported results for each year on the Schedule of Non-GAAP Supplemental Information, included with our earnings for the years ended December 31, 2025 and 2024, attached as Exhibit 99.1 to our Current Report on Form 8-K furnished with the SEC on February 26, 2026 (which exhibit is not incorporated by reference in, and is not part of, this proxy statement). Annex A contains a reconciliation of these non-GAAP financial measures to financial measurements determined in accordance with GAAP.</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a few of the quality and patient care highlights achieved in 2025:</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Acute Care Services:</w:t>
      </w:r>
    </w:p>
    <w:p>
      <w:pPr>
        <w:spacing w:after="0" w:line="96" w:lineRule="exact"/>
        <w:rPr>
          <w:sz w:val="20"/>
          <w:szCs w:val="20"/>
          <w:color w:val="auto"/>
        </w:rPr>
      </w:pPr>
    </w:p>
    <w:p>
      <w:pPr>
        <w:jc w:val="both"/>
        <w:ind w:left="360" w:hanging="232"/>
        <w:spacing w:after="0" w:line="236" w:lineRule="auto"/>
        <w:tabs>
          <w:tab w:leader="none" w:pos="360" w:val="left"/>
        </w:tabs>
        <w:numPr>
          <w:ilvl w:val="0"/>
          <w:numId w:val="30"/>
        </w:numPr>
        <w:rPr>
          <w:rFonts w:ascii="Times New Roman" w:cs="Times New Roman" w:eastAsia="Times New Roman" w:hAnsi="Times New Roman"/>
          <w:sz w:val="20"/>
          <w:szCs w:val="20"/>
          <w:color w:val="052666"/>
        </w:rPr>
      </w:pPr>
      <w:r>
        <w:rPr>
          <w:rFonts w:ascii="Arial" w:cs="Arial" w:eastAsia="Arial" w:hAnsi="Arial"/>
          <w:sz w:val="20"/>
          <w:szCs w:val="20"/>
          <w:color w:val="auto"/>
        </w:rPr>
        <w:t>The Leapfrog Group is an independent organization which analyzes quality and safety data and published this data to inform consumers about the safety of healthcare. Eighteen of our acute care hospitals evaluated earned an "A" or "B" safety grade from The Leapfrog Group during 2025 Fall and/or Spring ratings. Lakewood Ranch Medical Center was bestowed the Top Teaching Hospital Award for the second consecutive year.</w:t>
      </w:r>
    </w:p>
    <w:p>
      <w:pPr>
        <w:spacing w:after="0" w:line="66" w:lineRule="exact"/>
        <w:rPr>
          <w:rFonts w:ascii="Times New Roman" w:cs="Times New Roman" w:eastAsia="Times New Roman" w:hAnsi="Times New Roman"/>
          <w:sz w:val="20"/>
          <w:szCs w:val="20"/>
          <w:color w:val="052666"/>
        </w:rPr>
      </w:pPr>
    </w:p>
    <w:p>
      <w:pPr>
        <w:ind w:left="360" w:right="20" w:hanging="232"/>
        <w:spacing w:after="0" w:line="234" w:lineRule="auto"/>
        <w:tabs>
          <w:tab w:leader="none" w:pos="360" w:val="left"/>
        </w:tabs>
        <w:numPr>
          <w:ilvl w:val="0"/>
          <w:numId w:val="30"/>
        </w:numPr>
        <w:rPr>
          <w:rFonts w:ascii="Times New Roman" w:cs="Times New Roman" w:eastAsia="Times New Roman" w:hAnsi="Times New Roman"/>
          <w:sz w:val="20"/>
          <w:szCs w:val="20"/>
          <w:color w:val="auto"/>
        </w:rPr>
      </w:pPr>
      <w:r>
        <w:rPr>
          <w:rFonts w:ascii="Arial" w:cs="Arial" w:eastAsia="Arial" w:hAnsi="Arial"/>
          <w:sz w:val="20"/>
          <w:szCs w:val="20"/>
          <w:color w:val="auto"/>
        </w:rPr>
        <w:t>South Texas Health System ("STHS") and Texoma Medical Center earned U.S. News and World Report's 2025-2026 Best Regional Hospital and Best Regional Hospital for Community Access badges. This is the fourth consecutive time STHS earned the Best Regional Hospital award. Collectively, sixteen of our acute care hospitals/health systems evaluated earned nearly 60 High Performing awards for procedures/conditions. The George Washington University Hospital was also awarded a High Performing badge for Neurology &amp; Neurosurgery.</w:t>
      </w:r>
    </w:p>
    <w:p>
      <w:pPr>
        <w:spacing w:after="0" w:line="66" w:lineRule="exact"/>
        <w:rPr>
          <w:rFonts w:ascii="Times New Roman" w:cs="Times New Roman" w:eastAsia="Times New Roman" w:hAnsi="Times New Roman"/>
          <w:sz w:val="20"/>
          <w:szCs w:val="20"/>
          <w:color w:val="auto"/>
        </w:rPr>
      </w:pPr>
    </w:p>
    <w:p>
      <w:pPr>
        <w:ind w:left="360" w:right="40" w:hanging="232"/>
        <w:spacing w:after="0" w:line="241" w:lineRule="auto"/>
        <w:tabs>
          <w:tab w:leader="none" w:pos="360" w:val="left"/>
        </w:tabs>
        <w:numPr>
          <w:ilvl w:val="0"/>
          <w:numId w:val="30"/>
        </w:numPr>
        <w:rPr>
          <w:rFonts w:ascii="Times New Roman" w:cs="Times New Roman" w:eastAsia="Times New Roman" w:hAnsi="Times New Roman"/>
          <w:sz w:val="20"/>
          <w:szCs w:val="20"/>
          <w:color w:val="auto"/>
        </w:rPr>
      </w:pPr>
      <w:r>
        <w:rPr>
          <w:rFonts w:ascii="Arial" w:cs="Arial" w:eastAsia="Arial" w:hAnsi="Arial"/>
          <w:sz w:val="20"/>
          <w:szCs w:val="20"/>
          <w:color w:val="auto"/>
        </w:rPr>
        <w:t>Centennial Hills Hospital Medical Center, Henderson Hospital, Spring Valley Hospital Medical Center, Southwest Healthcare Rancho Springs Hospital and Summerlin Hospital Medical Center each earned U.S. News and World Report's 2026 High Performing designation for Maternity Care (Uncomplicated Pregnancy); the highest accolade for this category.</w:t>
      </w:r>
    </w:p>
    <w:p>
      <w:pPr>
        <w:spacing w:after="0" w:line="62" w:lineRule="exact"/>
        <w:rPr>
          <w:rFonts w:ascii="Times New Roman" w:cs="Times New Roman" w:eastAsia="Times New Roman" w:hAnsi="Times New Roman"/>
          <w:sz w:val="20"/>
          <w:szCs w:val="20"/>
          <w:color w:val="auto"/>
        </w:rPr>
      </w:pPr>
    </w:p>
    <w:p>
      <w:pPr>
        <w:ind w:left="360" w:right="220" w:hanging="232"/>
        <w:spacing w:after="0" w:line="256" w:lineRule="auto"/>
        <w:tabs>
          <w:tab w:leader="none" w:pos="360" w:val="left"/>
        </w:tabs>
        <w:numPr>
          <w:ilvl w:val="0"/>
          <w:numId w:val="30"/>
        </w:numPr>
        <w:rPr>
          <w:rFonts w:ascii="Times New Roman" w:cs="Times New Roman" w:eastAsia="Times New Roman" w:hAnsi="Times New Roman"/>
          <w:sz w:val="20"/>
          <w:szCs w:val="20"/>
          <w:color w:val="auto"/>
        </w:rPr>
      </w:pPr>
      <w:r>
        <w:rPr>
          <w:rFonts w:ascii="Arial" w:cs="Arial" w:eastAsia="Arial" w:hAnsi="Arial"/>
          <w:sz w:val="20"/>
          <w:szCs w:val="20"/>
          <w:color w:val="auto"/>
        </w:rPr>
        <w:t>In 2026, St. Mary's Regional Medical Center earned America’s Best in State Hospitals award from Newsweek and Statista for the third consecutive year.</w:t>
      </w:r>
    </w:p>
    <w:p>
      <w:pPr>
        <w:spacing w:after="0" w:line="48" w:lineRule="exact"/>
        <w:rPr>
          <w:rFonts w:ascii="Times New Roman" w:cs="Times New Roman" w:eastAsia="Times New Roman" w:hAnsi="Times New Roman"/>
          <w:sz w:val="20"/>
          <w:szCs w:val="20"/>
          <w:color w:val="auto"/>
        </w:rPr>
      </w:pPr>
    </w:p>
    <w:p>
      <w:pPr>
        <w:ind w:left="360" w:hanging="232"/>
        <w:spacing w:after="0"/>
        <w:tabs>
          <w:tab w:leader="none" w:pos="360" w:val="left"/>
        </w:tabs>
        <w:numPr>
          <w:ilvl w:val="0"/>
          <w:numId w:val="30"/>
        </w:numPr>
        <w:rPr>
          <w:rFonts w:ascii="Times New Roman" w:cs="Times New Roman" w:eastAsia="Times New Roman" w:hAnsi="Times New Roman"/>
          <w:sz w:val="20"/>
          <w:szCs w:val="20"/>
          <w:color w:val="052666"/>
        </w:rPr>
      </w:pPr>
      <w:r>
        <w:rPr>
          <w:rFonts w:ascii="Arial" w:cs="Arial" w:eastAsia="Arial" w:hAnsi="Arial"/>
          <w:sz w:val="20"/>
          <w:szCs w:val="20"/>
          <w:color w:val="auto"/>
        </w:rPr>
        <w:t>During 2025, our acute care hospitals delivered nearly $3.9 billion in uncompensated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Behavioral Health Care Services:</w:t>
      </w:r>
    </w:p>
    <w:p>
      <w:pPr>
        <w:spacing w:after="0" w:line="96" w:lineRule="exact"/>
        <w:rPr>
          <w:sz w:val="20"/>
          <w:szCs w:val="20"/>
          <w:color w:val="auto"/>
        </w:rPr>
      </w:pPr>
    </w:p>
    <w:p>
      <w:pPr>
        <w:jc w:val="both"/>
        <w:ind w:left="360" w:hanging="232"/>
        <w:spacing w:after="0" w:line="241" w:lineRule="auto"/>
        <w:tabs>
          <w:tab w:leader="none" w:pos="360" w:val="left"/>
        </w:tabs>
        <w:numPr>
          <w:ilvl w:val="0"/>
          <w:numId w:val="31"/>
        </w:numPr>
        <w:rPr>
          <w:rFonts w:ascii="Times New Roman" w:cs="Times New Roman" w:eastAsia="Times New Roman" w:hAnsi="Times New Roman"/>
          <w:sz w:val="20"/>
          <w:szCs w:val="20"/>
          <w:color w:val="052666"/>
        </w:rPr>
      </w:pPr>
      <w:r>
        <w:rPr>
          <w:rFonts w:ascii="Arial" w:cs="Arial" w:eastAsia="Arial" w:hAnsi="Arial"/>
          <w:sz w:val="20"/>
          <w:szCs w:val="20"/>
          <w:color w:val="auto"/>
        </w:rPr>
        <w:t>The Centers for Medicare and Medicaid Services’ Inpatient Psychiatric Facility Quality Reporting measures compare our behavioral health care facilities to approximately 1,600 providers in the U.S. Our 2025 behavioral health results exceed the national average in 8 out of 11 indicators. These measures are publicly available.</w:t>
      </w:r>
    </w:p>
    <w:p>
      <w:pPr>
        <w:spacing w:after="0" w:line="62" w:lineRule="exact"/>
        <w:rPr>
          <w:rFonts w:ascii="Times New Roman" w:cs="Times New Roman" w:eastAsia="Times New Roman" w:hAnsi="Times New Roman"/>
          <w:sz w:val="20"/>
          <w:szCs w:val="20"/>
          <w:color w:val="052666"/>
        </w:rPr>
      </w:pPr>
    </w:p>
    <w:p>
      <w:pPr>
        <w:jc w:val="both"/>
        <w:ind w:left="360" w:hanging="232"/>
        <w:spacing w:after="0" w:line="241" w:lineRule="auto"/>
        <w:tabs>
          <w:tab w:leader="none" w:pos="360" w:val="left"/>
        </w:tabs>
        <w:numPr>
          <w:ilvl w:val="0"/>
          <w:numId w:val="31"/>
        </w:numPr>
        <w:rPr>
          <w:rFonts w:ascii="Times New Roman" w:cs="Times New Roman" w:eastAsia="Times New Roman" w:hAnsi="Times New Roman"/>
          <w:sz w:val="20"/>
          <w:szCs w:val="20"/>
          <w:color w:val="052666"/>
        </w:rPr>
      </w:pPr>
      <w:r>
        <w:rPr>
          <w:rFonts w:ascii="Arial" w:cs="Arial" w:eastAsia="Arial" w:hAnsi="Arial"/>
          <w:sz w:val="20"/>
          <w:szCs w:val="20"/>
          <w:color w:val="auto"/>
        </w:rPr>
        <w:t>In 2025, patients in our behavioral health care facilities rated their satisfaction with their overall care, on average, as 4.4 out of 5 in our patient satisfaction surveys. More than 90% of our patients indicated they felt better following care at one of our facilities; and 89% of our patients indicated that their treatment goals were met.</w:t>
      </w:r>
    </w:p>
    <w:p>
      <w:pPr>
        <w:spacing w:after="0" w:line="62" w:lineRule="exact"/>
        <w:rPr>
          <w:rFonts w:ascii="Times New Roman" w:cs="Times New Roman" w:eastAsia="Times New Roman" w:hAnsi="Times New Roman"/>
          <w:sz w:val="20"/>
          <w:szCs w:val="20"/>
          <w:color w:val="052666"/>
        </w:rPr>
      </w:pPr>
    </w:p>
    <w:p>
      <w:pPr>
        <w:jc w:val="both"/>
        <w:ind w:left="360" w:hanging="232"/>
        <w:spacing w:after="0" w:line="241" w:lineRule="auto"/>
        <w:tabs>
          <w:tab w:leader="none" w:pos="360" w:val="left"/>
        </w:tabs>
        <w:numPr>
          <w:ilvl w:val="0"/>
          <w:numId w:val="31"/>
        </w:numPr>
        <w:rPr>
          <w:rFonts w:ascii="Times New Roman" w:cs="Times New Roman" w:eastAsia="Times New Roman" w:hAnsi="Times New Roman"/>
          <w:sz w:val="20"/>
          <w:szCs w:val="20"/>
          <w:color w:val="052666"/>
        </w:rPr>
      </w:pPr>
      <w:r>
        <w:rPr>
          <w:rFonts w:ascii="Arial" w:cs="Arial" w:eastAsia="Arial" w:hAnsi="Arial"/>
          <w:sz w:val="20"/>
          <w:szCs w:val="20"/>
          <w:color w:val="auto"/>
        </w:rPr>
        <w:t>As indicated in our referral source satisfaction survey, 85% of our referral sources consider our behavioral health care facilities as their provider of choice while scoring a 4.3 out of 5 on all questions asked and a 4.4 on overall quality of patient care.</w:t>
      </w:r>
    </w:p>
    <w:p>
      <w:pPr>
        <w:spacing w:after="0" w:line="62" w:lineRule="exact"/>
        <w:rPr>
          <w:rFonts w:ascii="Times New Roman" w:cs="Times New Roman" w:eastAsia="Times New Roman" w:hAnsi="Times New Roman"/>
          <w:sz w:val="20"/>
          <w:szCs w:val="20"/>
          <w:color w:val="052666"/>
        </w:rPr>
      </w:pPr>
    </w:p>
    <w:p>
      <w:pPr>
        <w:jc w:val="both"/>
        <w:ind w:left="360" w:hanging="232"/>
        <w:spacing w:after="0" w:line="234" w:lineRule="auto"/>
        <w:tabs>
          <w:tab w:leader="none" w:pos="360" w:val="left"/>
        </w:tabs>
        <w:numPr>
          <w:ilvl w:val="0"/>
          <w:numId w:val="31"/>
        </w:numPr>
        <w:rPr>
          <w:rFonts w:ascii="Times New Roman" w:cs="Times New Roman" w:eastAsia="Times New Roman" w:hAnsi="Times New Roman"/>
          <w:sz w:val="20"/>
          <w:szCs w:val="20"/>
          <w:color w:val="052666"/>
        </w:rPr>
      </w:pPr>
      <w:r>
        <w:rPr>
          <w:rFonts w:ascii="Arial" w:cs="Arial" w:eastAsia="Arial" w:hAnsi="Arial"/>
          <w:sz w:val="20"/>
          <w:szCs w:val="20"/>
          <w:color w:val="auto"/>
        </w:rPr>
        <w:t>In 2020, our behavioral health care facilities began obtaining Net Promoter Scores (“NPS”) as a component of the patient satisfaction survey. NPS is utilized by approximately two-thirds of Fortune 1000 companies to gauge customer loyalty. In 2025, the average aggregate score for our behavioral health care facilities was 45.0 which is considered a high score by industry standards. Our outpatient programs’ NPS score was 63.5 which is considered excellent. Our Patriot Support Programs, which serve active duty military personnel, veterans and their dependents, have an NPS score of 55.5.</w:t>
      </w:r>
    </w:p>
    <w:p>
      <w:pPr>
        <w:spacing w:after="0" w:line="66" w:lineRule="exact"/>
        <w:rPr>
          <w:rFonts w:ascii="Times New Roman" w:cs="Times New Roman" w:eastAsia="Times New Roman" w:hAnsi="Times New Roman"/>
          <w:sz w:val="20"/>
          <w:szCs w:val="20"/>
          <w:color w:val="052666"/>
        </w:rPr>
      </w:pPr>
    </w:p>
    <w:p>
      <w:pPr>
        <w:jc w:val="both"/>
        <w:ind w:left="360" w:hanging="232"/>
        <w:spacing w:after="0" w:line="248" w:lineRule="auto"/>
        <w:tabs>
          <w:tab w:leader="none" w:pos="360" w:val="left"/>
        </w:tabs>
        <w:numPr>
          <w:ilvl w:val="0"/>
          <w:numId w:val="31"/>
        </w:numPr>
        <w:rPr>
          <w:rFonts w:ascii="Times New Roman" w:cs="Times New Roman" w:eastAsia="Times New Roman" w:hAnsi="Times New Roman"/>
          <w:sz w:val="19"/>
          <w:szCs w:val="19"/>
          <w:color w:val="052666"/>
        </w:rPr>
      </w:pPr>
      <w:r>
        <w:rPr>
          <w:rFonts w:ascii="Arial" w:cs="Arial" w:eastAsia="Arial" w:hAnsi="Arial"/>
          <w:sz w:val="19"/>
          <w:szCs w:val="19"/>
          <w:color w:val="auto"/>
        </w:rPr>
        <w:t>In 2025, 172 of our behavioral health care facilities and 336,000 patients completed patient reported symptom scales that measure clinical severity. An evidence-based tool is administered at admission and at discharge to determine effectiveness and impact of care provided. 83% of our patients exhibited statistically meaningful improvement following intervention at our behavioral health facilities. Utilizing these tools in addition to patient satisfaction, publicly reported measures and NPS, provides our facilities the opportunity to benchmark, improve and report on the quality of care provided.</w:t>
      </w:r>
    </w:p>
    <w:p>
      <w:pPr>
        <w:spacing w:after="0" w:line="58" w:lineRule="exact"/>
        <w:rPr>
          <w:rFonts w:ascii="Times New Roman" w:cs="Times New Roman" w:eastAsia="Times New Roman" w:hAnsi="Times New Roman"/>
          <w:sz w:val="19"/>
          <w:szCs w:val="19"/>
          <w:color w:val="052666"/>
        </w:rPr>
      </w:pPr>
    </w:p>
    <w:p>
      <w:pPr>
        <w:ind w:left="360" w:hanging="232"/>
        <w:spacing w:after="0" w:line="256" w:lineRule="auto"/>
        <w:tabs>
          <w:tab w:leader="none" w:pos="360" w:val="left"/>
        </w:tabs>
        <w:numPr>
          <w:ilvl w:val="0"/>
          <w:numId w:val="31"/>
        </w:numPr>
        <w:rPr>
          <w:rFonts w:ascii="Times New Roman" w:cs="Times New Roman" w:eastAsia="Times New Roman" w:hAnsi="Times New Roman"/>
          <w:sz w:val="20"/>
          <w:szCs w:val="20"/>
          <w:color w:val="052666"/>
        </w:rPr>
      </w:pPr>
      <w:r>
        <w:rPr>
          <w:rFonts w:ascii="Arial" w:cs="Arial" w:eastAsia="Arial" w:hAnsi="Arial"/>
          <w:sz w:val="20"/>
          <w:szCs w:val="20"/>
          <w:color w:val="auto"/>
        </w:rPr>
        <w:t>In 2025,171 students completed their high school requirements while receiving care at one of our behavioral health care facilities.</w:t>
      </w:r>
    </w:p>
    <w:p>
      <w:pPr>
        <w:spacing w:after="0" w:line="48" w:lineRule="exact"/>
        <w:rPr>
          <w:rFonts w:ascii="Times New Roman" w:cs="Times New Roman" w:eastAsia="Times New Roman" w:hAnsi="Times New Roman"/>
          <w:sz w:val="20"/>
          <w:szCs w:val="20"/>
          <w:color w:val="052666"/>
        </w:rPr>
      </w:pPr>
    </w:p>
    <w:p>
      <w:pPr>
        <w:jc w:val="both"/>
        <w:ind w:left="360" w:hanging="232"/>
        <w:spacing w:after="0" w:line="241" w:lineRule="auto"/>
        <w:tabs>
          <w:tab w:leader="none" w:pos="36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In 2025, our behavioral health care facilities completed a multi-year implementation of Trauma Informed Care principles into their operations. These principles are critically important in understanding the impact of trauma on those seeking care as well as those providing care.</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Executive Officers</w:t>
      </w:r>
    </w:p>
    <w:p>
      <w:pPr>
        <w:spacing w:after="0" w:line="9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Marc D. Miller – Chief Executive Officer, President and Director: </w:t>
      </w:r>
      <w:r>
        <w:rPr>
          <w:rFonts w:ascii="Arial" w:cs="Arial" w:eastAsia="Arial" w:hAnsi="Arial"/>
          <w:sz w:val="20"/>
          <w:szCs w:val="20"/>
          <w:color w:val="auto"/>
        </w:rPr>
        <w:t>Mr. Marc D. Miller was appointed Chief Executive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and President effective January 1, 2021. He has served as President since May, 2009 and prior thereto served as Senior Vice President and co-head of our Acute Care Hospitals since 2007. He was elected a Director in May, 2006 and Vice President in 2005. He has served in various capacities related to our acute care division since 2000. He was elected to the Board of Trustees of Universal Health Realty Income Trust in December, 2008 and previously served as a member of the Board of Directors of Premier, Inc.</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Alan B. Miller – Executive Chairman of the Board and Founder</w:t>
      </w:r>
      <w:r>
        <w:rPr>
          <w:rFonts w:ascii="Arial" w:cs="Arial" w:eastAsia="Arial" w:hAnsi="Arial"/>
          <w:sz w:val="20"/>
          <w:szCs w:val="20"/>
          <w:color w:val="auto"/>
        </w:rPr>
        <w:t>: Mr. Alan B. Miller was appointed Executive Chairman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effective January 1, 2021. He had been Chairman of the Board and Chief Executive Officer since our inception in 1978 and also served as President from inception until 2009. Prior thereto, he was President, Chairman of the Board and Chief Executive Officer of American Medicorp, Inc. He currently serves as Chairman of the Board, Chief Executive Officer and President of Universal Health Realty Income Trust.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Steve G. Filton – Executive Vice President, Chief Financial Officer and Secretary: </w:t>
      </w:r>
      <w:r>
        <w:rPr>
          <w:rFonts w:ascii="Arial" w:cs="Arial" w:eastAsia="Arial" w:hAnsi="Arial"/>
          <w:sz w:val="20"/>
          <w:szCs w:val="20"/>
          <w:color w:val="auto"/>
        </w:rPr>
        <w:t>Mr. Filton was elected Executive Vice</w:t>
      </w:r>
      <w:r>
        <w:rPr>
          <w:rFonts w:ascii="Arial" w:cs="Arial" w:eastAsia="Arial" w:hAnsi="Arial"/>
          <w:sz w:val="20"/>
          <w:szCs w:val="20"/>
          <w:b w:val="1"/>
          <w:bCs w:val="1"/>
          <w:color w:val="auto"/>
        </w:rPr>
        <w:t xml:space="preserve"> </w:t>
      </w:r>
      <w:r>
        <w:rPr>
          <w:rFonts w:ascii="Arial" w:cs="Arial" w:eastAsia="Arial" w:hAnsi="Arial"/>
          <w:sz w:val="20"/>
          <w:szCs w:val="20"/>
          <w:color w:val="auto"/>
        </w:rPr>
        <w:t>President in 2017 and continues to serve as Chief Financial Officer since his appointment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3" w:name="page34"/>
    <w:bookmarkEnd w:id="33"/>
    <w:p>
      <w:pPr>
        <w:ind w:left="9300"/>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2003. He has also served as Secretary since 1999. He had served as Senior Vice President since 2003, as Vice President and Controller since 1991, and as Director of Corporate Accounting since 1985.</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Edward H. Sim – Executive Vice President, President of Acute Care Division: </w:t>
      </w:r>
      <w:r>
        <w:rPr>
          <w:rFonts w:ascii="Arial" w:cs="Arial" w:eastAsia="Arial" w:hAnsi="Arial"/>
          <w:sz w:val="20"/>
          <w:szCs w:val="20"/>
          <w:color w:val="auto"/>
        </w:rPr>
        <w:t>Mr. Sim was hired as Executive Vice</w:t>
      </w:r>
      <w:r>
        <w:rPr>
          <w:rFonts w:ascii="Arial" w:cs="Arial" w:eastAsia="Arial" w:hAnsi="Arial"/>
          <w:sz w:val="20"/>
          <w:szCs w:val="20"/>
          <w:b w:val="1"/>
          <w:bCs w:val="1"/>
          <w:color w:val="auto"/>
        </w:rPr>
        <w:t xml:space="preserve"> </w:t>
      </w:r>
      <w:r>
        <w:rPr>
          <w:rFonts w:ascii="Arial" w:cs="Arial" w:eastAsia="Arial" w:hAnsi="Arial"/>
          <w:sz w:val="20"/>
          <w:szCs w:val="20"/>
          <w:color w:val="auto"/>
        </w:rPr>
        <w:t>President, President of our Acute Care Division in December, 2022. Mr. Sim was formerly employed as Chief Operating Officer at Centura Health, since 2017. Prior to joining Centura Health, Mr. Sim served in senior leadership roles of increasing responsibility for 11 years at Baptist Health.</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Matthew J. Peterson – Executive Vice President, President of Behavioral Health Division: </w:t>
      </w:r>
      <w:r>
        <w:rPr>
          <w:rFonts w:ascii="Arial" w:cs="Arial" w:eastAsia="Arial" w:hAnsi="Arial"/>
          <w:sz w:val="20"/>
          <w:szCs w:val="20"/>
          <w:color w:val="auto"/>
        </w:rPr>
        <w:t>Mr. Peterson’s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us commenced in September, 2019 as Executive Vice President and President of our Behavioral Health Division. He was formerly employed at UnitedHealth Group for 11 years serving in various capacities including Chief Operating Officer for OptumGovernment, a health services and technology company, as well as various other Senior Vice President/Vice President roles. In addition to his civilian business career, Mr. Peterson served in the Air National Guard (“ANG”), U.S. Airforce, and was promoted to Brigadier General prior to his retirement from the ANG in August, 2024.</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Philosophy and Objectives</w:t>
      </w:r>
    </w:p>
    <w:p>
      <w:pPr>
        <w:spacing w:after="0" w:line="9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Our compensation philosophy of strongly aligning pay with performance is grounded in best practices that are regulatory compliant, financially sound and provide long-term value to stockholders. Specifically, we:</w:t>
      </w:r>
    </w:p>
    <w:p>
      <w:pPr>
        <w:spacing w:after="0" w:line="47" w:lineRule="exact"/>
        <w:rPr>
          <w:sz w:val="20"/>
          <w:szCs w:val="20"/>
          <w:color w:val="auto"/>
        </w:rPr>
      </w:pPr>
    </w:p>
    <w:p>
      <w:pPr>
        <w:ind w:left="240" w:hanging="112"/>
        <w:spacing w:after="0"/>
        <w:tabs>
          <w:tab w:leader="none" w:pos="240" w:val="left"/>
        </w:tabs>
        <w:numPr>
          <w:ilvl w:val="0"/>
          <w:numId w:val="32"/>
        </w:numPr>
        <w:rPr>
          <w:rFonts w:ascii="Times New Roman" w:cs="Times New Roman" w:eastAsia="Times New Roman" w:hAnsi="Times New Roman"/>
          <w:sz w:val="20"/>
          <w:szCs w:val="20"/>
          <w:color w:val="052666"/>
        </w:rPr>
      </w:pPr>
      <w:r>
        <w:rPr>
          <w:rFonts w:ascii="Arial" w:cs="Arial" w:eastAsia="Arial" w:hAnsi="Arial"/>
          <w:sz w:val="20"/>
          <w:szCs w:val="20"/>
          <w:color w:val="auto"/>
        </w:rPr>
        <w:t>Review peer group market data on an annual basis;</w:t>
      </w:r>
    </w:p>
    <w:p>
      <w:pPr>
        <w:spacing w:after="0" w:line="106" w:lineRule="exact"/>
        <w:rPr>
          <w:rFonts w:ascii="Times New Roman" w:cs="Times New Roman" w:eastAsia="Times New Roman" w:hAnsi="Times New Roman"/>
          <w:sz w:val="20"/>
          <w:szCs w:val="20"/>
          <w:color w:val="052666"/>
        </w:rPr>
      </w:pPr>
    </w:p>
    <w:p>
      <w:pPr>
        <w:ind w:left="240" w:hanging="112"/>
        <w:spacing w:after="0"/>
        <w:tabs>
          <w:tab w:leader="none" w:pos="240" w:val="left"/>
        </w:tabs>
        <w:numPr>
          <w:ilvl w:val="0"/>
          <w:numId w:val="32"/>
        </w:numPr>
        <w:rPr>
          <w:rFonts w:ascii="Times New Roman" w:cs="Times New Roman" w:eastAsia="Times New Roman" w:hAnsi="Times New Roman"/>
          <w:sz w:val="20"/>
          <w:szCs w:val="20"/>
          <w:color w:val="052666"/>
        </w:rPr>
      </w:pPr>
      <w:r>
        <w:rPr>
          <w:rFonts w:ascii="Arial" w:cs="Arial" w:eastAsia="Arial" w:hAnsi="Arial"/>
          <w:sz w:val="20"/>
          <w:szCs w:val="20"/>
          <w:color w:val="auto"/>
        </w:rPr>
        <w:t>Discuss financial and operational performance rigorously in determining any base salary and incentive decisions;</w:t>
      </w:r>
    </w:p>
    <w:p>
      <w:pPr>
        <w:spacing w:after="0" w:line="106" w:lineRule="exact"/>
        <w:rPr>
          <w:rFonts w:ascii="Times New Roman" w:cs="Times New Roman" w:eastAsia="Times New Roman" w:hAnsi="Times New Roman"/>
          <w:sz w:val="20"/>
          <w:szCs w:val="20"/>
          <w:color w:val="052666"/>
        </w:rPr>
      </w:pPr>
    </w:p>
    <w:p>
      <w:pPr>
        <w:ind w:left="240" w:hanging="112"/>
        <w:spacing w:after="0"/>
        <w:tabs>
          <w:tab w:leader="none" w:pos="240" w:val="left"/>
        </w:tabs>
        <w:numPr>
          <w:ilvl w:val="0"/>
          <w:numId w:val="32"/>
        </w:numPr>
        <w:rPr>
          <w:rFonts w:ascii="Times New Roman" w:cs="Times New Roman" w:eastAsia="Times New Roman" w:hAnsi="Times New Roman"/>
          <w:sz w:val="20"/>
          <w:szCs w:val="20"/>
          <w:color w:val="052666"/>
        </w:rPr>
      </w:pPr>
      <w:r>
        <w:rPr>
          <w:rFonts w:ascii="Arial" w:cs="Arial" w:eastAsia="Arial" w:hAnsi="Arial"/>
          <w:sz w:val="20"/>
          <w:szCs w:val="20"/>
          <w:color w:val="auto"/>
        </w:rPr>
        <w:t>Enforce maximums on incentive payments to limit undue risk;</w:t>
      </w:r>
    </w:p>
    <w:p>
      <w:pPr>
        <w:spacing w:after="0" w:line="106" w:lineRule="exact"/>
        <w:rPr>
          <w:rFonts w:ascii="Times New Roman" w:cs="Times New Roman" w:eastAsia="Times New Roman" w:hAnsi="Times New Roman"/>
          <w:sz w:val="20"/>
          <w:szCs w:val="20"/>
          <w:color w:val="052666"/>
        </w:rPr>
      </w:pPr>
    </w:p>
    <w:p>
      <w:pPr>
        <w:ind w:left="240" w:hanging="112"/>
        <w:spacing w:after="0"/>
        <w:tabs>
          <w:tab w:leader="none" w:pos="240" w:val="left"/>
        </w:tabs>
        <w:numPr>
          <w:ilvl w:val="0"/>
          <w:numId w:val="32"/>
        </w:numPr>
        <w:rPr>
          <w:rFonts w:ascii="Times New Roman" w:cs="Times New Roman" w:eastAsia="Times New Roman" w:hAnsi="Times New Roman"/>
          <w:sz w:val="20"/>
          <w:szCs w:val="20"/>
          <w:color w:val="052666"/>
        </w:rPr>
      </w:pPr>
      <w:r>
        <w:rPr>
          <w:rFonts w:ascii="Arial" w:cs="Arial" w:eastAsia="Arial" w:hAnsi="Arial"/>
          <w:sz w:val="20"/>
          <w:szCs w:val="20"/>
          <w:color w:val="auto"/>
        </w:rPr>
        <w:t>Evaluate our compensation practices on an annual basis;</w:t>
      </w:r>
    </w:p>
    <w:p>
      <w:pPr>
        <w:spacing w:after="0" w:line="106" w:lineRule="exact"/>
        <w:rPr>
          <w:rFonts w:ascii="Times New Roman" w:cs="Times New Roman" w:eastAsia="Times New Roman" w:hAnsi="Times New Roman"/>
          <w:sz w:val="20"/>
          <w:szCs w:val="20"/>
          <w:color w:val="052666"/>
        </w:rPr>
      </w:pPr>
    </w:p>
    <w:p>
      <w:pPr>
        <w:ind w:left="240" w:hanging="112"/>
        <w:spacing w:after="0"/>
        <w:tabs>
          <w:tab w:leader="none" w:pos="240" w:val="left"/>
        </w:tabs>
        <w:numPr>
          <w:ilvl w:val="0"/>
          <w:numId w:val="32"/>
        </w:numPr>
        <w:rPr>
          <w:rFonts w:ascii="Times New Roman" w:cs="Times New Roman" w:eastAsia="Times New Roman" w:hAnsi="Times New Roman"/>
          <w:sz w:val="20"/>
          <w:szCs w:val="20"/>
          <w:color w:val="052666"/>
        </w:rPr>
      </w:pPr>
      <w:r>
        <w:rPr>
          <w:rFonts w:ascii="Arial" w:cs="Arial" w:eastAsia="Arial" w:hAnsi="Arial"/>
          <w:sz w:val="20"/>
          <w:szCs w:val="20"/>
          <w:color w:val="auto"/>
        </w:rPr>
        <w:t>Retain an independent, outside consultant;</w:t>
      </w:r>
    </w:p>
    <w:p>
      <w:pPr>
        <w:spacing w:after="0" w:line="106" w:lineRule="exact"/>
        <w:rPr>
          <w:rFonts w:ascii="Times New Roman" w:cs="Times New Roman" w:eastAsia="Times New Roman" w:hAnsi="Times New Roman"/>
          <w:sz w:val="20"/>
          <w:szCs w:val="20"/>
          <w:color w:val="052666"/>
        </w:rPr>
      </w:pPr>
    </w:p>
    <w:p>
      <w:pPr>
        <w:ind w:left="240" w:hanging="112"/>
        <w:spacing w:after="0"/>
        <w:tabs>
          <w:tab w:leader="none" w:pos="240" w:val="left"/>
        </w:tabs>
        <w:numPr>
          <w:ilvl w:val="0"/>
          <w:numId w:val="32"/>
        </w:numPr>
        <w:rPr>
          <w:rFonts w:ascii="Times New Roman" w:cs="Times New Roman" w:eastAsia="Times New Roman" w:hAnsi="Times New Roman"/>
          <w:sz w:val="20"/>
          <w:szCs w:val="20"/>
          <w:color w:val="052666"/>
        </w:rPr>
      </w:pPr>
      <w:r>
        <w:rPr>
          <w:rFonts w:ascii="Arial" w:cs="Arial" w:eastAsia="Arial" w:hAnsi="Arial"/>
          <w:sz w:val="20"/>
          <w:szCs w:val="20"/>
          <w:color w:val="auto"/>
        </w:rPr>
        <w:t>Do not provide plans generally outside of current market practices, and;</w:t>
      </w:r>
    </w:p>
    <w:p>
      <w:pPr>
        <w:spacing w:after="0" w:line="106" w:lineRule="exact"/>
        <w:rPr>
          <w:rFonts w:ascii="Times New Roman" w:cs="Times New Roman" w:eastAsia="Times New Roman" w:hAnsi="Times New Roman"/>
          <w:sz w:val="20"/>
          <w:szCs w:val="20"/>
          <w:color w:val="052666"/>
        </w:rPr>
      </w:pPr>
    </w:p>
    <w:p>
      <w:pPr>
        <w:ind w:left="240" w:hanging="112"/>
        <w:spacing w:after="0"/>
        <w:tabs>
          <w:tab w:leader="none" w:pos="240" w:val="left"/>
        </w:tabs>
        <w:numPr>
          <w:ilvl w:val="0"/>
          <w:numId w:val="32"/>
        </w:numPr>
        <w:rPr>
          <w:rFonts w:ascii="Times New Roman" w:cs="Times New Roman" w:eastAsia="Times New Roman" w:hAnsi="Times New Roman"/>
          <w:sz w:val="20"/>
          <w:szCs w:val="20"/>
          <w:color w:val="052666"/>
        </w:rPr>
      </w:pPr>
      <w:r>
        <w:rPr>
          <w:rFonts w:ascii="Arial" w:cs="Arial" w:eastAsia="Arial" w:hAnsi="Arial"/>
          <w:sz w:val="20"/>
          <w:szCs w:val="20"/>
          <w:color w:val="auto"/>
        </w:rPr>
        <w:t>Do not offer excessive perquisites to our executives.</w:t>
      </w:r>
    </w:p>
    <w:p>
      <w:pPr>
        <w:spacing w:after="0" w:line="215"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In designing our compensation programs for our named executive officers, we follow our belief that compensation should reflect the value created for stockholders while supporting our strategic business goals. In doing so, our compensation programs reflect the following objectives:</w:t>
      </w:r>
    </w:p>
    <w:p>
      <w:pPr>
        <w:spacing w:after="0" w:line="63" w:lineRule="exact"/>
        <w:rPr>
          <w:sz w:val="20"/>
          <w:szCs w:val="20"/>
          <w:color w:val="auto"/>
        </w:rPr>
      </w:pPr>
    </w:p>
    <w:p>
      <w:pPr>
        <w:ind w:left="240" w:hanging="112"/>
        <w:spacing w:after="0"/>
        <w:tabs>
          <w:tab w:leader="none" w:pos="240" w:val="left"/>
        </w:tabs>
        <w:numPr>
          <w:ilvl w:val="0"/>
          <w:numId w:val="33"/>
        </w:numPr>
        <w:rPr>
          <w:rFonts w:ascii="Times New Roman" w:cs="Times New Roman" w:eastAsia="Times New Roman" w:hAnsi="Times New Roman"/>
          <w:sz w:val="20"/>
          <w:szCs w:val="20"/>
          <w:color w:val="052666"/>
        </w:rPr>
      </w:pPr>
      <w:r>
        <w:rPr>
          <w:rFonts w:ascii="Arial" w:cs="Arial" w:eastAsia="Arial" w:hAnsi="Arial"/>
          <w:sz w:val="20"/>
          <w:szCs w:val="20"/>
          <w:color w:val="auto"/>
        </w:rPr>
        <w:t>Compensation should encourage increases in stockholder value;</w:t>
      </w:r>
    </w:p>
    <w:p>
      <w:pPr>
        <w:spacing w:after="0" w:line="106" w:lineRule="exact"/>
        <w:rPr>
          <w:rFonts w:ascii="Times New Roman" w:cs="Times New Roman" w:eastAsia="Times New Roman" w:hAnsi="Times New Roman"/>
          <w:sz w:val="20"/>
          <w:szCs w:val="20"/>
          <w:color w:val="052666"/>
        </w:rPr>
      </w:pPr>
    </w:p>
    <w:p>
      <w:pPr>
        <w:ind w:left="240" w:hanging="112"/>
        <w:spacing w:after="0"/>
        <w:tabs>
          <w:tab w:leader="none" w:pos="240" w:val="left"/>
        </w:tabs>
        <w:numPr>
          <w:ilvl w:val="0"/>
          <w:numId w:val="33"/>
        </w:numPr>
        <w:rPr>
          <w:rFonts w:ascii="Times New Roman" w:cs="Times New Roman" w:eastAsia="Times New Roman" w:hAnsi="Times New Roman"/>
          <w:sz w:val="20"/>
          <w:szCs w:val="20"/>
          <w:color w:val="052666"/>
        </w:rPr>
      </w:pPr>
      <w:r>
        <w:rPr>
          <w:rFonts w:ascii="Arial" w:cs="Arial" w:eastAsia="Arial" w:hAnsi="Arial"/>
          <w:sz w:val="20"/>
          <w:szCs w:val="20"/>
          <w:color w:val="auto"/>
        </w:rPr>
        <w:t>Compensation programs should support our short-term and long-term strategic business goals and objectives;</w:t>
      </w:r>
    </w:p>
    <w:p>
      <w:pPr>
        <w:spacing w:after="0" w:line="106" w:lineRule="exact"/>
        <w:rPr>
          <w:rFonts w:ascii="Times New Roman" w:cs="Times New Roman" w:eastAsia="Times New Roman" w:hAnsi="Times New Roman"/>
          <w:sz w:val="20"/>
          <w:szCs w:val="20"/>
          <w:color w:val="052666"/>
        </w:rPr>
      </w:pPr>
    </w:p>
    <w:p>
      <w:pPr>
        <w:ind w:left="240" w:hanging="112"/>
        <w:spacing w:after="0" w:line="256" w:lineRule="auto"/>
        <w:tabs>
          <w:tab w:leader="none" w:pos="240" w:val="left"/>
        </w:tabs>
        <w:numPr>
          <w:ilvl w:val="0"/>
          <w:numId w:val="33"/>
        </w:numPr>
        <w:rPr>
          <w:rFonts w:ascii="Times New Roman" w:cs="Times New Roman" w:eastAsia="Times New Roman" w:hAnsi="Times New Roman"/>
          <w:sz w:val="20"/>
          <w:szCs w:val="20"/>
          <w:color w:val="052666"/>
        </w:rPr>
      </w:pPr>
      <w:r>
        <w:rPr>
          <w:rFonts w:ascii="Arial" w:cs="Arial" w:eastAsia="Arial" w:hAnsi="Arial"/>
          <w:sz w:val="20"/>
          <w:szCs w:val="20"/>
          <w:color w:val="auto"/>
        </w:rPr>
        <w:t>Compensation programs should reflect and promote our core values set forth in our mission statement, which includes commitment to excellence, high ethical standards, teamwork and innovation;</w:t>
      </w:r>
    </w:p>
    <w:p>
      <w:pPr>
        <w:spacing w:after="0" w:line="48" w:lineRule="exact"/>
        <w:rPr>
          <w:rFonts w:ascii="Times New Roman" w:cs="Times New Roman" w:eastAsia="Times New Roman" w:hAnsi="Times New Roman"/>
          <w:sz w:val="20"/>
          <w:szCs w:val="20"/>
          <w:color w:val="052666"/>
        </w:rPr>
      </w:pPr>
    </w:p>
    <w:p>
      <w:pPr>
        <w:ind w:left="240" w:hanging="112"/>
        <w:spacing w:after="0"/>
        <w:tabs>
          <w:tab w:leader="none" w:pos="240" w:val="left"/>
        </w:tabs>
        <w:numPr>
          <w:ilvl w:val="0"/>
          <w:numId w:val="33"/>
        </w:numPr>
        <w:rPr>
          <w:rFonts w:ascii="Times New Roman" w:cs="Times New Roman" w:eastAsia="Times New Roman" w:hAnsi="Times New Roman"/>
          <w:sz w:val="20"/>
          <w:szCs w:val="20"/>
          <w:color w:val="052666"/>
        </w:rPr>
      </w:pPr>
      <w:r>
        <w:rPr>
          <w:rFonts w:ascii="Arial" w:cs="Arial" w:eastAsia="Arial" w:hAnsi="Arial"/>
          <w:sz w:val="20"/>
          <w:szCs w:val="20"/>
          <w:color w:val="auto"/>
        </w:rPr>
        <w:t>Compensation should reward individuals for outstanding performance and contributions toward business goals, and;</w:t>
      </w:r>
    </w:p>
    <w:p>
      <w:pPr>
        <w:spacing w:after="0" w:line="106" w:lineRule="exact"/>
        <w:rPr>
          <w:rFonts w:ascii="Times New Roman" w:cs="Times New Roman" w:eastAsia="Times New Roman" w:hAnsi="Times New Roman"/>
          <w:sz w:val="20"/>
          <w:szCs w:val="20"/>
          <w:color w:val="052666"/>
        </w:rPr>
      </w:pPr>
    </w:p>
    <w:p>
      <w:pPr>
        <w:ind w:left="240" w:hanging="112"/>
        <w:spacing w:after="0"/>
        <w:tabs>
          <w:tab w:leader="none" w:pos="240" w:val="left"/>
        </w:tabs>
        <w:numPr>
          <w:ilvl w:val="0"/>
          <w:numId w:val="33"/>
        </w:numPr>
        <w:rPr>
          <w:rFonts w:ascii="Times New Roman" w:cs="Times New Roman" w:eastAsia="Times New Roman" w:hAnsi="Times New Roman"/>
          <w:sz w:val="20"/>
          <w:szCs w:val="20"/>
          <w:color w:val="052666"/>
        </w:rPr>
      </w:pPr>
      <w:r>
        <w:rPr>
          <w:rFonts w:ascii="Arial" w:cs="Arial" w:eastAsia="Arial" w:hAnsi="Arial"/>
          <w:sz w:val="20"/>
          <w:szCs w:val="20"/>
          <w:color w:val="auto"/>
        </w:rPr>
        <w:t>Compensation programs should enable us to attract, retain and motivate highly qualified professionals.</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These objectives govern the decisions that the Compensation Committee of our Board of Directors ("Compensation Committee") and management of the Company make with respect to the amount and type of compensation payable to our named executive officers ("NEOs"). The Compensation Committee believes that linking executive compensation to corporate performance results in a strong alignment of compensation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corporate business goals and stockholder value. This belief has been adhered to through the use of incentive pay programs that provide competitive compensation for achieving superior performance and creating value for stockholders. Executives are rewarded commensurately for the achievement of specified business goals and performance objectives, which may increase the value of our stock. Our compensation programs are reviewed annually to ensure that these objectives continue to be met.</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Setting Process</w:t>
      </w:r>
    </w:p>
    <w:p>
      <w:pPr>
        <w:spacing w:after="0" w:line="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retained the services of a third-party compensation consultant FW Cook to conduct a full comprehensive review of total direct compensation (base, incentive and equity) for our NEOs and market analysis of Board of Director fees and equity award structure. Information was reviewed from two reference points: UHS peer group established and detailed in our proxy statement and a secondary reference of size-adjusted (by revenues) data from the broader general industry. Data for the peer reference were drawn from publicly filed proxies. FW Cook’s advice and analysis were used to make decisions on all direct compensation elements, as discussed above. As discussed in “Director Compensation” below, compensation practices for our Board of Directors were reviewed and compared to current peer and market practices.</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With the approval of the Compensation Committee, management engaged FW Cook for compensation-related consulting services, substantially all of which related to the review and analysis of the elements and amounts of compensation for our CEO and other NEOs. FW Cook received no compensation during 2025 from the Company for any non-Compensation Committee requested services. For 2025, the Compensation Committee analyzed whether the work of FW Cook raised any conflicts of interest, taking into consideration all relevant factors, and determined, based on its analysis of all relevant factors, that no conflicts of interest were present.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Elements of Compensation</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executive compensation is based on six primary components, each of which is intended to serve the overall compensation objectives. These components include:</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400" w:type="dxa"/>
            <w:vAlign w:val="bottom"/>
            <w:tcBorders>
              <w:top w:val="single" w:sz="8" w:color="auto"/>
              <w:left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9"/>
                <w:szCs w:val="19"/>
                <w:color w:val="auto"/>
              </w:rPr>
              <w:t>•</w:t>
            </w:r>
          </w:p>
        </w:tc>
        <w:tc>
          <w:tcPr>
            <w:tcW w:w="33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Annual Base Salary</w:t>
            </w:r>
          </w:p>
        </w:tc>
        <w:tc>
          <w:tcPr>
            <w:tcW w:w="3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w:t>
            </w:r>
          </w:p>
        </w:tc>
        <w:tc>
          <w:tcPr>
            <w:tcW w:w="3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9"/>
                <w:szCs w:val="19"/>
                <w:color w:val="auto"/>
              </w:rPr>
              <w:t>Annual Cash Incentive</w:t>
            </w:r>
          </w:p>
        </w:tc>
        <w:tc>
          <w:tcPr>
            <w:tcW w:w="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35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Long-term Incentive Award</w:t>
            </w:r>
          </w:p>
        </w:tc>
      </w:tr>
      <w:tr>
        <w:trPr>
          <w:trHeight w:val="334"/>
        </w:trPr>
        <w:tc>
          <w:tcPr>
            <w:tcW w:w="400" w:type="dxa"/>
            <w:vAlign w:val="bottom"/>
            <w:tcBorders>
              <w:left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9"/>
                <w:szCs w:val="19"/>
                <w:color w:val="auto"/>
              </w:rPr>
              <w:t>•</w:t>
            </w:r>
          </w:p>
        </w:tc>
        <w:tc>
          <w:tcPr>
            <w:tcW w:w="33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Deferred Compensation</w:t>
            </w:r>
          </w:p>
        </w:tc>
        <w:tc>
          <w:tcPr>
            <w:tcW w:w="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9"/>
                <w:szCs w:val="19"/>
                <w:color w:val="auto"/>
              </w:rPr>
              <w:t>•</w:t>
            </w:r>
          </w:p>
        </w:tc>
        <w:tc>
          <w:tcPr>
            <w:tcW w:w="32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9"/>
                <w:szCs w:val="19"/>
                <w:color w:val="auto"/>
              </w:rPr>
              <w:t>Retirement Benefits</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3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Other Benefits, including Perquisites</w:t>
            </w:r>
          </w:p>
        </w:tc>
      </w:tr>
      <w:tr>
        <w:trPr>
          <w:trHeight w:val="449"/>
        </w:trPr>
        <w:tc>
          <w:tcPr>
            <w:tcW w:w="3720" w:type="dxa"/>
            <w:vAlign w:val="bottom"/>
            <w:gridSpan w:val="2"/>
          </w:tcPr>
          <w:p>
            <w:pPr>
              <w:spacing w:after="0"/>
              <w:rPr>
                <w:sz w:val="20"/>
                <w:szCs w:val="20"/>
                <w:color w:val="auto"/>
              </w:rPr>
            </w:pPr>
            <w:r>
              <w:rPr>
                <w:rFonts w:ascii="Arial" w:cs="Arial" w:eastAsia="Arial" w:hAnsi="Arial"/>
                <w:sz w:val="20"/>
                <w:szCs w:val="20"/>
                <w:i w:val="1"/>
                <w:iCs w:val="1"/>
                <w:color w:val="auto"/>
              </w:rPr>
              <w:t>Compensation Peer Group</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1"/>
        </w:trPr>
        <w:tc>
          <w:tcPr>
            <w:tcW w:w="3720" w:type="dxa"/>
            <w:vAlign w:val="bottom"/>
            <w:tcBorders>
              <w:bottom w:val="single" w:sz="8" w:color="auto"/>
            </w:tcBorders>
            <w:gridSpan w:val="2"/>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gridSpan w:val="2"/>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r>
      <w:tr>
        <w:trPr>
          <w:trHeight w:val="331"/>
        </w:trPr>
        <w:tc>
          <w:tcPr>
            <w:tcW w:w="3720" w:type="dxa"/>
            <w:vAlign w:val="bottom"/>
            <w:tcBorders>
              <w:left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Acadia Healthcare Company, Inc.</w:t>
            </w: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Henry Schein, Inc.</w:t>
            </w:r>
          </w:p>
        </w:tc>
        <w:tc>
          <w:tcPr>
            <w:tcW w:w="20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r>
      <w:tr>
        <w:trPr>
          <w:trHeight w:val="334"/>
        </w:trPr>
        <w:tc>
          <w:tcPr>
            <w:tcW w:w="372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Brookdale Senior Living, Inc.</w:t>
            </w: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Laboratory Corporation of America Holdings</w:t>
            </w:r>
          </w:p>
        </w:tc>
      </w:tr>
      <w:tr>
        <w:trPr>
          <w:trHeight w:val="331"/>
        </w:trPr>
        <w:tc>
          <w:tcPr>
            <w:tcW w:w="372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Community Health Systems, Inc.</w:t>
            </w: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Molina Healthcare, Inc.</w:t>
            </w:r>
          </w:p>
        </w:tc>
      </w:tr>
      <w:tr>
        <w:trPr>
          <w:trHeight w:val="331"/>
        </w:trPr>
        <w:tc>
          <w:tcPr>
            <w:tcW w:w="372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DaVita, Inc.</w:t>
            </w: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Quest Diagnostics Incorporated</w:t>
            </w:r>
          </w:p>
        </w:tc>
      </w:tr>
      <w:tr>
        <w:trPr>
          <w:trHeight w:val="331"/>
        </w:trPr>
        <w:tc>
          <w:tcPr>
            <w:tcW w:w="372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Encompass Health Corporation</w:t>
            </w: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Select Medical Holdings Corporation</w:t>
            </w:r>
          </w:p>
        </w:tc>
      </w:tr>
      <w:tr>
        <w:trPr>
          <w:trHeight w:val="331"/>
        </w:trPr>
        <w:tc>
          <w:tcPr>
            <w:tcW w:w="3720" w:type="dxa"/>
            <w:vAlign w:val="bottom"/>
            <w:tcBorders>
              <w:left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HCA Healthcare, Inc.</w:t>
            </w: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562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9"/>
                <w:szCs w:val="19"/>
                <w:color w:val="052666"/>
              </w:rPr>
              <w:t xml:space="preserve">· </w:t>
            </w:r>
            <w:r>
              <w:rPr>
                <w:rFonts w:ascii="Arial" w:cs="Arial" w:eastAsia="Arial" w:hAnsi="Arial"/>
                <w:sz w:val="19"/>
                <w:szCs w:val="19"/>
                <w:color w:val="000000"/>
              </w:rPr>
              <w:t>Tenet Healthcare Corporation</w:t>
            </w:r>
          </w:p>
        </w:tc>
      </w:tr>
    </w:tbl>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believe these compensation peer group companies are comparable to us based upon the median revenues of approximately $12.7 billion in 2025, as compared to our 2025 revenues of approximately $17.4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ind w:left="9300"/>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Base Salary</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annual base salary levels are intended to be consistent with competitive pay practices and level of responsibility, with salary increases reflecting competitive trends, our overall financial performance, the performance of each individual executive and general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In establishing the base salary for our NEOs, various criteria are reviewed including the following:</w:t>
      </w:r>
    </w:p>
    <w:p>
      <w:pPr>
        <w:spacing w:after="0" w:line="94" w:lineRule="exact"/>
        <w:rPr>
          <w:sz w:val="20"/>
          <w:szCs w:val="20"/>
          <w:color w:val="auto"/>
        </w:rPr>
      </w:pPr>
    </w:p>
    <w:p>
      <w:pPr>
        <w:ind w:left="240" w:hanging="112"/>
        <w:spacing w:after="0" w:line="256" w:lineRule="auto"/>
        <w:tabs>
          <w:tab w:leader="none" w:pos="297" w:val="left"/>
        </w:tabs>
        <w:numPr>
          <w:ilvl w:val="0"/>
          <w:numId w:val="34"/>
        </w:numPr>
        <w:rPr>
          <w:rFonts w:ascii="Times New Roman" w:cs="Times New Roman" w:eastAsia="Times New Roman" w:hAnsi="Times New Roman"/>
          <w:sz w:val="20"/>
          <w:szCs w:val="20"/>
          <w:color w:val="052666"/>
        </w:rPr>
      </w:pPr>
      <w:r>
        <w:rPr>
          <w:rFonts w:ascii="Arial" w:cs="Arial" w:eastAsia="Arial" w:hAnsi="Arial"/>
          <w:sz w:val="20"/>
          <w:szCs w:val="20"/>
          <w:color w:val="auto"/>
        </w:rPr>
        <w:t>the executive officer’s achievements, performance in his or her position with us, taking into account the tenure of service, the complexity of the position and current job responsibilities;</w:t>
      </w:r>
    </w:p>
    <w:p>
      <w:pPr>
        <w:spacing w:after="0" w:line="48"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34"/>
        </w:numPr>
        <w:rPr>
          <w:rFonts w:ascii="Times New Roman" w:cs="Times New Roman" w:eastAsia="Times New Roman" w:hAnsi="Times New Roman"/>
          <w:sz w:val="20"/>
          <w:szCs w:val="20"/>
          <w:color w:val="052666"/>
        </w:rPr>
      </w:pPr>
      <w:r>
        <w:rPr>
          <w:rFonts w:ascii="Arial" w:cs="Arial" w:eastAsia="Arial" w:hAnsi="Arial"/>
          <w:sz w:val="20"/>
          <w:szCs w:val="20"/>
          <w:color w:val="auto"/>
        </w:rPr>
        <w:t>company financial performance, and;</w:t>
      </w:r>
    </w:p>
    <w:p>
      <w:pPr>
        <w:spacing w:after="0" w:line="106"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34"/>
        </w:numPr>
        <w:rPr>
          <w:rFonts w:ascii="Times New Roman" w:cs="Times New Roman" w:eastAsia="Times New Roman" w:hAnsi="Times New Roman"/>
          <w:sz w:val="20"/>
          <w:szCs w:val="20"/>
          <w:color w:val="052666"/>
        </w:rPr>
      </w:pPr>
      <w:r>
        <w:rPr>
          <w:rFonts w:ascii="Arial" w:cs="Arial" w:eastAsia="Arial" w:hAnsi="Arial"/>
          <w:sz w:val="20"/>
          <w:szCs w:val="20"/>
          <w:color w:val="auto"/>
        </w:rPr>
        <w:t>salaries of similar positions in our compensation peer group and general industry comparisons.</w:t>
      </w:r>
    </w:p>
    <w:p>
      <w:pPr>
        <w:spacing w:after="0" w:line="215"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For our NEOs during 2025, excluding our Executive Chairman, Mr. Alan B. Miller, we targeted their base salary at the median (50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percentile) of the compensation peer group (listed above), along with the median of broader general industry data, to establish our base market rate. We generally consider our base salaries to be competitive if they are approximately within a 15% range of the median market rate. For 2025, Messrs. Marc Miller, Filton, Peterson and Sim’s salaries were within 15% of the data (as assessed relative to our peer and general industry groups). However, actual base salaries are not dictated solely by the median market rate. We also take into account an individual’s expertise, tenure in the position, responsibilities and achievements.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Cash Incentives</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Cash incentives for our NEOs are awarded under the Executive Incentive Plan (the "Plan"). The Plan is intended to support our efforts to attract, retain and motivate highly qualified senior management and other executive officers of the Company and its affiliates through the payment of performance-based incentive compensation. Annual incentive compensation may be awarded under the Plan to our NEOs and others as selected by the Compensation Committee for any calendar year. The Compensation Committee believes that the payment of cash incentives to our NEOs under the Plan is consistent with the objectives for our compensation programs by rewarding such officers for the achievement of specified business goals and performance objectives and that may increase the value of our stock.</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amount of an employee’s cash incentive award for a calendar year is based upon the employee’s target cash incentive and the extent to which the performance goal(s) applicable to the employee are achieved. For each calendar year, an employee’s target cash incentive will be equal to a fixed percentage of the employee’s base salary earned during the year.</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Compensation Committee establishes performance goals for the NEOs using such business criteria and other measures of performance discussed herein and the Compensation Committee will establish objective performance goals based upon one or more of the following business criteria:</w:t>
      </w:r>
    </w:p>
    <w:p>
      <w:pPr>
        <w:spacing w:after="0" w:line="63" w:lineRule="exact"/>
        <w:rPr>
          <w:sz w:val="20"/>
          <w:szCs w:val="20"/>
          <w:color w:val="auto"/>
        </w:rPr>
      </w:pPr>
    </w:p>
    <w:p>
      <w:pPr>
        <w:ind w:left="300" w:hanging="172"/>
        <w:spacing w:after="0"/>
        <w:tabs>
          <w:tab w:leader="none" w:pos="300" w:val="left"/>
        </w:tabs>
        <w:numPr>
          <w:ilvl w:val="0"/>
          <w:numId w:val="35"/>
        </w:numPr>
        <w:rPr>
          <w:rFonts w:ascii="Times New Roman" w:cs="Times New Roman" w:eastAsia="Times New Roman" w:hAnsi="Times New Roman"/>
          <w:sz w:val="20"/>
          <w:szCs w:val="20"/>
          <w:color w:val="052666"/>
        </w:rPr>
      </w:pPr>
      <w:r>
        <w:rPr>
          <w:rFonts w:ascii="Arial" w:cs="Arial" w:eastAsia="Arial" w:hAnsi="Arial"/>
          <w:sz w:val="20"/>
          <w:szCs w:val="20"/>
          <w:color w:val="auto"/>
        </w:rPr>
        <w:t>attainment of certain target levels of, or a specified increase in, after-tax or pre-tax profits;</w:t>
      </w:r>
    </w:p>
    <w:p>
      <w:pPr>
        <w:spacing w:after="0" w:line="106" w:lineRule="exact"/>
        <w:rPr>
          <w:rFonts w:ascii="Times New Roman" w:cs="Times New Roman" w:eastAsia="Times New Roman" w:hAnsi="Times New Roman"/>
          <w:sz w:val="20"/>
          <w:szCs w:val="20"/>
          <w:color w:val="052666"/>
        </w:rPr>
      </w:pPr>
    </w:p>
    <w:p>
      <w:pPr>
        <w:ind w:left="240" w:right="20" w:hanging="112"/>
        <w:spacing w:after="0" w:line="256" w:lineRule="auto"/>
        <w:tabs>
          <w:tab w:leader="none" w:pos="308" w:val="left"/>
        </w:tabs>
        <w:numPr>
          <w:ilvl w:val="0"/>
          <w:numId w:val="35"/>
        </w:numPr>
        <w:rPr>
          <w:rFonts w:ascii="Times New Roman" w:cs="Times New Roman" w:eastAsia="Times New Roman" w:hAnsi="Times New Roman"/>
          <w:sz w:val="20"/>
          <w:szCs w:val="20"/>
          <w:color w:val="052666"/>
        </w:rPr>
      </w:pPr>
      <w:r>
        <w:rPr>
          <w:rFonts w:ascii="Arial" w:cs="Arial" w:eastAsia="Arial" w:hAnsi="Arial"/>
          <w:sz w:val="20"/>
          <w:szCs w:val="20"/>
          <w:color w:val="auto"/>
        </w:rPr>
        <w:t>attainment of certain target levels of, or a specified increase in, earnings per diluted share or adjusted earnings per diluted share, and;</w:t>
      </w:r>
    </w:p>
    <w:p>
      <w:pPr>
        <w:spacing w:after="0" w:line="48"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35"/>
        </w:numPr>
        <w:rPr>
          <w:rFonts w:ascii="Times New Roman" w:cs="Times New Roman" w:eastAsia="Times New Roman" w:hAnsi="Times New Roman"/>
          <w:sz w:val="20"/>
          <w:szCs w:val="20"/>
          <w:color w:val="052666"/>
        </w:rPr>
      </w:pPr>
      <w:r>
        <w:rPr>
          <w:rFonts w:ascii="Arial" w:cs="Arial" w:eastAsia="Arial" w:hAnsi="Arial"/>
          <w:sz w:val="20"/>
          <w:szCs w:val="20"/>
          <w:color w:val="auto"/>
        </w:rPr>
        <w:t>attainment of certain target levels of, or a specified increase in, return on capital or return on invested capital.</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Annual Cash Incentive Formula and Performance Goals: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On March 19, 2025, the Compensation Committee approved specific bonus formulae for the determination of the target annual incentive compensation for the Company’s NEOs pursuant to the Plan for the year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December 31, 2025. Under the formulae approved by the Compensation Committee, each of the Company’s NEOs was assigned a percentage of such executive officer’s 2025 base salary as a target bonus based upon corporate performance criteria. The corporate performance criteria target bonus award indicated below for Mr. Marc D. Miller is stipulated in his employment agreement, as discussed herein.</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Mr. Alan B. Miller, who previously served as our Chief Executive Officer and Chairman of the Board of Directors, transitioned to the role of Executive Chairman of the Board of Directors effective January 1, 2021. In connection with his role as Executive Chairman, Mr. Alan B. Miller does not participate in the Plan, however, he may be entitled to bonuses and other compensation (including discretionary annual incentive bonuses) as may be determined by the Compensation Committee.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w:t>
      </w:r>
    </w:p>
    <w:p>
      <w:pPr>
        <w:spacing w:after="0" w:line="94" w:lineRule="exact"/>
        <w:rPr>
          <w:sz w:val="20"/>
          <w:szCs w:val="20"/>
          <w:color w:val="auto"/>
        </w:rPr>
      </w:pPr>
    </w:p>
    <w:p>
      <w:pPr>
        <w:ind w:left="240" w:hanging="112"/>
        <w:spacing w:after="0" w:line="256" w:lineRule="auto"/>
        <w:tabs>
          <w:tab w:leader="none" w:pos="349" w:val="left"/>
        </w:tabs>
        <w:numPr>
          <w:ilvl w:val="0"/>
          <w:numId w:val="36"/>
        </w:numPr>
        <w:rPr>
          <w:rFonts w:ascii="Times New Roman" w:cs="Times New Roman" w:eastAsia="Times New Roman" w:hAnsi="Times New Roman"/>
          <w:sz w:val="20"/>
          <w:szCs w:val="20"/>
          <w:color w:val="052666"/>
        </w:rPr>
      </w:pPr>
      <w:r>
        <w:rPr>
          <w:rFonts w:ascii="Arial" w:cs="Arial" w:eastAsia="Arial" w:hAnsi="Arial"/>
          <w:sz w:val="20"/>
          <w:szCs w:val="20"/>
          <w:color w:val="auto"/>
        </w:rPr>
        <w:t>Messrs. Marc D. Miller and Filton – 100% of their annual incentive bonus for 2025 was based upon the corporate performance criteria, as described below.</w:t>
      </w:r>
    </w:p>
    <w:p>
      <w:pPr>
        <w:spacing w:after="0" w:line="48"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36"/>
        </w:numPr>
        <w:rPr>
          <w:rFonts w:ascii="Times New Roman" w:cs="Times New Roman" w:eastAsia="Times New Roman" w:hAnsi="Times New Roman"/>
          <w:sz w:val="20"/>
          <w:szCs w:val="20"/>
          <w:color w:val="052666"/>
        </w:rPr>
      </w:pPr>
      <w:r>
        <w:rPr>
          <w:rFonts w:ascii="Arial" w:cs="Arial" w:eastAsia="Arial" w:hAnsi="Arial"/>
          <w:sz w:val="20"/>
          <w:szCs w:val="20"/>
          <w:color w:val="auto"/>
        </w:rPr>
        <w:t>Messrs. Sim and Peterson – their 2025 annual incentive bonus was based upon:</w:t>
      </w:r>
    </w:p>
    <w:p>
      <w:pPr>
        <w:spacing w:after="0" w:line="106" w:lineRule="exact"/>
        <w:rPr>
          <w:rFonts w:ascii="Times New Roman" w:cs="Times New Roman" w:eastAsia="Times New Roman" w:hAnsi="Times New Roman"/>
          <w:sz w:val="20"/>
          <w:szCs w:val="20"/>
          <w:color w:val="052666"/>
        </w:rPr>
      </w:pPr>
    </w:p>
    <w:p>
      <w:pPr>
        <w:ind w:left="820" w:hanging="168"/>
        <w:spacing w:after="0"/>
        <w:tabs>
          <w:tab w:leader="none" w:pos="820" w:val="left"/>
        </w:tabs>
        <w:numPr>
          <w:ilvl w:val="1"/>
          <w:numId w:val="36"/>
        </w:numPr>
        <w:rPr>
          <w:rFonts w:ascii="Times New Roman" w:cs="Times New Roman" w:eastAsia="Times New Roman" w:hAnsi="Times New Roman"/>
          <w:sz w:val="20"/>
          <w:szCs w:val="20"/>
          <w:color w:val="052666"/>
        </w:rPr>
      </w:pPr>
      <w:r>
        <w:rPr>
          <w:rFonts w:ascii="Arial" w:cs="Arial" w:eastAsia="Arial" w:hAnsi="Arial"/>
          <w:sz w:val="20"/>
          <w:szCs w:val="20"/>
          <w:color w:val="auto"/>
        </w:rPr>
        <w:t>25% of their annual salary based upon the achievement of the corporate performance criteria, and;</w:t>
      </w:r>
    </w:p>
    <w:p>
      <w:pPr>
        <w:spacing w:after="0" w:line="106" w:lineRule="exact"/>
        <w:rPr>
          <w:rFonts w:ascii="Times New Roman" w:cs="Times New Roman" w:eastAsia="Times New Roman" w:hAnsi="Times New Roman"/>
          <w:sz w:val="20"/>
          <w:szCs w:val="20"/>
          <w:color w:val="052666"/>
        </w:rPr>
      </w:pPr>
    </w:p>
    <w:p>
      <w:pPr>
        <w:ind w:left="820" w:hanging="168"/>
        <w:spacing w:after="0"/>
        <w:tabs>
          <w:tab w:leader="none" w:pos="820" w:val="left"/>
        </w:tabs>
        <w:numPr>
          <w:ilvl w:val="1"/>
          <w:numId w:val="36"/>
        </w:numPr>
        <w:rPr>
          <w:rFonts w:ascii="Times New Roman" w:cs="Times New Roman" w:eastAsia="Times New Roman" w:hAnsi="Times New Roman"/>
          <w:sz w:val="20"/>
          <w:szCs w:val="20"/>
          <w:color w:val="052666"/>
        </w:rPr>
      </w:pPr>
      <w:r>
        <w:rPr>
          <w:rFonts w:ascii="Arial" w:cs="Arial" w:eastAsia="Arial" w:hAnsi="Arial"/>
          <w:sz w:val="20"/>
          <w:szCs w:val="20"/>
          <w:color w:val="auto"/>
        </w:rPr>
        <w:t>75% of their annual salary based upon the achievement of the divisional income, as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each executive officer’s target bonus as a percentage of their base salary for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580" w:type="dxa"/>
            <w:vAlign w:val="bottom"/>
          </w:tcPr>
          <w:p>
            <w:pPr>
              <w:jc w:val="center"/>
              <w:ind w:left="723"/>
              <w:spacing w:after="0"/>
              <w:rPr>
                <w:sz w:val="20"/>
                <w:szCs w:val="20"/>
                <w:color w:val="auto"/>
              </w:rPr>
            </w:pPr>
            <w:r>
              <w:rPr>
                <w:rFonts w:ascii="Arial" w:cs="Arial" w:eastAsia="Arial" w:hAnsi="Arial"/>
                <w:sz w:val="14"/>
                <w:szCs w:val="14"/>
                <w:b w:val="1"/>
                <w:bCs w:val="1"/>
                <w:color w:val="052666"/>
              </w:rPr>
              <w:t>Target Incentive</w:t>
            </w:r>
          </w:p>
        </w:tc>
      </w:tr>
      <w:tr>
        <w:trPr>
          <w:trHeight w:val="162"/>
        </w:trPr>
        <w:tc>
          <w:tcPr>
            <w:tcW w:w="25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580" w:type="dxa"/>
            <w:vAlign w:val="bottom"/>
          </w:tcPr>
          <w:p>
            <w:pPr>
              <w:jc w:val="center"/>
              <w:ind w:left="703"/>
              <w:spacing w:after="0"/>
              <w:rPr>
                <w:sz w:val="20"/>
                <w:szCs w:val="20"/>
                <w:color w:val="auto"/>
              </w:rPr>
            </w:pPr>
            <w:r>
              <w:rPr>
                <w:rFonts w:ascii="Arial" w:cs="Arial" w:eastAsia="Arial" w:hAnsi="Arial"/>
                <w:sz w:val="14"/>
                <w:szCs w:val="14"/>
                <w:b w:val="1"/>
                <w:bCs w:val="1"/>
                <w:color w:val="052666"/>
              </w:rPr>
              <w:t>Bonus Award</w:t>
            </w:r>
          </w:p>
        </w:tc>
      </w:tr>
      <w:tr>
        <w:trPr>
          <w:trHeight w:val="171"/>
        </w:trPr>
        <w:tc>
          <w:tcPr>
            <w:tcW w:w="2500" w:type="dxa"/>
            <w:vAlign w:val="bottom"/>
            <w:tcBorders>
              <w:bottom w:val="single" w:sz="8" w:color="052666"/>
            </w:tcBorders>
          </w:tcPr>
          <w:p>
            <w:pPr>
              <w:ind w:left="40"/>
              <w:spacing w:after="0"/>
              <w:rPr>
                <w:sz w:val="20"/>
                <w:szCs w:val="20"/>
                <w:color w:val="auto"/>
              </w:rPr>
            </w:pPr>
            <w:r>
              <w:rPr>
                <w:rFonts w:ascii="Arial" w:cs="Arial" w:eastAsia="Arial" w:hAnsi="Arial"/>
                <w:sz w:val="14"/>
                <w:szCs w:val="14"/>
                <w:b w:val="1"/>
                <w:bCs w:val="1"/>
                <w:color w:val="052666"/>
              </w:rPr>
              <w:t>Name</w:t>
            </w:r>
          </w:p>
        </w:tc>
        <w:tc>
          <w:tcPr>
            <w:tcW w:w="6160" w:type="dxa"/>
            <w:vAlign w:val="bottom"/>
            <w:tcBorders>
              <w:bottom w:val="single" w:sz="8" w:color="052666"/>
            </w:tcBorders>
          </w:tcPr>
          <w:p>
            <w:pPr>
              <w:ind w:left="3420"/>
              <w:spacing w:after="0"/>
              <w:rPr>
                <w:sz w:val="20"/>
                <w:szCs w:val="20"/>
                <w:color w:val="auto"/>
              </w:rPr>
            </w:pPr>
            <w:r>
              <w:rPr>
                <w:rFonts w:ascii="Arial" w:cs="Arial" w:eastAsia="Arial" w:hAnsi="Arial"/>
                <w:sz w:val="14"/>
                <w:szCs w:val="14"/>
                <w:b w:val="1"/>
                <w:bCs w:val="1"/>
                <w:color w:val="052666"/>
              </w:rPr>
              <w:t>Title</w:t>
            </w:r>
          </w:p>
        </w:tc>
        <w:tc>
          <w:tcPr>
            <w:tcW w:w="2580" w:type="dxa"/>
            <w:vAlign w:val="bottom"/>
            <w:tcBorders>
              <w:bottom w:val="single" w:sz="8" w:color="052666"/>
            </w:tcBorders>
          </w:tcPr>
          <w:p>
            <w:pPr>
              <w:jc w:val="center"/>
              <w:ind w:left="703"/>
              <w:spacing w:after="0"/>
              <w:rPr>
                <w:sz w:val="20"/>
                <w:szCs w:val="20"/>
                <w:color w:val="auto"/>
              </w:rPr>
            </w:pPr>
            <w:r>
              <w:rPr>
                <w:rFonts w:ascii="Arial" w:cs="Arial" w:eastAsia="Arial" w:hAnsi="Arial"/>
                <w:sz w:val="14"/>
                <w:szCs w:val="14"/>
                <w:b w:val="1"/>
                <w:bCs w:val="1"/>
                <w:color w:val="052666"/>
              </w:rPr>
              <w:t>as a % of salary</w:t>
            </w:r>
          </w:p>
        </w:tc>
      </w:tr>
      <w:tr>
        <w:trPr>
          <w:trHeight w:val="223"/>
        </w:trPr>
        <w:tc>
          <w:tcPr>
            <w:tcW w:w="2500" w:type="dxa"/>
            <w:vAlign w:val="bottom"/>
            <w:shd w:val="clear" w:color="auto" w:fill="EDEDED"/>
          </w:tcPr>
          <w:p>
            <w:pPr>
              <w:ind w:left="40"/>
              <w:spacing w:after="0"/>
              <w:rPr>
                <w:sz w:val="20"/>
                <w:szCs w:val="20"/>
                <w:color w:val="auto"/>
              </w:rPr>
            </w:pPr>
            <w:r>
              <w:rPr>
                <w:rFonts w:ascii="Arial" w:cs="Arial" w:eastAsia="Arial" w:hAnsi="Arial"/>
                <w:sz w:val="16"/>
                <w:szCs w:val="16"/>
                <w:color w:val="auto"/>
              </w:rPr>
              <w:t>Marc D. Miller</w:t>
            </w:r>
          </w:p>
        </w:tc>
        <w:tc>
          <w:tcPr>
            <w:tcW w:w="6160" w:type="dxa"/>
            <w:vAlign w:val="bottom"/>
            <w:shd w:val="clear" w:color="auto" w:fill="EDEDED"/>
          </w:tcPr>
          <w:p>
            <w:pPr>
              <w:ind w:left="260"/>
              <w:spacing w:after="0"/>
              <w:rPr>
                <w:sz w:val="20"/>
                <w:szCs w:val="20"/>
                <w:color w:val="auto"/>
              </w:rPr>
            </w:pPr>
            <w:r>
              <w:rPr>
                <w:rFonts w:ascii="Arial" w:cs="Arial" w:eastAsia="Arial" w:hAnsi="Arial"/>
                <w:sz w:val="16"/>
                <w:szCs w:val="16"/>
                <w:color w:val="auto"/>
              </w:rPr>
              <w:t>Chief Executive Officer and President</w:t>
            </w:r>
          </w:p>
        </w:tc>
        <w:tc>
          <w:tcPr>
            <w:tcW w:w="25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150%</w:t>
            </w:r>
          </w:p>
        </w:tc>
      </w:tr>
      <w:tr>
        <w:trPr>
          <w:trHeight w:val="230"/>
        </w:trPr>
        <w:tc>
          <w:tcPr>
            <w:tcW w:w="2500" w:type="dxa"/>
            <w:vAlign w:val="bottom"/>
          </w:tcPr>
          <w:p>
            <w:pPr>
              <w:ind w:left="40"/>
              <w:spacing w:after="0"/>
              <w:rPr>
                <w:sz w:val="20"/>
                <w:szCs w:val="20"/>
                <w:color w:val="auto"/>
              </w:rPr>
            </w:pPr>
            <w:r>
              <w:rPr>
                <w:rFonts w:ascii="Arial" w:cs="Arial" w:eastAsia="Arial" w:hAnsi="Arial"/>
                <w:sz w:val="16"/>
                <w:szCs w:val="16"/>
                <w:color w:val="auto"/>
              </w:rPr>
              <w:t>Steve G. Filton</w:t>
            </w:r>
          </w:p>
        </w:tc>
        <w:tc>
          <w:tcPr>
            <w:tcW w:w="6160" w:type="dxa"/>
            <w:vAlign w:val="bottom"/>
          </w:tcPr>
          <w:p>
            <w:pPr>
              <w:ind w:left="260"/>
              <w:spacing w:after="0"/>
              <w:rPr>
                <w:sz w:val="20"/>
                <w:szCs w:val="20"/>
                <w:color w:val="auto"/>
              </w:rPr>
            </w:pPr>
            <w:r>
              <w:rPr>
                <w:rFonts w:ascii="Arial" w:cs="Arial" w:eastAsia="Arial" w:hAnsi="Arial"/>
                <w:sz w:val="16"/>
                <w:szCs w:val="16"/>
                <w:color w:val="auto"/>
              </w:rPr>
              <w:t>Executive Vice President and Chief Financial Officer</w:t>
            </w:r>
          </w:p>
        </w:tc>
        <w:tc>
          <w:tcPr>
            <w:tcW w:w="25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30"/>
        </w:trPr>
        <w:tc>
          <w:tcPr>
            <w:tcW w:w="2500" w:type="dxa"/>
            <w:vAlign w:val="bottom"/>
            <w:shd w:val="clear" w:color="auto" w:fill="EDEDED"/>
          </w:tcPr>
          <w:p>
            <w:pPr>
              <w:ind w:left="40"/>
              <w:spacing w:after="0"/>
              <w:rPr>
                <w:sz w:val="20"/>
                <w:szCs w:val="20"/>
                <w:color w:val="auto"/>
              </w:rPr>
            </w:pPr>
            <w:r>
              <w:rPr>
                <w:rFonts w:ascii="Arial" w:cs="Arial" w:eastAsia="Arial" w:hAnsi="Arial"/>
                <w:sz w:val="16"/>
                <w:szCs w:val="16"/>
                <w:color w:val="auto"/>
              </w:rPr>
              <w:t>Edward H. Sim</w:t>
            </w:r>
          </w:p>
        </w:tc>
        <w:tc>
          <w:tcPr>
            <w:tcW w:w="6160" w:type="dxa"/>
            <w:vAlign w:val="bottom"/>
            <w:shd w:val="clear" w:color="auto" w:fill="EDEDED"/>
          </w:tcPr>
          <w:p>
            <w:pPr>
              <w:ind w:left="260"/>
              <w:spacing w:after="0"/>
              <w:rPr>
                <w:sz w:val="20"/>
                <w:szCs w:val="20"/>
                <w:color w:val="auto"/>
              </w:rPr>
            </w:pPr>
            <w:r>
              <w:rPr>
                <w:rFonts w:ascii="Arial" w:cs="Arial" w:eastAsia="Arial" w:hAnsi="Arial"/>
                <w:sz w:val="16"/>
                <w:szCs w:val="16"/>
                <w:color w:val="auto"/>
              </w:rPr>
              <w:t>Executive Vice President and President-Acute Care Division</w:t>
            </w:r>
          </w:p>
        </w:tc>
        <w:tc>
          <w:tcPr>
            <w:tcW w:w="25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100%</w:t>
            </w:r>
          </w:p>
        </w:tc>
      </w:tr>
      <w:tr>
        <w:trPr>
          <w:trHeight w:val="241"/>
        </w:trPr>
        <w:tc>
          <w:tcPr>
            <w:tcW w:w="2500" w:type="dxa"/>
            <w:vAlign w:val="bottom"/>
          </w:tcPr>
          <w:p>
            <w:pPr>
              <w:ind w:left="40"/>
              <w:spacing w:after="0"/>
              <w:rPr>
                <w:sz w:val="20"/>
                <w:szCs w:val="20"/>
                <w:color w:val="auto"/>
              </w:rPr>
            </w:pPr>
            <w:r>
              <w:rPr>
                <w:rFonts w:ascii="Arial" w:cs="Arial" w:eastAsia="Arial" w:hAnsi="Arial"/>
                <w:sz w:val="16"/>
                <w:szCs w:val="16"/>
                <w:color w:val="auto"/>
              </w:rPr>
              <w:t>Matthew J. Peterson</w:t>
            </w:r>
          </w:p>
        </w:tc>
        <w:tc>
          <w:tcPr>
            <w:tcW w:w="6160" w:type="dxa"/>
            <w:vAlign w:val="bottom"/>
          </w:tcPr>
          <w:p>
            <w:pPr>
              <w:ind w:left="260"/>
              <w:spacing w:after="0"/>
              <w:rPr>
                <w:sz w:val="20"/>
                <w:szCs w:val="20"/>
                <w:color w:val="auto"/>
              </w:rPr>
            </w:pPr>
            <w:r>
              <w:rPr>
                <w:rFonts w:ascii="Arial" w:cs="Arial" w:eastAsia="Arial" w:hAnsi="Arial"/>
                <w:sz w:val="16"/>
                <w:szCs w:val="16"/>
                <w:color w:val="auto"/>
              </w:rPr>
              <w:t>Executive Vice President and President-Behavioral Health Division</w:t>
            </w:r>
          </w:p>
        </w:tc>
        <w:tc>
          <w:tcPr>
            <w:tcW w:w="25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9"/>
        </w:trPr>
        <w:tc>
          <w:tcPr>
            <w:tcW w:w="2500" w:type="dxa"/>
            <w:vAlign w:val="bottom"/>
            <w:tcBorders>
              <w:bottom w:val="single" w:sz="8" w:color="7F7F7F"/>
            </w:tcBorders>
          </w:tcPr>
          <w:p>
            <w:pPr>
              <w:spacing w:after="0"/>
              <w:rPr>
                <w:sz w:val="2"/>
                <w:szCs w:val="2"/>
                <w:color w:val="auto"/>
              </w:rPr>
            </w:pPr>
          </w:p>
        </w:tc>
        <w:tc>
          <w:tcPr>
            <w:tcW w:w="6160" w:type="dxa"/>
            <w:vAlign w:val="bottom"/>
            <w:tcBorders>
              <w:bottom w:val="single" w:sz="8" w:color="7F7F7F"/>
            </w:tcBorders>
          </w:tcPr>
          <w:p>
            <w:pPr>
              <w:spacing w:after="0"/>
              <w:rPr>
                <w:sz w:val="2"/>
                <w:szCs w:val="2"/>
                <w:color w:val="auto"/>
              </w:rPr>
            </w:pPr>
          </w:p>
        </w:tc>
        <w:tc>
          <w:tcPr>
            <w:tcW w:w="2580" w:type="dxa"/>
            <w:vAlign w:val="bottom"/>
            <w:tcBorders>
              <w:bottom w:val="single" w:sz="8" w:color="7F7F7F"/>
            </w:tcBorders>
          </w:tcPr>
          <w:p>
            <w:pPr>
              <w:spacing w:after="0"/>
              <w:rPr>
                <w:sz w:val="2"/>
                <w:szCs w:val="2"/>
                <w:color w:val="auto"/>
              </w:rPr>
            </w:pPr>
          </w:p>
        </w:tc>
      </w:tr>
    </w:tbl>
    <w:p>
      <w:pPr>
        <w:spacing w:after="0" w:line="194"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 xml:space="preserve">As part of our peer company compensation review for executive officers as discussed above in </w:t>
      </w:r>
      <w:r>
        <w:rPr>
          <w:rFonts w:ascii="Arial" w:cs="Arial" w:eastAsia="Arial" w:hAnsi="Arial"/>
          <w:sz w:val="20"/>
          <w:szCs w:val="20"/>
          <w:i w:val="1"/>
          <w:iCs w:val="1"/>
          <w:color w:val="auto"/>
        </w:rPr>
        <w:t>Annual Base Salary</w:t>
      </w:r>
      <w:r>
        <w:rPr>
          <w:rFonts w:ascii="Arial" w:cs="Arial" w:eastAsia="Arial" w:hAnsi="Arial"/>
          <w:sz w:val="20"/>
          <w:szCs w:val="20"/>
          <w:color w:val="auto"/>
        </w:rPr>
        <w:t>, we also target the median (50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percentile) market rate from our compensation peer group and the broader general industry data when determining each officer’s target annual incentive. Actual cash incentive awards, however, appropriately vary from this targeted level based upon performance, consistent with our pay for performance philosophy, and are detailed in the Summary Compensation Table in this Proxy Statement. The Compensation Committee believes that the annual incentive opportunities offered to our NEOs are appropriate to facilitate our ability to attract, retain, motivate and reward our named executive officers, and that actual incentive payouts appropriately reflect the Company’s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2025 Annual Cash Incentive: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 Performance Criteria:</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On February 26, 2025, we publicly announced our financial results for the year ended December 31, 2024, as well as our operating results forecast for the year ended December 31, 2025. At that time, we publicly announced that our 2025 estimated initial range of adjusted net income attributable to UHS was $18.45 per diluted share to $ 19.95 per diluted share (with a midpoint of $19.20 per diluted share), representing increases of 11% and 20%, respectively, over our actual adjusted net income attributable to UHS of $16.61 per diluted share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ind w:left="9300"/>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Based upon our actual operating results experienced during the six months ended June 30, 2025, and the nine months ended September 30, 2025, we publicly disclosed increases to our previously disclosed estimated range of adjusted net income per diluted share attributable to UHS for 2025, as indicated below. However, our annual incentive performance targets were not impacted by these publicly disclosed revisions to our initial estimated range of adjusted net income per diluted share attributable to UHS for 2025.</w:t>
      </w:r>
    </w:p>
    <w:p>
      <w:pPr>
        <w:spacing w:after="0" w:line="67" w:lineRule="exact"/>
        <w:rPr>
          <w:sz w:val="20"/>
          <w:szCs w:val="20"/>
          <w:color w:val="auto"/>
        </w:rPr>
      </w:pPr>
    </w:p>
    <w:p>
      <w:pPr>
        <w:ind w:left="380" w:right="20" w:hanging="222"/>
        <w:spacing w:after="0" w:line="256" w:lineRule="auto"/>
        <w:tabs>
          <w:tab w:leader="none" w:pos="38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in July, 2025, we increased the lower end of the range to $20.00 per diluted share (from $18.45 per diluted share) and increased the upper end of the range to $21.00 per diluted share (from $19.95 per diluted share).</w:t>
      </w:r>
    </w:p>
    <w:p>
      <w:pPr>
        <w:spacing w:after="0" w:line="48" w:lineRule="exact"/>
        <w:rPr>
          <w:rFonts w:ascii="Times New Roman" w:cs="Times New Roman" w:eastAsia="Times New Roman" w:hAnsi="Times New Roman"/>
          <w:sz w:val="20"/>
          <w:szCs w:val="20"/>
          <w:color w:val="auto"/>
        </w:rPr>
      </w:pPr>
    </w:p>
    <w:p>
      <w:pPr>
        <w:ind w:left="380" w:right="20" w:hanging="222"/>
        <w:spacing w:after="0" w:line="256" w:lineRule="auto"/>
        <w:tabs>
          <w:tab w:leader="none" w:pos="38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in October, 2025, we increased the lower end of the range to $21.50 per diluted share (from $20.00 per diluted share) and increased the upper end of the range to $22.10 per diluted share (from $21.00 per diluted share).</w:t>
      </w:r>
    </w:p>
    <w:p>
      <w:pPr>
        <w:spacing w:after="0" w:line="15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Consistent with the certain components of the 2025 operating results forecast, as publicly disclosed on February 26, 2025, on March 19, 2025, the Compensation Committee approved specific formulae for determination of annual cash incentive targets, based on corporate performance criteria as reflected below, pursuant to the Plan for the year ended December 31, 2025. In the event that our adjusted net income attributable to UHS and/or the return on capital falls below the minimum end of the target ranges outlined below, no incentive compensation, that is based upon the corporate performance criteria, is earned.</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March 26, 2026, the Compensation Committee determined that, based upon our actual operating results for the year ended December 31, 2025, as publicly disclosed on February 25, 2026, the corporate performance criteria were achieved as indicated below.</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During 2025, our adjusted net income attributable to UHS was $21.74 per diluted share, as computed on Annex A. This adjusted net income attributable to UHS per diluted share for 2025 was publicly disclosed and reconciled to our reported 2025 net income per diluted share attributable to UHS of $23.10, as computed on the Schedule of Non-GAAP Supplemental Information included with our financial results for the year ended December 31, 2025. The Return on Capital is calculated by dividing our annual adjusted net income attributable to UHS by the consolidated average net capital.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052666"/>
              </w:rPr>
              <w:t>Corporate performance criteria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4"/>
          </w:tcPr>
          <w:p>
            <w:pPr>
              <w:jc w:val="center"/>
              <w:ind w:left="779"/>
              <w:spacing w:after="0" w:line="168" w:lineRule="exact"/>
              <w:rPr>
                <w:sz w:val="20"/>
                <w:szCs w:val="20"/>
                <w:color w:val="auto"/>
              </w:rPr>
            </w:pPr>
            <w:r>
              <w:rPr>
                <w:rFonts w:ascii="Arial" w:cs="Arial" w:eastAsia="Arial" w:hAnsi="Arial"/>
                <w:sz w:val="16"/>
                <w:szCs w:val="16"/>
                <w:b w:val="1"/>
                <w:bCs w:val="1"/>
                <w:color w:val="052666"/>
              </w:rPr>
              <w:t>Target ranges for the</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199"/>
              <w:spacing w:after="0" w:line="168" w:lineRule="exact"/>
              <w:rPr>
                <w:sz w:val="20"/>
                <w:szCs w:val="20"/>
                <w:color w:val="auto"/>
              </w:rPr>
            </w:pPr>
            <w:r>
              <w:rPr>
                <w:rFonts w:ascii="Arial" w:cs="Arial" w:eastAsia="Arial" w:hAnsi="Arial"/>
                <w:sz w:val="16"/>
                <w:szCs w:val="16"/>
                <w:b w:val="1"/>
                <w:bCs w:val="1"/>
                <w:color w:val="052666"/>
              </w:rPr>
              <w:t>Actual achieved</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center"/>
              <w:ind w:left="779"/>
              <w:spacing w:after="0"/>
              <w:rPr>
                <w:sz w:val="20"/>
                <w:szCs w:val="20"/>
                <w:color w:val="auto"/>
              </w:rPr>
            </w:pPr>
            <w:r>
              <w:rPr>
                <w:rFonts w:ascii="Arial" w:cs="Arial" w:eastAsia="Arial" w:hAnsi="Arial"/>
                <w:sz w:val="16"/>
                <w:szCs w:val="16"/>
                <w:b w:val="1"/>
                <w:bCs w:val="1"/>
                <w:color w:val="052666"/>
              </w:rPr>
              <w:t>year ended 12/31/2025</w:t>
            </w: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ind w:right="219"/>
              <w:spacing w:after="0"/>
              <w:rPr>
                <w:sz w:val="20"/>
                <w:szCs w:val="20"/>
                <w:color w:val="auto"/>
              </w:rPr>
            </w:pPr>
            <w:r>
              <w:rPr>
                <w:rFonts w:ascii="Arial" w:cs="Arial" w:eastAsia="Arial" w:hAnsi="Arial"/>
                <w:sz w:val="16"/>
                <w:szCs w:val="16"/>
                <w:b w:val="1"/>
                <w:bCs w:val="1"/>
                <w:color w:val="052666"/>
              </w:rPr>
              <w:t>for the year</w:t>
            </w:r>
          </w:p>
        </w:tc>
        <w:tc>
          <w:tcPr>
            <w:tcW w:w="0" w:type="dxa"/>
            <w:vAlign w:val="bottom"/>
          </w:tcPr>
          <w:p>
            <w:pPr>
              <w:spacing w:after="0"/>
              <w:rPr>
                <w:sz w:val="1"/>
                <w:szCs w:val="1"/>
                <w:color w:val="auto"/>
              </w:rPr>
            </w:pPr>
          </w:p>
        </w:tc>
      </w:tr>
      <w:tr>
        <w:trPr>
          <w:trHeight w:val="183"/>
        </w:trPr>
        <w:tc>
          <w:tcPr>
            <w:tcW w:w="5040" w:type="dxa"/>
            <w:vAlign w:val="bottom"/>
            <w:vMerge w:val="restart"/>
          </w:tcPr>
          <w:p>
            <w:pPr>
              <w:spacing w:after="0"/>
              <w:rPr>
                <w:sz w:val="20"/>
                <w:szCs w:val="20"/>
                <w:color w:val="auto"/>
              </w:rPr>
            </w:pPr>
            <w:r>
              <w:rPr>
                <w:rFonts w:ascii="Arial" w:cs="Arial" w:eastAsia="Arial" w:hAnsi="Arial"/>
                <w:sz w:val="16"/>
                <w:szCs w:val="16"/>
                <w:color w:val="auto"/>
              </w:rPr>
              <w:t>Cash incentive award</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052666"/>
              </w:rPr>
              <w:t>Minimum</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99"/>
              <w:spacing w:after="0" w:line="183" w:lineRule="exact"/>
              <w:rPr>
                <w:sz w:val="20"/>
                <w:szCs w:val="20"/>
                <w:color w:val="auto"/>
              </w:rPr>
            </w:pPr>
            <w:r>
              <w:rPr>
                <w:rFonts w:ascii="Arial" w:cs="Arial" w:eastAsia="Arial" w:hAnsi="Arial"/>
                <w:sz w:val="16"/>
                <w:szCs w:val="16"/>
                <w:b w:val="1"/>
                <w:bCs w:val="1"/>
                <w:color w:val="052666"/>
              </w:rPr>
              <w:t>Target</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052666"/>
              </w:rPr>
              <w:t>Maximum</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99"/>
              <w:spacing w:after="0" w:line="183" w:lineRule="exact"/>
              <w:rPr>
                <w:sz w:val="20"/>
                <w:szCs w:val="20"/>
                <w:color w:val="auto"/>
              </w:rPr>
            </w:pPr>
            <w:r>
              <w:rPr>
                <w:rFonts w:ascii="Arial" w:cs="Arial" w:eastAsia="Arial" w:hAnsi="Arial"/>
                <w:sz w:val="16"/>
                <w:szCs w:val="16"/>
                <w:b w:val="1"/>
                <w:bCs w:val="1"/>
                <w:color w:val="052666"/>
              </w:rPr>
              <w:t>ended 12/31/2025</w:t>
            </w:r>
          </w:p>
        </w:tc>
        <w:tc>
          <w:tcPr>
            <w:tcW w:w="0" w:type="dxa"/>
            <w:vAlign w:val="bottom"/>
          </w:tcPr>
          <w:p>
            <w:pPr>
              <w:spacing w:after="0"/>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22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6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line="183"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9"/>
        </w:trPr>
        <w:tc>
          <w:tcPr>
            <w:tcW w:w="5040" w:type="dxa"/>
            <w:vAlign w:val="bottom"/>
            <w:shd w:val="clear" w:color="auto" w:fill="EDEDED"/>
          </w:tcPr>
          <w:p>
            <w:pPr>
              <w:spacing w:after="0"/>
              <w:rPr>
                <w:sz w:val="20"/>
                <w:szCs w:val="20"/>
                <w:color w:val="auto"/>
              </w:rPr>
            </w:pPr>
            <w:r>
              <w:rPr>
                <w:rFonts w:ascii="Arial" w:cs="Arial" w:eastAsia="Arial" w:hAnsi="Arial"/>
                <w:sz w:val="16"/>
                <w:szCs w:val="16"/>
                <w:color w:val="auto"/>
              </w:rPr>
              <w:t>Adjusted net income attributable to UHS, per diluted share</w:t>
            </w:r>
          </w:p>
        </w:tc>
        <w:tc>
          <w:tcPr>
            <w:tcW w:w="360" w:type="dxa"/>
            <w:vAlign w:val="bottom"/>
            <w:gridSpan w:val="2"/>
            <w:shd w:val="clear" w:color="auto" w:fill="F2F2F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17.28</w:t>
            </w:r>
          </w:p>
        </w:tc>
        <w:tc>
          <w:tcPr>
            <w:tcW w:w="22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2F2F2"/>
          </w:tcPr>
          <w:p>
            <w:pPr>
              <w:jc w:val="right"/>
              <w:ind w:right="79"/>
              <w:spacing w:after="0"/>
              <w:rPr>
                <w:sz w:val="20"/>
                <w:szCs w:val="20"/>
                <w:color w:val="auto"/>
              </w:rPr>
            </w:pPr>
            <w:r>
              <w:rPr>
                <w:rFonts w:ascii="Arial" w:cs="Arial" w:eastAsia="Arial" w:hAnsi="Arial"/>
                <w:sz w:val="16"/>
                <w:szCs w:val="16"/>
                <w:color w:val="auto"/>
              </w:rPr>
              <w:t>19.20</w:t>
            </w:r>
          </w:p>
        </w:tc>
        <w:tc>
          <w:tcPr>
            <w:tcW w:w="160" w:type="dxa"/>
            <w:vAlign w:val="bottom"/>
            <w:shd w:val="clear" w:color="auto" w:fill="F2F2F2"/>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21.12</w:t>
            </w:r>
          </w:p>
        </w:tc>
        <w:tc>
          <w:tcPr>
            <w:tcW w:w="120" w:type="dxa"/>
            <w:vAlign w:val="bottom"/>
            <w:shd w:val="clear" w:color="auto" w:fill="F2F2F2"/>
          </w:tcPr>
          <w:p>
            <w:pPr>
              <w:spacing w:after="0"/>
              <w:rPr>
                <w:sz w:val="16"/>
                <w:szCs w:val="16"/>
                <w:color w:val="auto"/>
              </w:rPr>
            </w:pPr>
          </w:p>
        </w:tc>
        <w:tc>
          <w:tcPr>
            <w:tcW w:w="180" w:type="dxa"/>
            <w:vAlign w:val="bottom"/>
            <w:gridSpan w:val="2"/>
            <w:shd w:val="clear" w:color="auto" w:fill="F2F2F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F2F2F2"/>
          </w:tcPr>
          <w:p>
            <w:pPr>
              <w:jc w:val="right"/>
              <w:ind w:right="99"/>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Return on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adjusted net income attributable to UHS per diluted share excludes, among potentially other things, if applicable and material and/or nonrecurring or non-operational in nature, the impact of changes in the market value of shares of certain non-marketable and marketable securities, the impact on our provision for income taxes recorded pursuant to "ASU 2016-09", Compensation-Stock Compensation: Improvements to Employee Share-Based Payment Accounting, net of the impact of executive compensation limitations pursuant to IRC section 162(m), impairments of goodwill, long-lived and intangible assets, reserves for various matters including settlements, legal judgments and lawsuits, costs related to extinguishment of debt, gains/losses on sales of assets and businesses and other amounts that may be reflected in the current year financial statements that related to prior periods. The targets ranges were adjusted from prior years to correlate to our initial 2025 forecast of adjusted net income attributable to UHS per diluted share, as publicly disclosed on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Divisional Income Criteria:</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divisional income targets consist of the projected aggregate pre-tax income for our Acute Care Services and our Behavioral Health Care Services (excluding our facilities located in the U.K.), net of certain deductions which consist primarily of a charge for the estimated cost of capital. Although not a common practice, the divisional income targets and/or actual results may be adjusted to include or exclude the impact of items, if applicable and material, that are, among other things, nonrecurring or non-operational in nature.</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Consistent with the certain components of the 2025 operating results forecast, as publicly disclosed on February 26, 2025, on March 19, 2025, the Compensation Committee approved specific formulae for determination of annual cash incentive targets as reflected below, based on divisional income targets pursuant to the Plan, for the year ended December 31, 2025. These targets applied to Mr. Sim for Acute Care Services and Mr. Peterson for Behavioral Health Care Services. In the event that the divisional income falls below the minimum end of the target ranges outlined below, no incentive compensation, that is based upon the divisional income criteria, is earned.</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March 26, 2026, the Compensation Committee determined that, based upon our actual operating results for the year ended December 31, 2025, the Acute Care Services and Behavioral Health Care Services divisional income targets were achieved as indicated below.</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Acute Care Services: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3"/>
          </w:tcPr>
          <w:p>
            <w:pPr>
              <w:jc w:val="right"/>
              <w:ind w:right="139"/>
              <w:spacing w:after="0"/>
              <w:rPr>
                <w:sz w:val="20"/>
                <w:szCs w:val="20"/>
                <w:color w:val="auto"/>
              </w:rPr>
            </w:pPr>
            <w:r>
              <w:rPr>
                <w:rFonts w:ascii="Arial" w:cs="Arial" w:eastAsia="Arial" w:hAnsi="Arial"/>
                <w:sz w:val="16"/>
                <w:szCs w:val="16"/>
                <w:color w:val="auto"/>
              </w:rPr>
              <w:t>(dollar amounts in thousands)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gridSpan w:val="7"/>
          </w:tcPr>
          <w:p>
            <w:pPr>
              <w:jc w:val="right"/>
              <w:ind w:right="1679"/>
              <w:spacing w:after="0"/>
              <w:rPr>
                <w:sz w:val="20"/>
                <w:szCs w:val="20"/>
                <w:color w:val="auto"/>
              </w:rPr>
            </w:pPr>
            <w:r>
              <w:rPr>
                <w:rFonts w:ascii="Arial" w:cs="Arial" w:eastAsia="Arial" w:hAnsi="Arial"/>
                <w:sz w:val="16"/>
                <w:szCs w:val="16"/>
                <w:b w:val="1"/>
                <w:bCs w:val="1"/>
                <w:color w:val="052666"/>
              </w:rPr>
              <w:t>Acute Care Services divisional income criteria</w:t>
            </w: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3"/>
          </w:tcPr>
          <w:p>
            <w:pPr>
              <w:jc w:val="center"/>
              <w:ind w:left="1099"/>
              <w:spacing w:after="0" w:line="168" w:lineRule="exact"/>
              <w:rPr>
                <w:sz w:val="20"/>
                <w:szCs w:val="20"/>
                <w:color w:val="auto"/>
              </w:rPr>
            </w:pPr>
            <w:r>
              <w:rPr>
                <w:rFonts w:ascii="Arial" w:cs="Arial" w:eastAsia="Arial" w:hAnsi="Arial"/>
                <w:sz w:val="16"/>
                <w:szCs w:val="16"/>
                <w:b w:val="1"/>
                <w:bCs w:val="1"/>
                <w:color w:val="052666"/>
              </w:rPr>
              <w:t>Target ranges for the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259"/>
              <w:spacing w:after="0" w:line="168" w:lineRule="exact"/>
              <w:rPr>
                <w:sz w:val="20"/>
                <w:szCs w:val="20"/>
                <w:color w:val="auto"/>
              </w:rPr>
            </w:pPr>
            <w:r>
              <w:rPr>
                <w:rFonts w:ascii="Arial" w:cs="Arial" w:eastAsia="Arial" w:hAnsi="Arial"/>
                <w:sz w:val="16"/>
                <w:szCs w:val="16"/>
                <w:b w:val="1"/>
                <w:bCs w:val="1"/>
                <w:color w:val="052666"/>
              </w:rPr>
              <w:t>Actual achieved</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center"/>
              <w:ind w:left="1099"/>
              <w:spacing w:after="0"/>
              <w:rPr>
                <w:sz w:val="20"/>
                <w:szCs w:val="20"/>
                <w:color w:val="auto"/>
              </w:rPr>
            </w:pPr>
            <w:r>
              <w:rPr>
                <w:rFonts w:ascii="Arial" w:cs="Arial" w:eastAsia="Arial" w:hAnsi="Arial"/>
                <w:sz w:val="16"/>
                <w:szCs w:val="16"/>
                <w:b w:val="1"/>
                <w:bCs w:val="1"/>
                <w:color w:val="052666"/>
              </w:rPr>
              <w:t>year ended 12/31/2025</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center"/>
              <w:ind w:right="259"/>
              <w:spacing w:after="0"/>
              <w:rPr>
                <w:sz w:val="20"/>
                <w:szCs w:val="20"/>
                <w:color w:val="auto"/>
              </w:rPr>
            </w:pPr>
            <w:r>
              <w:rPr>
                <w:rFonts w:ascii="Arial" w:cs="Arial" w:eastAsia="Arial" w:hAnsi="Arial"/>
                <w:sz w:val="16"/>
                <w:szCs w:val="16"/>
                <w:b w:val="1"/>
                <w:bCs w:val="1"/>
                <w:color w:val="052666"/>
              </w:rPr>
              <w:t>for the year</w:t>
            </w:r>
          </w:p>
        </w:tc>
        <w:tc>
          <w:tcPr>
            <w:tcW w:w="0" w:type="dxa"/>
            <w:vAlign w:val="bottom"/>
          </w:tcPr>
          <w:p>
            <w:pPr>
              <w:spacing w:after="0"/>
              <w:rPr>
                <w:sz w:val="1"/>
                <w:szCs w:val="1"/>
                <w:color w:val="auto"/>
              </w:rPr>
            </w:pPr>
          </w:p>
        </w:tc>
      </w:tr>
      <w:tr>
        <w:trPr>
          <w:trHeight w:val="183"/>
        </w:trPr>
        <w:tc>
          <w:tcPr>
            <w:tcW w:w="4320" w:type="dxa"/>
            <w:vAlign w:val="bottom"/>
            <w:vMerge w:val="restart"/>
          </w:tcPr>
          <w:p>
            <w:pPr>
              <w:spacing w:after="0"/>
              <w:rPr>
                <w:sz w:val="20"/>
                <w:szCs w:val="20"/>
                <w:color w:val="auto"/>
              </w:rPr>
            </w:pPr>
            <w:r>
              <w:rPr>
                <w:rFonts w:ascii="Arial" w:cs="Arial" w:eastAsia="Arial" w:hAnsi="Arial"/>
                <w:sz w:val="16"/>
                <w:szCs w:val="16"/>
                <w:color w:val="auto"/>
              </w:rPr>
              <w:t>Cash incentive award</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052666"/>
              </w:rPr>
              <w:t>Minimum</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39"/>
              <w:spacing w:after="0" w:line="183" w:lineRule="exact"/>
              <w:rPr>
                <w:sz w:val="20"/>
                <w:szCs w:val="20"/>
                <w:color w:val="auto"/>
              </w:rPr>
            </w:pPr>
            <w:r>
              <w:rPr>
                <w:rFonts w:ascii="Arial" w:cs="Arial" w:eastAsia="Arial" w:hAnsi="Arial"/>
                <w:sz w:val="16"/>
                <w:szCs w:val="16"/>
                <w:b w:val="1"/>
                <w:bCs w:val="1"/>
                <w:color w:val="052666"/>
              </w:rPr>
              <w:t>Target</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052666"/>
              </w:rPr>
              <w:t>Maximum</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279"/>
              <w:spacing w:after="0" w:line="183" w:lineRule="exact"/>
              <w:rPr>
                <w:sz w:val="20"/>
                <w:szCs w:val="20"/>
                <w:color w:val="auto"/>
              </w:rPr>
            </w:pPr>
            <w:r>
              <w:rPr>
                <w:rFonts w:ascii="Arial" w:cs="Arial" w:eastAsia="Arial" w:hAnsi="Arial"/>
                <w:sz w:val="16"/>
                <w:szCs w:val="16"/>
                <w:b w:val="1"/>
                <w:bCs w:val="1"/>
                <w:color w:val="052666"/>
              </w:rPr>
              <w:t>ended 12/31/2025</w:t>
            </w:r>
          </w:p>
        </w:tc>
        <w:tc>
          <w:tcPr>
            <w:tcW w:w="0" w:type="dxa"/>
            <w:vAlign w:val="bottom"/>
          </w:tcPr>
          <w:p>
            <w:pPr>
              <w:spacing w:after="0"/>
              <w:rPr>
                <w:sz w:val="1"/>
                <w:szCs w:val="1"/>
                <w:color w:val="auto"/>
              </w:rPr>
            </w:pPr>
          </w:p>
        </w:tc>
      </w:tr>
      <w:tr>
        <w:trPr>
          <w:trHeight w:val="183"/>
        </w:trPr>
        <w:tc>
          <w:tcPr>
            <w:tcW w:w="4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26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2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200%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jc w:val="right"/>
              <w:spacing w:after="0" w:line="183"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9"/>
        </w:trPr>
        <w:tc>
          <w:tcPr>
            <w:tcW w:w="4320" w:type="dxa"/>
            <w:vAlign w:val="bottom"/>
            <w:shd w:val="clear" w:color="auto" w:fill="EDEDED"/>
          </w:tcPr>
          <w:p>
            <w:pPr>
              <w:spacing w:after="0"/>
              <w:rPr>
                <w:sz w:val="20"/>
                <w:szCs w:val="20"/>
                <w:color w:val="auto"/>
              </w:rPr>
            </w:pPr>
            <w:r>
              <w:rPr>
                <w:rFonts w:ascii="Arial" w:cs="Arial" w:eastAsia="Arial" w:hAnsi="Arial"/>
                <w:sz w:val="16"/>
                <w:szCs w:val="16"/>
                <w:color w:val="auto"/>
              </w:rPr>
              <w:t>Acute Care Services divisional income</w:t>
            </w:r>
          </w:p>
        </w:tc>
        <w:tc>
          <w:tcPr>
            <w:tcW w:w="220" w:type="dxa"/>
            <w:vAlign w:val="bottom"/>
            <w:shd w:val="clear" w:color="auto" w:fill="EDEDED"/>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DEDED"/>
          </w:tcPr>
          <w:p>
            <w:pPr>
              <w:jc w:val="right"/>
              <w:ind w:right="99"/>
              <w:spacing w:after="0"/>
              <w:rPr>
                <w:sz w:val="20"/>
                <w:szCs w:val="20"/>
                <w:color w:val="auto"/>
              </w:rPr>
            </w:pPr>
            <w:r>
              <w:rPr>
                <w:rFonts w:ascii="Arial" w:cs="Arial" w:eastAsia="Arial" w:hAnsi="Arial"/>
                <w:sz w:val="16"/>
                <w:szCs w:val="16"/>
                <w:color w:val="auto"/>
              </w:rPr>
              <w:t>333,740</w:t>
            </w:r>
          </w:p>
        </w:tc>
        <w:tc>
          <w:tcPr>
            <w:tcW w:w="260" w:type="dxa"/>
            <w:vAlign w:val="bottom"/>
            <w:shd w:val="clear" w:color="auto" w:fill="EDEDED"/>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DEDED"/>
          </w:tcPr>
          <w:p>
            <w:pPr>
              <w:jc w:val="right"/>
              <w:ind w:right="79"/>
              <w:spacing w:after="0"/>
              <w:rPr>
                <w:sz w:val="20"/>
                <w:szCs w:val="20"/>
                <w:color w:val="auto"/>
              </w:rPr>
            </w:pPr>
            <w:r>
              <w:rPr>
                <w:rFonts w:ascii="Arial" w:cs="Arial" w:eastAsia="Arial" w:hAnsi="Arial"/>
                <w:sz w:val="16"/>
                <w:szCs w:val="16"/>
                <w:color w:val="auto"/>
              </w:rPr>
              <w:t>370,822</w:t>
            </w:r>
          </w:p>
        </w:tc>
        <w:tc>
          <w:tcPr>
            <w:tcW w:w="220" w:type="dxa"/>
            <w:vAlign w:val="bottom"/>
            <w:shd w:val="clear" w:color="auto" w:fill="EDEDED"/>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DEDED"/>
          </w:tcPr>
          <w:p>
            <w:pPr>
              <w:jc w:val="right"/>
              <w:ind w:right="79"/>
              <w:spacing w:after="0"/>
              <w:rPr>
                <w:sz w:val="20"/>
                <w:szCs w:val="20"/>
                <w:color w:val="auto"/>
              </w:rPr>
            </w:pPr>
            <w:r>
              <w:rPr>
                <w:rFonts w:ascii="Arial" w:cs="Arial" w:eastAsia="Arial" w:hAnsi="Arial"/>
                <w:sz w:val="16"/>
                <w:szCs w:val="16"/>
                <w:color w:val="auto"/>
              </w:rPr>
              <w:t>407,904</w:t>
            </w:r>
          </w:p>
        </w:tc>
        <w:tc>
          <w:tcPr>
            <w:tcW w:w="400" w:type="dxa"/>
            <w:vAlign w:val="bottom"/>
            <w:gridSpan w:val="2"/>
            <w:shd w:val="clear" w:color="auto" w:fill="EDEDED"/>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shd w:val="clear" w:color="auto" w:fill="EDEDED"/>
          </w:tcPr>
          <w:p>
            <w:pPr>
              <w:jc w:val="right"/>
              <w:ind w:right="99"/>
              <w:spacing w:after="0"/>
              <w:rPr>
                <w:sz w:val="20"/>
                <w:szCs w:val="20"/>
                <w:color w:val="auto"/>
              </w:rPr>
            </w:pPr>
            <w:r>
              <w:rPr>
                <w:rFonts w:ascii="Arial" w:cs="Arial" w:eastAsia="Arial" w:hAnsi="Arial"/>
                <w:sz w:val="16"/>
                <w:szCs w:val="16"/>
                <w:color w:val="auto"/>
              </w:rPr>
              <w:t>457,310</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Behavioral Health Care Services: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19"/>
              <w:spacing w:after="0"/>
              <w:rPr>
                <w:sz w:val="20"/>
                <w:szCs w:val="20"/>
                <w:color w:val="auto"/>
              </w:rPr>
            </w:pPr>
            <w:r>
              <w:rPr>
                <w:rFonts w:ascii="Arial" w:cs="Arial" w:eastAsia="Arial" w:hAnsi="Arial"/>
                <w:sz w:val="16"/>
                <w:szCs w:val="16"/>
                <w:color w:val="auto"/>
              </w:rPr>
              <w:t>(dollar amounts in thousands)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8"/>
          </w:tcPr>
          <w:p>
            <w:pPr>
              <w:jc w:val="right"/>
              <w:ind w:right="859"/>
              <w:spacing w:after="0"/>
              <w:rPr>
                <w:sz w:val="20"/>
                <w:szCs w:val="20"/>
                <w:color w:val="auto"/>
              </w:rPr>
            </w:pPr>
            <w:r>
              <w:rPr>
                <w:rFonts w:ascii="Arial" w:cs="Arial" w:eastAsia="Arial" w:hAnsi="Arial"/>
                <w:sz w:val="16"/>
                <w:szCs w:val="16"/>
                <w:b w:val="1"/>
                <w:bCs w:val="1"/>
                <w:color w:val="052666"/>
              </w:rPr>
              <w:t>Behavioral Health Care Services divisional income criteria</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4"/>
          </w:tcPr>
          <w:p>
            <w:pPr>
              <w:jc w:val="center"/>
              <w:ind w:left="799"/>
              <w:spacing w:after="0" w:line="168" w:lineRule="exact"/>
              <w:rPr>
                <w:sz w:val="20"/>
                <w:szCs w:val="20"/>
                <w:color w:val="auto"/>
              </w:rPr>
            </w:pPr>
            <w:r>
              <w:rPr>
                <w:rFonts w:ascii="Arial" w:cs="Arial" w:eastAsia="Arial" w:hAnsi="Arial"/>
                <w:sz w:val="16"/>
                <w:szCs w:val="16"/>
                <w:b w:val="1"/>
                <w:bCs w:val="1"/>
                <w:color w:val="052666"/>
              </w:rPr>
              <w:t>Target ranges for the</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right="219"/>
              <w:spacing w:after="0" w:line="168" w:lineRule="exact"/>
              <w:rPr>
                <w:sz w:val="20"/>
                <w:szCs w:val="20"/>
                <w:color w:val="auto"/>
              </w:rPr>
            </w:pPr>
            <w:r>
              <w:rPr>
                <w:rFonts w:ascii="Arial" w:cs="Arial" w:eastAsia="Arial" w:hAnsi="Arial"/>
                <w:sz w:val="16"/>
                <w:szCs w:val="16"/>
                <w:b w:val="1"/>
                <w:bCs w:val="1"/>
                <w:color w:val="052666"/>
              </w:rPr>
              <w:t>Actual achieved</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center"/>
              <w:ind w:left="799"/>
              <w:spacing w:after="0"/>
              <w:rPr>
                <w:sz w:val="20"/>
                <w:szCs w:val="20"/>
                <w:color w:val="auto"/>
              </w:rPr>
            </w:pPr>
            <w:r>
              <w:rPr>
                <w:rFonts w:ascii="Arial" w:cs="Arial" w:eastAsia="Arial" w:hAnsi="Arial"/>
                <w:sz w:val="16"/>
                <w:szCs w:val="16"/>
                <w:b w:val="1"/>
                <w:bCs w:val="1"/>
                <w:color w:val="052666"/>
              </w:rPr>
              <w:t>year ended 12/31/2025</w:t>
            </w:r>
          </w:p>
        </w:tc>
        <w:tc>
          <w:tcPr>
            <w:tcW w:w="12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right="239"/>
              <w:spacing w:after="0"/>
              <w:rPr>
                <w:sz w:val="20"/>
                <w:szCs w:val="20"/>
                <w:color w:val="auto"/>
              </w:rPr>
            </w:pPr>
            <w:r>
              <w:rPr>
                <w:rFonts w:ascii="Arial" w:cs="Arial" w:eastAsia="Arial" w:hAnsi="Arial"/>
                <w:sz w:val="16"/>
                <w:szCs w:val="16"/>
                <w:b w:val="1"/>
                <w:bCs w:val="1"/>
                <w:color w:val="052666"/>
              </w:rPr>
              <w:t>for the year</w:t>
            </w:r>
          </w:p>
        </w:tc>
        <w:tc>
          <w:tcPr>
            <w:tcW w:w="0" w:type="dxa"/>
            <w:vAlign w:val="bottom"/>
          </w:tcPr>
          <w:p>
            <w:pPr>
              <w:spacing w:after="0"/>
              <w:rPr>
                <w:sz w:val="1"/>
                <w:szCs w:val="1"/>
                <w:color w:val="auto"/>
              </w:rPr>
            </w:pPr>
          </w:p>
        </w:tc>
      </w:tr>
      <w:tr>
        <w:trPr>
          <w:trHeight w:val="183"/>
        </w:trPr>
        <w:tc>
          <w:tcPr>
            <w:tcW w:w="4340" w:type="dxa"/>
            <w:vAlign w:val="bottom"/>
            <w:vMerge w:val="restart"/>
          </w:tcPr>
          <w:p>
            <w:pPr>
              <w:spacing w:after="0"/>
              <w:rPr>
                <w:sz w:val="20"/>
                <w:szCs w:val="20"/>
                <w:color w:val="auto"/>
              </w:rPr>
            </w:pPr>
            <w:r>
              <w:rPr>
                <w:rFonts w:ascii="Arial" w:cs="Arial" w:eastAsia="Arial" w:hAnsi="Arial"/>
                <w:sz w:val="16"/>
                <w:szCs w:val="16"/>
                <w:color w:val="auto"/>
              </w:rPr>
              <w:t>Cash incentive award</w:t>
            </w:r>
          </w:p>
        </w:tc>
        <w:tc>
          <w:tcPr>
            <w:tcW w:w="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052666"/>
              </w:rPr>
              <w:t>Minimum</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99"/>
              <w:spacing w:after="0" w:line="183" w:lineRule="exact"/>
              <w:rPr>
                <w:sz w:val="20"/>
                <w:szCs w:val="20"/>
                <w:color w:val="auto"/>
              </w:rPr>
            </w:pPr>
            <w:r>
              <w:rPr>
                <w:rFonts w:ascii="Arial" w:cs="Arial" w:eastAsia="Arial" w:hAnsi="Arial"/>
                <w:sz w:val="16"/>
                <w:szCs w:val="16"/>
                <w:b w:val="1"/>
                <w:bCs w:val="1"/>
                <w:color w:val="052666"/>
              </w:rPr>
              <w:t>Target</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052666"/>
              </w:rPr>
              <w:t>Maximum</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219"/>
              <w:spacing w:after="0" w:line="183" w:lineRule="exact"/>
              <w:rPr>
                <w:sz w:val="20"/>
                <w:szCs w:val="20"/>
                <w:color w:val="auto"/>
              </w:rPr>
            </w:pPr>
            <w:r>
              <w:rPr>
                <w:rFonts w:ascii="Arial" w:cs="Arial" w:eastAsia="Arial" w:hAnsi="Arial"/>
                <w:sz w:val="16"/>
                <w:szCs w:val="16"/>
                <w:b w:val="1"/>
                <w:bCs w:val="1"/>
                <w:color w:val="052666"/>
              </w:rPr>
              <w:t>ended 12/31/2025</w:t>
            </w:r>
          </w:p>
        </w:tc>
        <w:tc>
          <w:tcPr>
            <w:tcW w:w="0" w:type="dxa"/>
            <w:vAlign w:val="bottom"/>
          </w:tcPr>
          <w:p>
            <w:pPr>
              <w:spacing w:after="0"/>
              <w:rPr>
                <w:sz w:val="1"/>
                <w:szCs w:val="1"/>
                <w:color w:val="auto"/>
              </w:rPr>
            </w:pPr>
          </w:p>
        </w:tc>
      </w:tr>
      <w:tr>
        <w:trPr>
          <w:trHeight w:val="183"/>
        </w:trPr>
        <w:tc>
          <w:tcPr>
            <w:tcW w:w="43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2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200%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line="183" w:lineRule="exact"/>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89"/>
        </w:trPr>
        <w:tc>
          <w:tcPr>
            <w:tcW w:w="4340" w:type="dxa"/>
            <w:vAlign w:val="bottom"/>
            <w:shd w:val="clear" w:color="auto" w:fill="EDEDED"/>
          </w:tcPr>
          <w:p>
            <w:pPr>
              <w:spacing w:after="0"/>
              <w:rPr>
                <w:sz w:val="20"/>
                <w:szCs w:val="20"/>
                <w:color w:val="auto"/>
              </w:rPr>
            </w:pPr>
            <w:r>
              <w:rPr>
                <w:rFonts w:ascii="Arial" w:cs="Arial" w:eastAsia="Arial" w:hAnsi="Arial"/>
                <w:sz w:val="16"/>
                <w:szCs w:val="16"/>
                <w:color w:val="auto"/>
              </w:rPr>
              <w:t>Behavioral Health Care Services divisional income</w:t>
            </w:r>
          </w:p>
        </w:tc>
        <w:tc>
          <w:tcPr>
            <w:tcW w:w="900" w:type="dxa"/>
            <w:vAlign w:val="bottom"/>
            <w:gridSpan w:val="2"/>
            <w:shd w:val="clear" w:color="auto" w:fill="EDEDED"/>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DEDED"/>
          </w:tcPr>
          <w:p>
            <w:pPr>
              <w:jc w:val="right"/>
              <w:ind w:right="99"/>
              <w:spacing w:after="0"/>
              <w:rPr>
                <w:sz w:val="20"/>
                <w:szCs w:val="20"/>
                <w:color w:val="auto"/>
              </w:rPr>
            </w:pPr>
            <w:r>
              <w:rPr>
                <w:rFonts w:ascii="Arial" w:cs="Arial" w:eastAsia="Arial" w:hAnsi="Arial"/>
                <w:sz w:val="16"/>
                <w:szCs w:val="16"/>
                <w:color w:val="auto"/>
              </w:rPr>
              <w:t>597,215</w:t>
            </w:r>
          </w:p>
        </w:tc>
        <w:tc>
          <w:tcPr>
            <w:tcW w:w="220" w:type="dxa"/>
            <w:vAlign w:val="bottom"/>
            <w:shd w:val="clear" w:color="auto" w:fill="EDEDED"/>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DEDED"/>
          </w:tcPr>
          <w:p>
            <w:pPr>
              <w:jc w:val="right"/>
              <w:ind w:right="79"/>
              <w:spacing w:after="0"/>
              <w:rPr>
                <w:sz w:val="20"/>
                <w:szCs w:val="20"/>
                <w:color w:val="auto"/>
              </w:rPr>
            </w:pPr>
            <w:r>
              <w:rPr>
                <w:rFonts w:ascii="Arial" w:cs="Arial" w:eastAsia="Arial" w:hAnsi="Arial"/>
                <w:sz w:val="16"/>
                <w:szCs w:val="16"/>
                <w:color w:val="auto"/>
              </w:rPr>
              <w:t>663,572</w:t>
            </w:r>
          </w:p>
        </w:tc>
        <w:tc>
          <w:tcPr>
            <w:tcW w:w="180" w:type="dxa"/>
            <w:vAlign w:val="bottom"/>
            <w:shd w:val="clear" w:color="auto" w:fill="EDEDED"/>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DEDED"/>
          </w:tcPr>
          <w:p>
            <w:pPr>
              <w:jc w:val="right"/>
              <w:ind w:right="99"/>
              <w:spacing w:after="0"/>
              <w:rPr>
                <w:sz w:val="20"/>
                <w:szCs w:val="20"/>
                <w:color w:val="auto"/>
              </w:rPr>
            </w:pPr>
            <w:r>
              <w:rPr>
                <w:rFonts w:ascii="Arial" w:cs="Arial" w:eastAsia="Arial" w:hAnsi="Arial"/>
                <w:sz w:val="16"/>
                <w:szCs w:val="16"/>
                <w:color w:val="auto"/>
              </w:rPr>
              <w:t>729,929</w:t>
            </w:r>
          </w:p>
        </w:tc>
        <w:tc>
          <w:tcPr>
            <w:tcW w:w="320" w:type="dxa"/>
            <w:vAlign w:val="bottom"/>
            <w:gridSpan w:val="2"/>
            <w:shd w:val="clear" w:color="auto" w:fill="EDEDED"/>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EDEDED"/>
          </w:tcPr>
          <w:p>
            <w:pPr>
              <w:jc w:val="right"/>
              <w:ind w:right="99"/>
              <w:spacing w:after="0"/>
              <w:rPr>
                <w:sz w:val="20"/>
                <w:szCs w:val="20"/>
                <w:color w:val="auto"/>
              </w:rPr>
            </w:pPr>
            <w:r>
              <w:rPr>
                <w:rFonts w:ascii="Arial" w:cs="Arial" w:eastAsia="Arial" w:hAnsi="Arial"/>
                <w:sz w:val="16"/>
                <w:szCs w:val="16"/>
                <w:color w:val="auto"/>
              </w:rPr>
              <w:t>716,367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determining the corporate performance criteria and divisional income criteria, various factors are considered, including the projected revenue and earnings growth over the prior year. Since the value received by stockholders is measured, in large part, by an increase in stock price, which is in turn typically influenced by increases in revenues and earnings, our performance criteria are established at reasonably aggressive levels to encourage the attainment of our financial objectives which, if accomplished, may result in an increase to our stock price and increased value to stockholders. As mentioned above, the corporate performance criteria are established annually and the target of adjusted net income attributable to UHS per diluted share directly correlates to our initial annual operating results forecast that is typically publicly disclosed by us in February of each year. The divisional income criteria are also established annually and represent each segment’s respective portion of our initial operating results forecast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ind w:left="9300"/>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each of our named executive officers that had approved specific bonus formulae for the determination of annual incentive compensation pursuant to the Plan, the following table sets forth the actual 2025 annual incentive bonuses paid out as well as the pre-established ranges of potential payouts under our non-equity incentive plan.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052666"/>
              </w:rPr>
              <w:t>Name</w:t>
            </w:r>
          </w:p>
        </w:tc>
        <w:tc>
          <w:tcPr>
            <w:tcW w:w="4060" w:type="dxa"/>
            <w:vAlign w:val="bottom"/>
            <w:vMerge w:val="restart"/>
          </w:tcPr>
          <w:p>
            <w:pPr>
              <w:ind w:left="1880"/>
              <w:spacing w:after="0"/>
              <w:rPr>
                <w:sz w:val="20"/>
                <w:szCs w:val="20"/>
                <w:color w:val="auto"/>
              </w:rPr>
            </w:pPr>
            <w:r>
              <w:rPr>
                <w:rFonts w:ascii="Arial" w:cs="Arial" w:eastAsia="Arial" w:hAnsi="Arial"/>
                <w:sz w:val="14"/>
                <w:szCs w:val="14"/>
                <w:b w:val="1"/>
                <w:bCs w:val="1"/>
                <w:color w:val="052666"/>
              </w:rPr>
              <w:t>Title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052666"/>
              </w:rPr>
              <w:t>2025 Non-Equity Incentive Plan Awards</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80" w:type="dxa"/>
            <w:vAlign w:val="bottom"/>
            <w:tcBorders>
              <w:bottom w:val="single" w:sz="8" w:color="052666"/>
            </w:tcBorders>
            <w:vMerge w:val="continue"/>
          </w:tcPr>
          <w:p>
            <w:pPr>
              <w:spacing w:after="0"/>
              <w:rPr>
                <w:sz w:val="13"/>
                <w:szCs w:val="13"/>
                <w:color w:val="auto"/>
              </w:rPr>
            </w:pPr>
          </w:p>
        </w:tc>
        <w:tc>
          <w:tcPr>
            <w:tcW w:w="4060" w:type="dxa"/>
            <w:vAlign w:val="bottom"/>
            <w:tcBorders>
              <w:bottom w:val="single" w:sz="8" w:color="052666"/>
            </w:tcBorders>
            <w:vMerge w:val="continue"/>
          </w:tcPr>
          <w:p>
            <w:pPr>
              <w:spacing w:after="0"/>
              <w:rPr>
                <w:sz w:val="13"/>
                <w:szCs w:val="13"/>
                <w:color w:val="auto"/>
              </w:rPr>
            </w:pPr>
          </w:p>
        </w:tc>
        <w:tc>
          <w:tcPr>
            <w:tcW w:w="220" w:type="dxa"/>
            <w:vAlign w:val="bottom"/>
            <w:tcBorders>
              <w:bottom w:val="single" w:sz="8" w:color="052666"/>
            </w:tcBorders>
          </w:tcPr>
          <w:p>
            <w:pPr>
              <w:spacing w:after="0"/>
              <w:rPr>
                <w:sz w:val="13"/>
                <w:szCs w:val="13"/>
                <w:color w:val="auto"/>
              </w:rPr>
            </w:pPr>
          </w:p>
        </w:tc>
        <w:tc>
          <w:tcPr>
            <w:tcW w:w="960" w:type="dxa"/>
            <w:vAlign w:val="bottom"/>
            <w:tcBorders>
              <w:bottom w:val="single" w:sz="8" w:color="052666"/>
            </w:tcBorders>
          </w:tcPr>
          <w:p>
            <w:pPr>
              <w:jc w:val="right"/>
              <w:ind w:right="321"/>
              <w:spacing w:after="0" w:line="155" w:lineRule="exact"/>
              <w:rPr>
                <w:sz w:val="20"/>
                <w:szCs w:val="20"/>
                <w:color w:val="auto"/>
              </w:rPr>
            </w:pPr>
            <w:r>
              <w:rPr>
                <w:rFonts w:ascii="Arial" w:cs="Arial" w:eastAsia="Arial" w:hAnsi="Arial"/>
                <w:sz w:val="14"/>
                <w:szCs w:val="14"/>
                <w:b w:val="1"/>
                <w:bCs w:val="1"/>
                <w:color w:val="052666"/>
              </w:rPr>
              <w:t>Actual</w:t>
            </w:r>
          </w:p>
        </w:tc>
        <w:tc>
          <w:tcPr>
            <w:tcW w:w="360" w:type="dxa"/>
            <w:vAlign w:val="bottom"/>
            <w:tcBorders>
              <w:bottom w:val="single" w:sz="8" w:color="052666"/>
            </w:tcBorders>
          </w:tcPr>
          <w:p>
            <w:pPr>
              <w:spacing w:after="0"/>
              <w:rPr>
                <w:sz w:val="13"/>
                <w:szCs w:val="13"/>
                <w:color w:val="auto"/>
              </w:rPr>
            </w:pPr>
          </w:p>
        </w:tc>
        <w:tc>
          <w:tcPr>
            <w:tcW w:w="1060" w:type="dxa"/>
            <w:vAlign w:val="bottom"/>
            <w:tcBorders>
              <w:bottom w:val="single" w:sz="8" w:color="052666"/>
            </w:tcBorders>
          </w:tcPr>
          <w:p>
            <w:pPr>
              <w:jc w:val="right"/>
              <w:ind w:right="281"/>
              <w:spacing w:after="0" w:line="155" w:lineRule="exact"/>
              <w:rPr>
                <w:sz w:val="20"/>
                <w:szCs w:val="20"/>
                <w:color w:val="auto"/>
              </w:rPr>
            </w:pPr>
            <w:r>
              <w:rPr>
                <w:rFonts w:ascii="Arial" w:cs="Arial" w:eastAsia="Arial" w:hAnsi="Arial"/>
                <w:sz w:val="14"/>
                <w:szCs w:val="14"/>
                <w:b w:val="1"/>
                <w:bCs w:val="1"/>
                <w:color w:val="052666"/>
              </w:rPr>
              <w:t>Minimum</w:t>
            </w:r>
          </w:p>
        </w:tc>
        <w:tc>
          <w:tcPr>
            <w:tcW w:w="340" w:type="dxa"/>
            <w:vAlign w:val="bottom"/>
            <w:tcBorders>
              <w:bottom w:val="single" w:sz="8" w:color="052666"/>
            </w:tcBorders>
          </w:tcPr>
          <w:p>
            <w:pPr>
              <w:spacing w:after="0"/>
              <w:rPr>
                <w:sz w:val="13"/>
                <w:szCs w:val="13"/>
                <w:color w:val="auto"/>
              </w:rPr>
            </w:pPr>
          </w:p>
        </w:tc>
        <w:tc>
          <w:tcPr>
            <w:tcW w:w="1060" w:type="dxa"/>
            <w:vAlign w:val="bottom"/>
            <w:tcBorders>
              <w:bottom w:val="single" w:sz="8" w:color="052666"/>
            </w:tcBorders>
          </w:tcPr>
          <w:p>
            <w:pPr>
              <w:jc w:val="right"/>
              <w:ind w:right="421"/>
              <w:spacing w:after="0" w:line="155" w:lineRule="exact"/>
              <w:rPr>
                <w:sz w:val="20"/>
                <w:szCs w:val="20"/>
                <w:color w:val="auto"/>
              </w:rPr>
            </w:pPr>
            <w:r>
              <w:rPr>
                <w:rFonts w:ascii="Arial" w:cs="Arial" w:eastAsia="Arial" w:hAnsi="Arial"/>
                <w:sz w:val="14"/>
                <w:szCs w:val="14"/>
                <w:b w:val="1"/>
                <w:bCs w:val="1"/>
                <w:color w:val="052666"/>
              </w:rPr>
              <w:t>Target</w:t>
            </w:r>
          </w:p>
        </w:tc>
        <w:tc>
          <w:tcPr>
            <w:tcW w:w="220" w:type="dxa"/>
            <w:vAlign w:val="bottom"/>
            <w:tcBorders>
              <w:bottom w:val="single" w:sz="8" w:color="052666"/>
            </w:tcBorders>
          </w:tcPr>
          <w:p>
            <w:pPr>
              <w:spacing w:after="0"/>
              <w:rPr>
                <w:sz w:val="13"/>
                <w:szCs w:val="13"/>
                <w:color w:val="auto"/>
              </w:rPr>
            </w:pPr>
          </w:p>
        </w:tc>
        <w:tc>
          <w:tcPr>
            <w:tcW w:w="1080" w:type="dxa"/>
            <w:vAlign w:val="bottom"/>
            <w:tcBorders>
              <w:bottom w:val="single" w:sz="8" w:color="052666"/>
            </w:tcBorders>
          </w:tcPr>
          <w:p>
            <w:pPr>
              <w:jc w:val="right"/>
              <w:ind w:right="261"/>
              <w:spacing w:after="0" w:line="155" w:lineRule="exact"/>
              <w:rPr>
                <w:sz w:val="20"/>
                <w:szCs w:val="20"/>
                <w:color w:val="auto"/>
              </w:rPr>
            </w:pPr>
            <w:r>
              <w:rPr>
                <w:rFonts w:ascii="Arial" w:cs="Arial" w:eastAsia="Arial" w:hAnsi="Arial"/>
                <w:sz w:val="14"/>
                <w:szCs w:val="14"/>
                <w:b w:val="1"/>
                <w:bCs w:val="1"/>
                <w:color w:val="052666"/>
              </w:rPr>
              <w:t>Maximum</w:t>
            </w:r>
          </w:p>
        </w:tc>
        <w:tc>
          <w:tcPr>
            <w:tcW w:w="0" w:type="dxa"/>
            <w:vAlign w:val="bottom"/>
          </w:tcPr>
          <w:p>
            <w:pPr>
              <w:spacing w:after="0"/>
              <w:rPr>
                <w:sz w:val="1"/>
                <w:szCs w:val="1"/>
                <w:color w:val="auto"/>
              </w:rPr>
            </w:pPr>
          </w:p>
        </w:tc>
      </w:tr>
      <w:tr>
        <w:trPr>
          <w:trHeight w:val="223"/>
        </w:trPr>
        <w:tc>
          <w:tcPr>
            <w:tcW w:w="1880" w:type="dxa"/>
            <w:vAlign w:val="bottom"/>
            <w:shd w:val="clear" w:color="auto" w:fill="EDEDED"/>
          </w:tcPr>
          <w:p>
            <w:pPr>
              <w:ind w:left="20"/>
              <w:spacing w:after="0"/>
              <w:rPr>
                <w:sz w:val="20"/>
                <w:szCs w:val="20"/>
                <w:color w:val="auto"/>
              </w:rPr>
            </w:pPr>
            <w:r>
              <w:rPr>
                <w:rFonts w:ascii="Arial" w:cs="Arial" w:eastAsia="Arial" w:hAnsi="Arial"/>
                <w:sz w:val="16"/>
                <w:szCs w:val="16"/>
                <w:color w:val="auto"/>
              </w:rPr>
              <w:t>Marc D. Miller</w:t>
            </w:r>
          </w:p>
        </w:tc>
        <w:tc>
          <w:tcPr>
            <w:tcW w:w="4060" w:type="dxa"/>
            <w:vAlign w:val="bottom"/>
            <w:shd w:val="clear" w:color="auto" w:fill="EDEDED"/>
          </w:tcPr>
          <w:p>
            <w:pPr>
              <w:ind w:left="140"/>
              <w:spacing w:after="0"/>
              <w:rPr>
                <w:sz w:val="20"/>
                <w:szCs w:val="20"/>
                <w:color w:val="auto"/>
              </w:rPr>
            </w:pPr>
            <w:r>
              <w:rPr>
                <w:rFonts w:ascii="Arial" w:cs="Arial" w:eastAsia="Arial" w:hAnsi="Arial"/>
                <w:sz w:val="16"/>
                <w:szCs w:val="16"/>
                <w:color w:val="auto"/>
              </w:rPr>
              <w:t>Chief Executive Officer and President</w:t>
            </w:r>
          </w:p>
        </w:tc>
        <w:tc>
          <w:tcPr>
            <w:tcW w:w="220" w:type="dxa"/>
            <w:vAlign w:val="bottom"/>
            <w:shd w:val="clear" w:color="auto" w:fill="EDEDED"/>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4,292,307</w:t>
            </w:r>
          </w:p>
        </w:tc>
        <w:tc>
          <w:tcPr>
            <w:tcW w:w="36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300,461</w:t>
            </w:r>
          </w:p>
        </w:tc>
        <w:tc>
          <w:tcPr>
            <w:tcW w:w="340" w:type="dxa"/>
            <w:vAlign w:val="bottom"/>
            <w:shd w:val="clear" w:color="auto" w:fill="EDEDED"/>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DEDED"/>
          </w:tcPr>
          <w:p>
            <w:pPr>
              <w:jc w:val="right"/>
              <w:ind w:right="101"/>
              <w:spacing w:after="0"/>
              <w:rPr>
                <w:sz w:val="20"/>
                <w:szCs w:val="20"/>
                <w:color w:val="auto"/>
              </w:rPr>
            </w:pPr>
            <w:r>
              <w:rPr>
                <w:rFonts w:ascii="Arial" w:cs="Arial" w:eastAsia="Arial" w:hAnsi="Arial"/>
                <w:sz w:val="16"/>
                <w:szCs w:val="16"/>
                <w:color w:val="auto"/>
              </w:rPr>
              <w:t>2,146,154</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4,292,307</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6"/>
                <w:szCs w:val="16"/>
                <w:color w:val="auto"/>
              </w:rPr>
              <w:t>Steve G. Filton</w:t>
            </w:r>
          </w:p>
        </w:tc>
        <w:tc>
          <w:tcPr>
            <w:tcW w:w="4060" w:type="dxa"/>
            <w:vAlign w:val="bottom"/>
          </w:tcPr>
          <w:p>
            <w:pPr>
              <w:ind w:left="140"/>
              <w:spacing w:after="0"/>
              <w:rPr>
                <w:sz w:val="20"/>
                <w:szCs w:val="20"/>
                <w:color w:val="auto"/>
              </w:rPr>
            </w:pPr>
            <w:r>
              <w:rPr>
                <w:rFonts w:ascii="Arial" w:cs="Arial" w:eastAsia="Arial" w:hAnsi="Arial"/>
                <w:sz w:val="16"/>
                <w:szCs w:val="16"/>
                <w:color w:val="auto"/>
              </w:rPr>
              <w:t>Executive Vice President and Chief Financial Officer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1,706,598</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119,462</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853,299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1,706,598</w:t>
            </w:r>
          </w:p>
        </w:tc>
        <w:tc>
          <w:tcPr>
            <w:tcW w:w="0" w:type="dxa"/>
            <w:vAlign w:val="bottom"/>
          </w:tcPr>
          <w:p>
            <w:pPr>
              <w:spacing w:after="0"/>
              <w:rPr>
                <w:sz w:val="1"/>
                <w:szCs w:val="1"/>
                <w:color w:val="auto"/>
              </w:rPr>
            </w:pPr>
          </w:p>
        </w:tc>
      </w:tr>
      <w:tr>
        <w:trPr>
          <w:trHeight w:val="230"/>
        </w:trPr>
        <w:tc>
          <w:tcPr>
            <w:tcW w:w="1880" w:type="dxa"/>
            <w:vAlign w:val="bottom"/>
            <w:shd w:val="clear" w:color="auto" w:fill="EDEDED"/>
          </w:tcPr>
          <w:p>
            <w:pPr>
              <w:ind w:left="20"/>
              <w:spacing w:after="0"/>
              <w:rPr>
                <w:sz w:val="20"/>
                <w:szCs w:val="20"/>
                <w:color w:val="auto"/>
              </w:rPr>
            </w:pPr>
            <w:r>
              <w:rPr>
                <w:rFonts w:ascii="Arial" w:cs="Arial" w:eastAsia="Arial" w:hAnsi="Arial"/>
                <w:sz w:val="16"/>
                <w:szCs w:val="16"/>
                <w:color w:val="auto"/>
              </w:rPr>
              <w:t>Edward H. Sim</w:t>
            </w:r>
          </w:p>
        </w:tc>
        <w:tc>
          <w:tcPr>
            <w:tcW w:w="4060" w:type="dxa"/>
            <w:vAlign w:val="bottom"/>
            <w:shd w:val="clear" w:color="auto" w:fill="EDEDED"/>
          </w:tcPr>
          <w:p>
            <w:pPr>
              <w:ind w:left="140"/>
              <w:spacing w:after="0"/>
              <w:rPr>
                <w:sz w:val="20"/>
                <w:szCs w:val="20"/>
                <w:color w:val="auto"/>
              </w:rPr>
            </w:pPr>
            <w:r>
              <w:rPr>
                <w:rFonts w:ascii="Arial" w:cs="Arial" w:eastAsia="Arial" w:hAnsi="Arial"/>
                <w:sz w:val="16"/>
                <w:szCs w:val="16"/>
                <w:color w:val="auto"/>
              </w:rPr>
              <w:t>Executive Vice President and President-Acute Care</w:t>
            </w:r>
          </w:p>
        </w:tc>
        <w:tc>
          <w:tcPr>
            <w:tcW w:w="220" w:type="dxa"/>
            <w:vAlign w:val="bottom"/>
            <w:shd w:val="clear" w:color="auto" w:fill="EDEDED"/>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1,604,048</w:t>
            </w:r>
          </w:p>
        </w:tc>
        <w:tc>
          <w:tcPr>
            <w:tcW w:w="36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112,283</w:t>
            </w:r>
          </w:p>
        </w:tc>
        <w:tc>
          <w:tcPr>
            <w:tcW w:w="340" w:type="dxa"/>
            <w:vAlign w:val="bottom"/>
            <w:shd w:val="clear" w:color="auto" w:fill="EDEDED"/>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DEDED"/>
          </w:tcPr>
          <w:p>
            <w:pPr>
              <w:jc w:val="right"/>
              <w:ind w:right="101"/>
              <w:spacing w:after="0"/>
              <w:rPr>
                <w:sz w:val="20"/>
                <w:szCs w:val="20"/>
                <w:color w:val="auto"/>
              </w:rPr>
            </w:pPr>
            <w:r>
              <w:rPr>
                <w:rFonts w:ascii="Arial" w:cs="Arial" w:eastAsia="Arial" w:hAnsi="Arial"/>
                <w:sz w:val="16"/>
                <w:szCs w:val="16"/>
                <w:color w:val="auto"/>
              </w:rPr>
              <w:t>802,024</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1,604,048</w:t>
            </w:r>
          </w:p>
        </w:tc>
        <w:tc>
          <w:tcPr>
            <w:tcW w:w="0" w:type="dxa"/>
            <w:vAlign w:val="bottom"/>
          </w:tcPr>
          <w:p>
            <w:pPr>
              <w:spacing w:after="0"/>
              <w:rPr>
                <w:sz w:val="1"/>
                <w:szCs w:val="1"/>
                <w:color w:val="auto"/>
              </w:rPr>
            </w:pPr>
          </w:p>
        </w:tc>
      </w:tr>
      <w:tr>
        <w:trPr>
          <w:trHeight w:val="215"/>
        </w:trPr>
        <w:tc>
          <w:tcPr>
            <w:tcW w:w="1880" w:type="dxa"/>
            <w:vAlign w:val="bottom"/>
            <w:vMerge w:val="restart"/>
          </w:tcPr>
          <w:p>
            <w:pPr>
              <w:ind w:left="20"/>
              <w:spacing w:after="0"/>
              <w:rPr>
                <w:sz w:val="20"/>
                <w:szCs w:val="20"/>
                <w:color w:val="auto"/>
              </w:rPr>
            </w:pPr>
            <w:r>
              <w:rPr>
                <w:rFonts w:ascii="Arial" w:cs="Arial" w:eastAsia="Arial" w:hAnsi="Arial"/>
                <w:sz w:val="16"/>
                <w:szCs w:val="16"/>
                <w:color w:val="auto"/>
              </w:rPr>
              <w:t>Matthew J. Peterson</w:t>
            </w:r>
          </w:p>
        </w:tc>
        <w:tc>
          <w:tcPr>
            <w:tcW w:w="4060" w:type="dxa"/>
            <w:vAlign w:val="bottom"/>
          </w:tcPr>
          <w:p>
            <w:pPr>
              <w:ind w:left="140"/>
              <w:spacing w:after="0"/>
              <w:rPr>
                <w:sz w:val="20"/>
                <w:szCs w:val="20"/>
                <w:color w:val="auto"/>
              </w:rPr>
            </w:pPr>
            <w:r>
              <w:rPr>
                <w:rFonts w:ascii="Arial" w:cs="Arial" w:eastAsia="Arial" w:hAnsi="Arial"/>
                <w:sz w:val="16"/>
                <w:szCs w:val="16"/>
                <w:color w:val="auto"/>
              </w:rPr>
              <w:t>Executive Vice President and President-Behavioral</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1,353,545</w:t>
            </w:r>
          </w:p>
        </w:tc>
        <w:tc>
          <w:tcPr>
            <w:tcW w:w="3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41"/>
              <w:spacing w:after="0"/>
              <w:rPr>
                <w:sz w:val="20"/>
                <w:szCs w:val="20"/>
                <w:color w:val="auto"/>
              </w:rPr>
            </w:pPr>
            <w:r>
              <w:rPr>
                <w:rFonts w:ascii="Arial" w:cs="Arial" w:eastAsia="Arial" w:hAnsi="Arial"/>
                <w:sz w:val="16"/>
                <w:szCs w:val="16"/>
                <w:color w:val="auto"/>
              </w:rPr>
              <w:t>100,796</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01"/>
              <w:spacing w:after="0"/>
              <w:rPr>
                <w:sz w:val="20"/>
                <w:szCs w:val="20"/>
                <w:color w:val="auto"/>
              </w:rPr>
            </w:pPr>
            <w:r>
              <w:rPr>
                <w:rFonts w:ascii="Arial" w:cs="Arial" w:eastAsia="Arial" w:hAnsi="Arial"/>
                <w:sz w:val="16"/>
                <w:szCs w:val="16"/>
                <w:color w:val="auto"/>
              </w:rPr>
              <w:t>719,971</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41"/>
              <w:spacing w:after="0"/>
              <w:rPr>
                <w:sz w:val="20"/>
                <w:szCs w:val="20"/>
                <w:color w:val="auto"/>
              </w:rPr>
            </w:pPr>
            <w:r>
              <w:rPr>
                <w:rFonts w:ascii="Arial" w:cs="Arial" w:eastAsia="Arial" w:hAnsi="Arial"/>
                <w:sz w:val="16"/>
                <w:szCs w:val="16"/>
                <w:color w:val="auto"/>
              </w:rPr>
              <w:t>1,439,942</w:t>
            </w:r>
          </w:p>
        </w:tc>
        <w:tc>
          <w:tcPr>
            <w:tcW w:w="0" w:type="dxa"/>
            <w:vAlign w:val="bottom"/>
          </w:tcPr>
          <w:p>
            <w:pPr>
              <w:spacing w:after="0"/>
              <w:rPr>
                <w:sz w:val="1"/>
                <w:szCs w:val="1"/>
                <w:color w:val="auto"/>
              </w:rPr>
            </w:pPr>
          </w:p>
        </w:tc>
      </w:tr>
      <w:tr>
        <w:trPr>
          <w:trHeight w:val="120"/>
        </w:trPr>
        <w:tc>
          <w:tcPr>
            <w:tcW w:w="1880" w:type="dxa"/>
            <w:vAlign w:val="bottom"/>
            <w:vMerge w:val="continue"/>
          </w:tcPr>
          <w:p>
            <w:pPr>
              <w:spacing w:after="0"/>
              <w:rPr>
                <w:sz w:val="10"/>
                <w:szCs w:val="10"/>
                <w:color w:val="auto"/>
              </w:rPr>
            </w:pPr>
          </w:p>
        </w:tc>
        <w:tc>
          <w:tcPr>
            <w:tcW w:w="4060" w:type="dxa"/>
            <w:vAlign w:val="bottom"/>
            <w:vMerge w:val="restart"/>
          </w:tcPr>
          <w:p>
            <w:pPr>
              <w:ind w:left="140"/>
              <w:spacing w:after="0"/>
              <w:rPr>
                <w:sz w:val="20"/>
                <w:szCs w:val="20"/>
                <w:color w:val="auto"/>
              </w:rPr>
            </w:pPr>
            <w:r>
              <w:rPr>
                <w:rFonts w:ascii="Arial" w:cs="Arial" w:eastAsia="Arial" w:hAnsi="Arial"/>
                <w:sz w:val="16"/>
                <w:szCs w:val="16"/>
                <w:color w:val="auto"/>
              </w:rPr>
              <w:t>Health Care</w:t>
            </w:r>
          </w:p>
        </w:tc>
        <w:tc>
          <w:tcPr>
            <w:tcW w:w="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80" w:type="dxa"/>
            <w:vAlign w:val="bottom"/>
          </w:tcPr>
          <w:p>
            <w:pPr>
              <w:spacing w:after="0"/>
              <w:rPr>
                <w:sz w:val="8"/>
                <w:szCs w:val="8"/>
                <w:color w:val="auto"/>
              </w:rPr>
            </w:pPr>
          </w:p>
        </w:tc>
        <w:tc>
          <w:tcPr>
            <w:tcW w:w="4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80" w:type="dxa"/>
            <w:vAlign w:val="bottom"/>
            <w:tcBorders>
              <w:bottom w:val="single" w:sz="8" w:color="7F7F7F"/>
            </w:tcBorders>
          </w:tcPr>
          <w:p>
            <w:pPr>
              <w:spacing w:after="0"/>
              <w:rPr>
                <w:sz w:val="2"/>
                <w:szCs w:val="2"/>
                <w:color w:val="auto"/>
              </w:rPr>
            </w:pPr>
          </w:p>
        </w:tc>
        <w:tc>
          <w:tcPr>
            <w:tcW w:w="406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960" w:type="dxa"/>
            <w:vAlign w:val="bottom"/>
            <w:tcBorders>
              <w:bottom w:val="single" w:sz="8" w:color="7F7F7F"/>
            </w:tcBorders>
          </w:tcPr>
          <w:p>
            <w:pPr>
              <w:spacing w:after="0"/>
              <w:rPr>
                <w:sz w:val="2"/>
                <w:szCs w:val="2"/>
                <w:color w:val="auto"/>
              </w:rPr>
            </w:pPr>
          </w:p>
        </w:tc>
        <w:tc>
          <w:tcPr>
            <w:tcW w:w="360" w:type="dxa"/>
            <w:vAlign w:val="bottom"/>
            <w:tcBorders>
              <w:bottom w:val="single" w:sz="8" w:color="7F7F7F"/>
            </w:tcBorders>
          </w:tcPr>
          <w:p>
            <w:pPr>
              <w:spacing w:after="0"/>
              <w:rPr>
                <w:sz w:val="2"/>
                <w:szCs w:val="2"/>
                <w:color w:val="auto"/>
              </w:rPr>
            </w:pPr>
          </w:p>
        </w:tc>
        <w:tc>
          <w:tcPr>
            <w:tcW w:w="1060" w:type="dxa"/>
            <w:vAlign w:val="bottom"/>
            <w:tcBorders>
              <w:bottom w:val="single" w:sz="8" w:color="7F7F7F"/>
            </w:tcBorders>
          </w:tcPr>
          <w:p>
            <w:pPr>
              <w:spacing w:after="0"/>
              <w:rPr>
                <w:sz w:val="2"/>
                <w:szCs w:val="2"/>
                <w:color w:val="auto"/>
              </w:rPr>
            </w:pPr>
          </w:p>
        </w:tc>
        <w:tc>
          <w:tcPr>
            <w:tcW w:w="340" w:type="dxa"/>
            <w:vAlign w:val="bottom"/>
            <w:tcBorders>
              <w:bottom w:val="single" w:sz="8" w:color="7F7F7F"/>
            </w:tcBorders>
          </w:tcPr>
          <w:p>
            <w:pPr>
              <w:spacing w:after="0"/>
              <w:rPr>
                <w:sz w:val="2"/>
                <w:szCs w:val="2"/>
                <w:color w:val="auto"/>
              </w:rPr>
            </w:pPr>
          </w:p>
        </w:tc>
        <w:tc>
          <w:tcPr>
            <w:tcW w:w="106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10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Mr. Alan B. Miller, our Executive Chairman, receives compensation pursuant to his employment agreement which provided for a base salary of approximately $1.1 million in 2025, and the potential for a discretionary cash bonus, as determined by our Compensation Committee. In March, 2026, a discretionary cash bonus of approximately $1.1 million was approved by our Compensation Committee and paid to Mr. Alan B. Miller for the year ended December 31, 2025.</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performance goals related to the Plan, as outlined above, are generally based upon the achievement of our business plan financial objectives. Performance goals are established at reasonably aggressive levels to encourage and motivate executive performance and attainment of our financial objectives.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a further description of the cash incentives and other elements of compensation granted to our named executive officers for 2025, 2024 and 2023, please refer to the Summary Compensation Table in this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Incentives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Compensation Committee believes that the grant of equity-based, long-term compensation, primarily in the form of time-based restricted stock units and performance-based restricted stock units to our NEOs is appropriate to attract and retain such individuals and to motivate them to enhance stockholder value.</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Further, long-term incentive awards reward individuals for their performance and achievement of business goals. The Compensation Committee believes that our best interests will be advanced by enabling our NEOs, who are responsible for our management, growth and success, to receive compensation in the form of long-term incentive awards that may increase in value in conjunction with an increase in the value of our common stock.</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As is the case with respect to base salaries, a number of factors are taken into account in calibrating grants of long-term incentive awards, including an individual’s performance in light of his or her position, responsibilities and contribution to our financial performance. In addition, the Compensation Committee takes into account an individual’s potential contribution to our growth and productivity. In determining appropriate long-term incentive grants, there is no other predetermined formula, factors or specified list of criteria that is followed.</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a description of the long-term incentive awards granted to our named executive officers for 2025, please read the Summary Compensation Table and the Grants of Plan-Based Awards Table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i w:val="1"/>
          <w:iCs w:val="1"/>
          <w:color w:val="auto"/>
        </w:rPr>
        <w:t xml:space="preserve">Equity Grant Practices and Annual Stock-Based Compensation: </w:t>
      </w:r>
      <w:r>
        <w:rPr>
          <w:rFonts w:ascii="Arial" w:cs="Arial" w:eastAsia="Arial" w:hAnsi="Arial"/>
          <w:sz w:val="20"/>
          <w:szCs w:val="20"/>
          <w:color w:val="auto"/>
        </w:rPr>
        <w:t>The Compensation Committee generally grants annual equity</w:t>
      </w:r>
      <w:r>
        <w:rPr>
          <w:rFonts w:ascii="Arial" w:cs="Arial" w:eastAsia="Arial" w:hAnsi="Arial"/>
          <w:sz w:val="20"/>
          <w:szCs w:val="20"/>
          <w:i w:val="1"/>
          <w:iCs w:val="1"/>
          <w:color w:val="auto"/>
        </w:rPr>
        <w:t xml:space="preserve"> </w:t>
      </w:r>
      <w:r>
        <w:rPr>
          <w:rFonts w:ascii="Arial" w:cs="Arial" w:eastAsia="Arial" w:hAnsi="Arial"/>
          <w:sz w:val="20"/>
          <w:szCs w:val="20"/>
          <w:color w:val="auto"/>
        </w:rPr>
        <w:t>awards on specific dates that are scheduled in advance, which generally coincide with regularly scheduled meetings of the Compensation Committee and the Board of Directors in the first quarter of each year. We do not have any plans to select equity award grant dates for our NEOs in coordination with the release of material non-public information. Typically, equity awards are granted to our NEOs at the same time as equity awards are granted to our other employees. In certain circumstances, such as new hires or promotions, equity awards in the form of RSUs, are granted separately by the Compensation Committee or our CEO and Chief Financial Officer who are duly authorized by the Compensation Committee.</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Compensation Committee awards annual stock-based compensation to our CEO and other NEOs in the form of a mix of time-based RSUs and performance-based RSUs. As discussed below, the performance-based RSUs will be earned based upon the achievement of the three-year growth in our adjusted earnings before interest, taxes, depreciation and amortization and the impacts of other income/expense, as compared to a target range of pre-established thresholds.</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Compensation Committee believes that RSUs and performance-based RSU awards can be effective in achieving our compensation objectives because it provides employees with a strong retention incentive and aligns the value of the award with our stock price performance. The Compensation Committee may provide that restricted stock units/performance-based restricted stock units awards shall earn dividends or dividend equivalents (payable in cash or additional shares, or a combination of cash and shares), however, dividends or dividend equivalents may not be paid with respect to any RSU/performance-based RSU award until vesting requirements are satisfied. Generally, holders of RSUs/performance-based RSUs receive dividend equivalents which are subject to vesting in line with the underlying award to which they relate.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Granting of 2025 Time-Based Restricted Stock Units ("RSUs") and Performance-Based Restricted Stock Units ("PBRSUs"):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Consistent with the practice discussed above, in March of 2025, our CEO and other NEOs each received RSUs and PBRSUs. The PBRSUs granted in 2025 (as well as in 2024 and 2023), which were based upon the closing price of our Class B Common Stock on the date of grant, are earned based upon the achievement of the three-year growth in our adjusted earnings before interest, taxes, depreciation and amortization and the impacts of other income/expense ("Adjusted EBITDA net of NCI"), as compared to a target range of pre-established thresholds.</w:t>
      </w:r>
    </w:p>
    <w:p>
      <w:pPr>
        <w:spacing w:after="0" w:line="6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pre-established target ranges applicable to the PBRSUs granted to our NEOs during each of the last three years provide for the following:</w:t>
      </w:r>
    </w:p>
    <w:p>
      <w:pPr>
        <w:spacing w:after="0" w:line="55"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52666"/>
        </w:rPr>
        <w:t>Target ranges for PBRSUs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80" w:type="dxa"/>
            <w:vAlign w:val="bottom"/>
            <w:vMerge w:val="restart"/>
          </w:tcPr>
          <w:p>
            <w:pPr>
              <w:spacing w:after="0"/>
              <w:rPr>
                <w:sz w:val="20"/>
                <w:szCs w:val="20"/>
                <w:color w:val="auto"/>
              </w:rPr>
            </w:pPr>
            <w:r>
              <w:rPr>
                <w:rFonts w:ascii="Arial" w:cs="Arial" w:eastAsia="Arial" w:hAnsi="Arial"/>
                <w:sz w:val="16"/>
                <w:szCs w:val="16"/>
                <w:color w:val="auto"/>
              </w:rPr>
              <w:t>Percentage of Target PBRSUs awarded</w:t>
            </w:r>
          </w:p>
        </w:tc>
        <w:tc>
          <w:tcPr>
            <w:tcW w:w="1340" w:type="dxa"/>
            <w:vAlign w:val="bottom"/>
            <w:tcBorders>
              <w:top w:val="single" w:sz="8" w:color="auto"/>
              <w:bottom w:val="single" w:sz="8" w:color="auto"/>
            </w:tcBorders>
          </w:tcPr>
          <w:p>
            <w:pPr>
              <w:ind w:left="480"/>
              <w:spacing w:after="0" w:line="183" w:lineRule="exact"/>
              <w:rPr>
                <w:sz w:val="20"/>
                <w:szCs w:val="20"/>
                <w:color w:val="auto"/>
              </w:rPr>
            </w:pPr>
            <w:r>
              <w:rPr>
                <w:rFonts w:ascii="Arial" w:cs="Arial" w:eastAsia="Arial" w:hAnsi="Arial"/>
                <w:sz w:val="16"/>
                <w:szCs w:val="16"/>
                <w:b w:val="1"/>
                <w:bCs w:val="1"/>
                <w:color w:val="052666"/>
              </w:rPr>
              <w:t>Minimum</w:t>
            </w:r>
          </w:p>
        </w:tc>
        <w:tc>
          <w:tcPr>
            <w:tcW w:w="780" w:type="dxa"/>
            <w:vAlign w:val="bottom"/>
            <w:tcBorders>
              <w:top w:val="single" w:sz="8" w:color="auto"/>
              <w:bottom w:val="single" w:sz="8" w:color="auto"/>
            </w:tcBorders>
          </w:tcPr>
          <w:p>
            <w:pPr>
              <w:spacing w:after="0"/>
              <w:rPr>
                <w:sz w:val="15"/>
                <w:szCs w:val="15"/>
                <w:color w:val="auto"/>
              </w:rPr>
            </w:pPr>
          </w:p>
        </w:tc>
        <w:tc>
          <w:tcPr>
            <w:tcW w:w="1780" w:type="dxa"/>
            <w:vAlign w:val="bottom"/>
            <w:tcBorders>
              <w:top w:val="single" w:sz="8" w:color="auto"/>
              <w:bottom w:val="single" w:sz="8" w:color="auto"/>
            </w:tcBorders>
          </w:tcPr>
          <w:p>
            <w:pPr>
              <w:jc w:val="right"/>
              <w:ind w:right="899"/>
              <w:spacing w:after="0" w:line="183" w:lineRule="exact"/>
              <w:rPr>
                <w:sz w:val="20"/>
                <w:szCs w:val="20"/>
                <w:color w:val="auto"/>
              </w:rPr>
            </w:pPr>
            <w:r>
              <w:rPr>
                <w:rFonts w:ascii="Arial" w:cs="Arial" w:eastAsia="Arial" w:hAnsi="Arial"/>
                <w:sz w:val="16"/>
                <w:szCs w:val="16"/>
                <w:b w:val="1"/>
                <w:bCs w:val="1"/>
                <w:color w:val="052666"/>
              </w:rPr>
              <w:t>Target</w:t>
            </w:r>
          </w:p>
        </w:tc>
        <w:tc>
          <w:tcPr>
            <w:tcW w:w="1660" w:type="dxa"/>
            <w:vAlign w:val="bottom"/>
            <w:tcBorders>
              <w:top w:val="single" w:sz="8" w:color="auto"/>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052666"/>
              </w:rPr>
              <w:t>Maximum</w:t>
            </w:r>
          </w:p>
        </w:tc>
        <w:tc>
          <w:tcPr>
            <w:tcW w:w="0" w:type="dxa"/>
            <w:vAlign w:val="bottom"/>
          </w:tcPr>
          <w:p>
            <w:pPr>
              <w:spacing w:after="0"/>
              <w:rPr>
                <w:sz w:val="1"/>
                <w:szCs w:val="1"/>
                <w:color w:val="auto"/>
              </w:rPr>
            </w:pPr>
          </w:p>
        </w:tc>
      </w:tr>
      <w:tr>
        <w:trPr>
          <w:trHeight w:val="183"/>
        </w:trPr>
        <w:tc>
          <w:tcPr>
            <w:tcW w:w="56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50%</w:t>
            </w:r>
          </w:p>
        </w:tc>
        <w:tc>
          <w:tcPr>
            <w:tcW w:w="17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100%</w:t>
            </w:r>
          </w:p>
        </w:tc>
        <w:tc>
          <w:tcPr>
            <w:tcW w:w="1660" w:type="dxa"/>
            <w:vAlign w:val="bottom"/>
          </w:tcPr>
          <w:p>
            <w:pPr>
              <w:jc w:val="right"/>
              <w:spacing w:after="0" w:line="183"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EDEDED"/>
          </w:tcPr>
          <w:p>
            <w:pPr>
              <w:spacing w:after="0"/>
              <w:rPr>
                <w:sz w:val="20"/>
                <w:szCs w:val="20"/>
                <w:color w:val="auto"/>
              </w:rPr>
            </w:pPr>
            <w:r>
              <w:rPr>
                <w:rFonts w:ascii="Arial" w:cs="Arial" w:eastAsia="Arial" w:hAnsi="Arial"/>
                <w:sz w:val="16"/>
                <w:szCs w:val="16"/>
                <w:color w:val="auto"/>
              </w:rPr>
              <w:t>Target range of Adjusted EBITDA net of NCI</w:t>
            </w:r>
          </w:p>
        </w:tc>
        <w:tc>
          <w:tcPr>
            <w:tcW w:w="780" w:type="dxa"/>
            <w:vAlign w:val="bottom"/>
            <w:shd w:val="clear" w:color="auto" w:fill="EDEDED"/>
          </w:tcPr>
          <w:p>
            <w:pPr>
              <w:jc w:val="right"/>
              <w:ind w:right="219"/>
              <w:spacing w:after="0"/>
              <w:rPr>
                <w:sz w:val="20"/>
                <w:szCs w:val="20"/>
                <w:color w:val="auto"/>
              </w:rPr>
            </w:pPr>
            <w:r>
              <w:rPr>
                <w:rFonts w:ascii="Arial" w:cs="Arial" w:eastAsia="Arial" w:hAnsi="Arial"/>
                <w:sz w:val="16"/>
                <w:szCs w:val="16"/>
                <w:color w:val="auto"/>
              </w:rPr>
              <w:t>90%</w:t>
            </w:r>
          </w:p>
        </w:tc>
        <w:tc>
          <w:tcPr>
            <w:tcW w:w="1780" w:type="dxa"/>
            <w:vAlign w:val="bottom"/>
            <w:shd w:val="clear" w:color="auto" w:fill="EDEDED"/>
          </w:tcPr>
          <w:p>
            <w:pPr>
              <w:jc w:val="right"/>
              <w:ind w:right="159"/>
              <w:spacing w:after="0"/>
              <w:rPr>
                <w:sz w:val="20"/>
                <w:szCs w:val="20"/>
                <w:color w:val="auto"/>
              </w:rPr>
            </w:pPr>
            <w:r>
              <w:rPr>
                <w:rFonts w:ascii="Arial" w:cs="Arial" w:eastAsia="Arial" w:hAnsi="Arial"/>
                <w:sz w:val="16"/>
                <w:szCs w:val="16"/>
                <w:color w:val="auto"/>
              </w:rPr>
              <w:t>100%</w:t>
            </w:r>
          </w:p>
        </w:tc>
        <w:tc>
          <w:tcPr>
            <w:tcW w:w="16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On March 19, 2025, our Compensation Committee awarded the following to our NEOs:</w:t>
      </w:r>
    </w:p>
    <w:p>
      <w:pPr>
        <w:spacing w:after="0" w:line="94" w:lineRule="exact"/>
        <w:rPr>
          <w:sz w:val="20"/>
          <w:szCs w:val="20"/>
          <w:color w:val="auto"/>
        </w:rPr>
      </w:pPr>
    </w:p>
    <w:p>
      <w:pPr>
        <w:ind w:left="240" w:hanging="112"/>
        <w:spacing w:after="0" w:line="256" w:lineRule="auto"/>
        <w:tabs>
          <w:tab w:leader="none" w:pos="302" w:val="left"/>
        </w:tabs>
        <w:numPr>
          <w:ilvl w:val="0"/>
          <w:numId w:val="38"/>
        </w:numPr>
        <w:rPr>
          <w:rFonts w:ascii="Times New Roman" w:cs="Times New Roman" w:eastAsia="Times New Roman" w:hAnsi="Times New Roman"/>
          <w:sz w:val="20"/>
          <w:szCs w:val="20"/>
          <w:color w:val="052666"/>
        </w:rPr>
      </w:pPr>
      <w:r>
        <w:rPr>
          <w:rFonts w:ascii="Arial" w:cs="Arial" w:eastAsia="Arial" w:hAnsi="Arial"/>
          <w:sz w:val="20"/>
          <w:szCs w:val="20"/>
          <w:color w:val="auto"/>
        </w:rPr>
        <w:t>Time-based RSUs that are scheduled to vest in four equal installments on the first, second, third and fourth anniversaries of the grant date, and;</w:t>
      </w:r>
    </w:p>
    <w:p>
      <w:pPr>
        <w:spacing w:after="0" w:line="48" w:lineRule="exact"/>
        <w:rPr>
          <w:rFonts w:ascii="Times New Roman" w:cs="Times New Roman" w:eastAsia="Times New Roman" w:hAnsi="Times New Roman"/>
          <w:sz w:val="20"/>
          <w:szCs w:val="20"/>
          <w:color w:val="052666"/>
        </w:rPr>
      </w:pPr>
    </w:p>
    <w:p>
      <w:pPr>
        <w:ind w:left="240" w:hanging="112"/>
        <w:spacing w:after="0" w:line="256" w:lineRule="auto"/>
        <w:tabs>
          <w:tab w:leader="none" w:pos="297" w:val="left"/>
        </w:tabs>
        <w:numPr>
          <w:ilvl w:val="0"/>
          <w:numId w:val="38"/>
        </w:numPr>
        <w:rPr>
          <w:rFonts w:ascii="Times New Roman" w:cs="Times New Roman" w:eastAsia="Times New Roman" w:hAnsi="Times New Roman"/>
          <w:sz w:val="20"/>
          <w:szCs w:val="20"/>
          <w:color w:val="052666"/>
        </w:rPr>
      </w:pPr>
      <w:r>
        <w:rPr>
          <w:rFonts w:ascii="Arial" w:cs="Arial" w:eastAsia="Arial" w:hAnsi="Arial"/>
          <w:sz w:val="20"/>
          <w:szCs w:val="20"/>
          <w:color w:val="auto"/>
        </w:rPr>
        <w:t>PBRSUs (awarded at target) that will be earned pursuant to the pre-established target range of Adjusted EBITDA net of NCI,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ind w:left="9300"/>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The target RSUs and PBRSUs granted to each of our named executive officers on March 19, 2025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2980" w:type="dxa"/>
            <w:vAlign w:val="bottom"/>
            <w:gridSpan w:val="2"/>
          </w:tcPr>
          <w:p>
            <w:pPr>
              <w:jc w:val="center"/>
              <w:ind w:right="1199"/>
              <w:spacing w:after="0"/>
              <w:rPr>
                <w:sz w:val="20"/>
                <w:szCs w:val="20"/>
                <w:color w:val="auto"/>
              </w:rPr>
            </w:pPr>
            <w:r>
              <w:rPr>
                <w:rFonts w:ascii="Arial" w:cs="Arial" w:eastAsia="Arial" w:hAnsi="Arial"/>
                <w:sz w:val="16"/>
                <w:szCs w:val="16"/>
                <w:b w:val="1"/>
                <w:bCs w:val="1"/>
                <w:color w:val="052666"/>
              </w:rPr>
              <w:t>Time-based</w:t>
            </w:r>
          </w:p>
        </w:tc>
        <w:tc>
          <w:tcPr>
            <w:tcW w:w="1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052666"/>
              </w:rPr>
              <w:t>Grant date</w:t>
            </w:r>
          </w:p>
        </w:tc>
        <w:tc>
          <w:tcPr>
            <w:tcW w:w="300" w:type="dxa"/>
            <w:vAlign w:val="bottom"/>
          </w:tcPr>
          <w:p>
            <w:pPr>
              <w:spacing w:after="0"/>
              <w:rPr>
                <w:sz w:val="16"/>
                <w:szCs w:val="16"/>
                <w:color w:val="auto"/>
              </w:rPr>
            </w:pPr>
          </w:p>
        </w:tc>
        <w:tc>
          <w:tcPr>
            <w:tcW w:w="1520" w:type="dxa"/>
            <w:vAlign w:val="bottom"/>
          </w:tcPr>
          <w:p>
            <w:pPr>
              <w:jc w:val="right"/>
              <w:ind w:right="459"/>
              <w:spacing w:after="0"/>
              <w:rPr>
                <w:sz w:val="20"/>
                <w:szCs w:val="20"/>
                <w:color w:val="auto"/>
              </w:rPr>
            </w:pPr>
            <w:r>
              <w:rPr>
                <w:rFonts w:ascii="Arial" w:cs="Arial" w:eastAsia="Arial" w:hAnsi="Arial"/>
                <w:sz w:val="16"/>
                <w:szCs w:val="16"/>
                <w:b w:val="1"/>
                <w:bCs w:val="1"/>
                <w:color w:val="052666"/>
              </w:rPr>
              <w:t>Grant date</w:t>
            </w: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Arial" w:cs="Arial" w:eastAsia="Arial" w:hAnsi="Arial"/>
                <w:sz w:val="16"/>
                <w:szCs w:val="16"/>
                <w:color w:val="auto"/>
              </w:rPr>
              <w:t>Marc D. Miller</w:t>
            </w:r>
          </w:p>
        </w:tc>
        <w:tc>
          <w:tcPr>
            <w:tcW w:w="11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b w:val="1"/>
                <w:bCs w:val="1"/>
                <w:color w:val="052666"/>
              </w:rPr>
              <w:t>RSUs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52666"/>
              </w:rPr>
              <w:t>PBRSUs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52666"/>
              </w:rPr>
              <w:t>Total</w:t>
            </w: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052666"/>
              </w:rPr>
              <w:t>market price</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052666"/>
              </w:rPr>
              <w:t>value</w:t>
            </w: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860" w:type="dxa"/>
            <w:vAlign w:val="bottom"/>
          </w:tcPr>
          <w:p>
            <w:pPr>
              <w:jc w:val="right"/>
              <w:ind w:right="1219"/>
              <w:spacing w:after="0" w:line="183" w:lineRule="exact"/>
              <w:rPr>
                <w:sz w:val="20"/>
                <w:szCs w:val="20"/>
                <w:color w:val="auto"/>
              </w:rPr>
            </w:pPr>
            <w:r>
              <w:rPr>
                <w:rFonts w:ascii="Arial" w:cs="Arial" w:eastAsia="Arial" w:hAnsi="Arial"/>
                <w:sz w:val="16"/>
                <w:szCs w:val="16"/>
                <w:color w:val="auto"/>
              </w:rPr>
              <w:t>28,077</w:t>
            </w:r>
          </w:p>
        </w:tc>
        <w:tc>
          <w:tcPr>
            <w:tcW w:w="1740" w:type="dxa"/>
            <w:vAlign w:val="bottom"/>
          </w:tcPr>
          <w:p>
            <w:pPr>
              <w:jc w:val="right"/>
              <w:ind w:right="1159"/>
              <w:spacing w:after="0" w:line="183" w:lineRule="exact"/>
              <w:rPr>
                <w:sz w:val="20"/>
                <w:szCs w:val="20"/>
                <w:color w:val="auto"/>
              </w:rPr>
            </w:pPr>
            <w:r>
              <w:rPr>
                <w:rFonts w:ascii="Arial" w:cs="Arial" w:eastAsia="Arial" w:hAnsi="Arial"/>
                <w:sz w:val="16"/>
                <w:szCs w:val="16"/>
                <w:color w:val="auto"/>
                <w:w w:val="98"/>
              </w:rPr>
              <w:t>28,077</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56,154</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178.08</w:t>
            </w:r>
          </w:p>
        </w:tc>
        <w:tc>
          <w:tcPr>
            <w:tcW w:w="30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9,999,904</w:t>
            </w: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F2F2F2"/>
          </w:tcPr>
          <w:p>
            <w:pPr>
              <w:spacing w:after="0"/>
              <w:rPr>
                <w:sz w:val="20"/>
                <w:szCs w:val="20"/>
                <w:color w:val="auto"/>
              </w:rPr>
            </w:pPr>
            <w:r>
              <w:rPr>
                <w:rFonts w:ascii="Arial" w:cs="Arial" w:eastAsia="Arial" w:hAnsi="Arial"/>
                <w:sz w:val="16"/>
                <w:szCs w:val="16"/>
                <w:color w:val="auto"/>
              </w:rPr>
              <w:t>Alan B. Miller</w:t>
            </w:r>
          </w:p>
        </w:tc>
        <w:tc>
          <w:tcPr>
            <w:tcW w:w="1860" w:type="dxa"/>
            <w:vAlign w:val="bottom"/>
            <w:shd w:val="clear" w:color="auto" w:fill="F2F2F2"/>
          </w:tcPr>
          <w:p>
            <w:pPr>
              <w:jc w:val="right"/>
              <w:ind w:right="1219"/>
              <w:spacing w:after="0"/>
              <w:rPr>
                <w:sz w:val="20"/>
                <w:szCs w:val="20"/>
                <w:color w:val="auto"/>
              </w:rPr>
            </w:pPr>
            <w:r>
              <w:rPr>
                <w:rFonts w:ascii="Arial" w:cs="Arial" w:eastAsia="Arial" w:hAnsi="Arial"/>
                <w:sz w:val="16"/>
                <w:szCs w:val="16"/>
                <w:color w:val="auto"/>
              </w:rPr>
              <w:t>14,213</w:t>
            </w:r>
          </w:p>
        </w:tc>
        <w:tc>
          <w:tcPr>
            <w:tcW w:w="1740" w:type="dxa"/>
            <w:vAlign w:val="bottom"/>
            <w:shd w:val="clear" w:color="auto" w:fill="F2F2F2"/>
          </w:tcPr>
          <w:p>
            <w:pPr>
              <w:jc w:val="right"/>
              <w:ind w:right="1159"/>
              <w:spacing w:after="0"/>
              <w:rPr>
                <w:sz w:val="20"/>
                <w:szCs w:val="20"/>
                <w:color w:val="auto"/>
              </w:rPr>
            </w:pPr>
            <w:r>
              <w:rPr>
                <w:rFonts w:ascii="Arial" w:cs="Arial" w:eastAsia="Arial" w:hAnsi="Arial"/>
                <w:sz w:val="16"/>
                <w:szCs w:val="16"/>
                <w:color w:val="auto"/>
                <w:w w:val="98"/>
              </w:rPr>
              <w:t>14,213</w:t>
            </w:r>
          </w:p>
        </w:tc>
        <w:tc>
          <w:tcPr>
            <w:tcW w:w="6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28,426</w:t>
            </w:r>
          </w:p>
        </w:tc>
        <w:tc>
          <w:tcPr>
            <w:tcW w:w="2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178.08</w:t>
            </w:r>
          </w:p>
        </w:tc>
        <w:tc>
          <w:tcPr>
            <w:tcW w:w="300" w:type="dxa"/>
            <w:vAlign w:val="bottom"/>
            <w:shd w:val="clear" w:color="auto" w:fill="F2F2F2"/>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5,062,102</w:t>
            </w: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rPr>
                <w:sz w:val="20"/>
                <w:szCs w:val="20"/>
                <w:color w:val="auto"/>
              </w:rPr>
            </w:pPr>
            <w:r>
              <w:rPr>
                <w:rFonts w:ascii="Arial" w:cs="Arial" w:eastAsia="Arial" w:hAnsi="Arial"/>
                <w:sz w:val="16"/>
                <w:szCs w:val="16"/>
                <w:color w:val="auto"/>
              </w:rPr>
              <w:t>Steve G. Filton</w:t>
            </w:r>
          </w:p>
        </w:tc>
        <w:tc>
          <w:tcPr>
            <w:tcW w:w="1860" w:type="dxa"/>
            <w:vAlign w:val="bottom"/>
          </w:tcPr>
          <w:p>
            <w:pPr>
              <w:jc w:val="right"/>
              <w:ind w:right="1219"/>
              <w:spacing w:after="0"/>
              <w:rPr>
                <w:sz w:val="20"/>
                <w:szCs w:val="20"/>
                <w:color w:val="auto"/>
              </w:rPr>
            </w:pPr>
            <w:r>
              <w:rPr>
                <w:rFonts w:ascii="Arial" w:cs="Arial" w:eastAsia="Arial" w:hAnsi="Arial"/>
                <w:sz w:val="16"/>
                <w:szCs w:val="16"/>
                <w:color w:val="auto"/>
              </w:rPr>
              <w:t>6,879</w:t>
            </w:r>
          </w:p>
        </w:tc>
        <w:tc>
          <w:tcPr>
            <w:tcW w:w="1740" w:type="dxa"/>
            <w:vAlign w:val="bottom"/>
          </w:tcPr>
          <w:p>
            <w:pPr>
              <w:jc w:val="right"/>
              <w:ind w:right="1159"/>
              <w:spacing w:after="0"/>
              <w:rPr>
                <w:sz w:val="20"/>
                <w:szCs w:val="20"/>
                <w:color w:val="auto"/>
              </w:rPr>
            </w:pPr>
            <w:r>
              <w:rPr>
                <w:rFonts w:ascii="Arial" w:cs="Arial" w:eastAsia="Arial" w:hAnsi="Arial"/>
                <w:sz w:val="16"/>
                <w:szCs w:val="16"/>
                <w:color w:val="auto"/>
              </w:rPr>
              <w:t>6,879</w:t>
            </w:r>
          </w:p>
        </w:tc>
        <w:tc>
          <w:tcPr>
            <w:tcW w:w="620" w:type="dxa"/>
            <w:vAlign w:val="bottom"/>
          </w:tcPr>
          <w:p>
            <w:pPr>
              <w:jc w:val="right"/>
              <w:spacing w:after="0"/>
              <w:rPr>
                <w:sz w:val="20"/>
                <w:szCs w:val="20"/>
                <w:color w:val="auto"/>
              </w:rPr>
            </w:pPr>
            <w:r>
              <w:rPr>
                <w:rFonts w:ascii="Arial" w:cs="Arial" w:eastAsia="Arial" w:hAnsi="Arial"/>
                <w:sz w:val="16"/>
                <w:szCs w:val="16"/>
                <w:color w:val="auto"/>
              </w:rPr>
              <w:t>13,758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178.08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2,450,025</w:t>
            </w: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F2F2F2"/>
          </w:tcPr>
          <w:p>
            <w:pPr>
              <w:spacing w:after="0"/>
              <w:rPr>
                <w:sz w:val="20"/>
                <w:szCs w:val="20"/>
                <w:color w:val="auto"/>
              </w:rPr>
            </w:pPr>
            <w:r>
              <w:rPr>
                <w:rFonts w:ascii="Arial" w:cs="Arial" w:eastAsia="Arial" w:hAnsi="Arial"/>
                <w:sz w:val="16"/>
                <w:szCs w:val="16"/>
                <w:color w:val="auto"/>
              </w:rPr>
              <w:t>Edward H. Sim</w:t>
            </w:r>
          </w:p>
        </w:tc>
        <w:tc>
          <w:tcPr>
            <w:tcW w:w="1860" w:type="dxa"/>
            <w:vAlign w:val="bottom"/>
            <w:shd w:val="clear" w:color="auto" w:fill="F2F2F2"/>
          </w:tcPr>
          <w:p>
            <w:pPr>
              <w:jc w:val="right"/>
              <w:ind w:right="1219"/>
              <w:spacing w:after="0"/>
              <w:rPr>
                <w:sz w:val="20"/>
                <w:szCs w:val="20"/>
                <w:color w:val="auto"/>
              </w:rPr>
            </w:pPr>
            <w:r>
              <w:rPr>
                <w:rFonts w:ascii="Arial" w:cs="Arial" w:eastAsia="Arial" w:hAnsi="Arial"/>
                <w:sz w:val="16"/>
                <w:szCs w:val="16"/>
                <w:color w:val="auto"/>
              </w:rPr>
              <w:t>6,431</w:t>
            </w:r>
          </w:p>
        </w:tc>
        <w:tc>
          <w:tcPr>
            <w:tcW w:w="1740" w:type="dxa"/>
            <w:vAlign w:val="bottom"/>
            <w:shd w:val="clear" w:color="auto" w:fill="F2F2F2"/>
          </w:tcPr>
          <w:p>
            <w:pPr>
              <w:jc w:val="right"/>
              <w:ind w:right="1159"/>
              <w:spacing w:after="0"/>
              <w:rPr>
                <w:sz w:val="20"/>
                <w:szCs w:val="20"/>
                <w:color w:val="auto"/>
              </w:rPr>
            </w:pPr>
            <w:r>
              <w:rPr>
                <w:rFonts w:ascii="Arial" w:cs="Arial" w:eastAsia="Arial" w:hAnsi="Arial"/>
                <w:sz w:val="16"/>
                <w:szCs w:val="16"/>
                <w:color w:val="auto"/>
              </w:rPr>
              <w:t>6,431</w:t>
            </w:r>
          </w:p>
        </w:tc>
        <w:tc>
          <w:tcPr>
            <w:tcW w:w="6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12,862</w:t>
            </w:r>
          </w:p>
        </w:tc>
        <w:tc>
          <w:tcPr>
            <w:tcW w:w="2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178.08</w:t>
            </w:r>
          </w:p>
        </w:tc>
        <w:tc>
          <w:tcPr>
            <w:tcW w:w="300" w:type="dxa"/>
            <w:vAlign w:val="bottom"/>
            <w:shd w:val="clear" w:color="auto" w:fill="F2F2F2"/>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2,290,465</w:t>
            </w:r>
          </w:p>
        </w:tc>
        <w:tc>
          <w:tcPr>
            <w:tcW w:w="0" w:type="dxa"/>
            <w:vAlign w:val="bottom"/>
          </w:tcPr>
          <w:p>
            <w:pPr>
              <w:spacing w:after="0"/>
              <w:rPr>
                <w:sz w:val="1"/>
                <w:szCs w:val="1"/>
                <w:color w:val="auto"/>
              </w:rPr>
            </w:pPr>
          </w:p>
        </w:tc>
      </w:tr>
      <w:tr>
        <w:trPr>
          <w:trHeight w:val="215"/>
        </w:trPr>
        <w:tc>
          <w:tcPr>
            <w:tcW w:w="3700" w:type="dxa"/>
            <w:vAlign w:val="bottom"/>
            <w:gridSpan w:val="2"/>
          </w:tcPr>
          <w:p>
            <w:pPr>
              <w:spacing w:after="0"/>
              <w:rPr>
                <w:sz w:val="20"/>
                <w:szCs w:val="20"/>
                <w:color w:val="auto"/>
              </w:rPr>
            </w:pPr>
            <w:r>
              <w:rPr>
                <w:rFonts w:ascii="Arial" w:cs="Arial" w:eastAsia="Arial" w:hAnsi="Arial"/>
                <w:sz w:val="16"/>
                <w:szCs w:val="16"/>
                <w:color w:val="auto"/>
              </w:rPr>
              <w:t>Matthew J. Peterson</w:t>
            </w:r>
          </w:p>
        </w:tc>
        <w:tc>
          <w:tcPr>
            <w:tcW w:w="1860" w:type="dxa"/>
            <w:vAlign w:val="bottom"/>
          </w:tcPr>
          <w:p>
            <w:pPr>
              <w:jc w:val="right"/>
              <w:ind w:right="1219"/>
              <w:spacing w:after="0"/>
              <w:rPr>
                <w:sz w:val="20"/>
                <w:szCs w:val="20"/>
                <w:color w:val="auto"/>
              </w:rPr>
            </w:pPr>
            <w:r>
              <w:rPr>
                <w:rFonts w:ascii="Arial" w:cs="Arial" w:eastAsia="Arial" w:hAnsi="Arial"/>
                <w:sz w:val="16"/>
                <w:szCs w:val="16"/>
                <w:color w:val="auto"/>
              </w:rPr>
              <w:t>5,651</w:t>
            </w:r>
          </w:p>
        </w:tc>
        <w:tc>
          <w:tcPr>
            <w:tcW w:w="1740" w:type="dxa"/>
            <w:vAlign w:val="bottom"/>
          </w:tcPr>
          <w:p>
            <w:pPr>
              <w:jc w:val="right"/>
              <w:ind w:right="1159"/>
              <w:spacing w:after="0"/>
              <w:rPr>
                <w:sz w:val="20"/>
                <w:szCs w:val="20"/>
                <w:color w:val="auto"/>
              </w:rPr>
            </w:pPr>
            <w:r>
              <w:rPr>
                <w:rFonts w:ascii="Arial" w:cs="Arial" w:eastAsia="Arial" w:hAnsi="Arial"/>
                <w:sz w:val="16"/>
                <w:szCs w:val="16"/>
                <w:color w:val="auto"/>
              </w:rPr>
              <w:t>5,651</w:t>
            </w:r>
          </w:p>
        </w:tc>
        <w:tc>
          <w:tcPr>
            <w:tcW w:w="620" w:type="dxa"/>
            <w:vAlign w:val="bottom"/>
          </w:tcPr>
          <w:p>
            <w:pPr>
              <w:jc w:val="right"/>
              <w:spacing w:after="0"/>
              <w:rPr>
                <w:sz w:val="20"/>
                <w:szCs w:val="20"/>
                <w:color w:val="auto"/>
              </w:rPr>
            </w:pPr>
            <w:r>
              <w:rPr>
                <w:rFonts w:ascii="Arial" w:cs="Arial" w:eastAsia="Arial" w:hAnsi="Arial"/>
                <w:sz w:val="16"/>
                <w:szCs w:val="16"/>
                <w:color w:val="auto"/>
              </w:rPr>
              <w:t>11,302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178.08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2,012,660</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determining the number of RSUs and PBRSUs to award to our NEOs, the Compensation Committee reviewed the compensation data and competitive performance data prepared for 2025 by our third-party compensation consultant (FW Cook). The Compensation Committee also considered individual performance in light of an NEO's position, responsibilities and contribution to our financial performance as well as his potential contribution to our growth and productivity.</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Vesting of PBRSUs Granted in 2023 ("2023 PBRSUs):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pre-established 3-year target range of Adjusted EBITDA net of NCI applicable to the 2023 PBRSUs (granted in March, 2023), and our actual Adjusted EBITDA net of NCI for the year ended December 31, 2025,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gridSpan w:val="5"/>
          </w:tcPr>
          <w:p>
            <w:pPr>
              <w:jc w:val="right"/>
              <w:ind w:right="1039"/>
              <w:spacing w:after="0"/>
              <w:rPr>
                <w:sz w:val="20"/>
                <w:szCs w:val="20"/>
                <w:color w:val="auto"/>
              </w:rPr>
            </w:pPr>
            <w:r>
              <w:rPr>
                <w:rFonts w:ascii="Arial" w:cs="Arial" w:eastAsia="Arial" w:hAnsi="Arial"/>
                <w:sz w:val="16"/>
                <w:szCs w:val="16"/>
                <w:b w:val="1"/>
                <w:bCs w:val="1"/>
                <w:color w:val="052666"/>
              </w:rPr>
              <w:t>Target range for 2023 PBRSUs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052666"/>
              </w:rPr>
              <w:t>Actual</w:t>
            </w:r>
          </w:p>
        </w:tc>
        <w:tc>
          <w:tcPr>
            <w:tcW w:w="0" w:type="dxa"/>
            <w:vAlign w:val="bottom"/>
          </w:tcPr>
          <w:p>
            <w:pPr>
              <w:spacing w:after="0"/>
              <w:rPr>
                <w:sz w:val="1"/>
                <w:szCs w:val="1"/>
                <w:color w:val="auto"/>
              </w:rPr>
            </w:pPr>
          </w:p>
        </w:tc>
      </w:tr>
      <w:tr>
        <w:trPr>
          <w:trHeight w:val="183"/>
        </w:trPr>
        <w:tc>
          <w:tcPr>
            <w:tcW w:w="5020" w:type="dxa"/>
            <w:vAlign w:val="bottom"/>
            <w:vMerge w:val="restart"/>
          </w:tcPr>
          <w:p>
            <w:pPr>
              <w:spacing w:after="0"/>
              <w:rPr>
                <w:sz w:val="20"/>
                <w:szCs w:val="20"/>
                <w:color w:val="auto"/>
              </w:rPr>
            </w:pPr>
            <w:r>
              <w:rPr>
                <w:rFonts w:ascii="Arial" w:cs="Arial" w:eastAsia="Arial" w:hAnsi="Arial"/>
                <w:sz w:val="16"/>
                <w:szCs w:val="16"/>
                <w:color w:val="auto"/>
              </w:rPr>
              <w:t>Percentage of Target PBRSUs awarded</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052666"/>
              </w:rPr>
              <w:t>Minimum</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052666"/>
              </w:rPr>
              <w:t>Target</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052666"/>
              </w:rPr>
              <w:t>Maximum</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052666"/>
              </w:rPr>
              <w:t>achieved</w:t>
            </w:r>
          </w:p>
        </w:tc>
        <w:tc>
          <w:tcPr>
            <w:tcW w:w="0" w:type="dxa"/>
            <w:vAlign w:val="bottom"/>
          </w:tcPr>
          <w:p>
            <w:pPr>
              <w:spacing w:after="0"/>
              <w:rPr>
                <w:sz w:val="1"/>
                <w:szCs w:val="1"/>
                <w:color w:val="auto"/>
              </w:rPr>
            </w:pPr>
          </w:p>
        </w:tc>
      </w:tr>
      <w:tr>
        <w:trPr>
          <w:trHeight w:val="183"/>
        </w:trPr>
        <w:tc>
          <w:tcPr>
            <w:tcW w:w="5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c>
          <w:tcPr>
            <w:tcW w:w="24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c>
          <w:tcPr>
            <w:tcW w:w="20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150%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9"/>
        </w:trPr>
        <w:tc>
          <w:tcPr>
            <w:tcW w:w="5020" w:type="dxa"/>
            <w:vAlign w:val="bottom"/>
            <w:shd w:val="clear" w:color="auto" w:fill="F2F2F2"/>
          </w:tcPr>
          <w:p>
            <w:pPr>
              <w:spacing w:after="0"/>
              <w:rPr>
                <w:sz w:val="20"/>
                <w:szCs w:val="20"/>
                <w:color w:val="auto"/>
              </w:rPr>
            </w:pPr>
            <w:r>
              <w:rPr>
                <w:rFonts w:ascii="Arial" w:cs="Arial" w:eastAsia="Arial" w:hAnsi="Arial"/>
                <w:sz w:val="16"/>
                <w:szCs w:val="16"/>
                <w:color w:val="auto"/>
              </w:rPr>
              <w:t>Adjusted EBITDA net of NCI, as percentage of target</w:t>
            </w:r>
          </w:p>
        </w:tc>
        <w:tc>
          <w:tcPr>
            <w:tcW w:w="200" w:type="dxa"/>
            <w:vAlign w:val="bottom"/>
            <w:shd w:val="clear" w:color="auto" w:fill="F2F2F2"/>
          </w:tcPr>
          <w:p>
            <w:pPr>
              <w:spacing w:after="0"/>
              <w:rPr>
                <w:sz w:val="16"/>
                <w:szCs w:val="16"/>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90%</w:t>
            </w:r>
          </w:p>
        </w:tc>
        <w:tc>
          <w:tcPr>
            <w:tcW w:w="240" w:type="dxa"/>
            <w:vAlign w:val="bottom"/>
            <w:shd w:val="clear" w:color="auto" w:fill="F2F2F2"/>
          </w:tcPr>
          <w:p>
            <w:pPr>
              <w:spacing w:after="0"/>
              <w:rPr>
                <w:sz w:val="16"/>
                <w:szCs w:val="16"/>
                <w:color w:val="auto"/>
              </w:rPr>
            </w:pPr>
          </w:p>
        </w:tc>
        <w:tc>
          <w:tcPr>
            <w:tcW w:w="12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F2F2F2"/>
          </w:tcPr>
          <w:p>
            <w:pPr>
              <w:spacing w:after="0"/>
              <w:rPr>
                <w:sz w:val="16"/>
                <w:szCs w:val="16"/>
                <w:color w:val="auto"/>
              </w:rPr>
            </w:pPr>
          </w:p>
        </w:tc>
        <w:tc>
          <w:tcPr>
            <w:tcW w:w="128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110%</w:t>
            </w:r>
          </w:p>
        </w:tc>
        <w:tc>
          <w:tcPr>
            <w:tcW w:w="20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3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6"/>
                <w:szCs w:val="16"/>
                <w:color w:val="auto"/>
              </w:rPr>
              <w:t>2025 Adjusted EBITDA net of NCI (in thousands)(b.)</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1,583,866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1,759,851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1,935,836</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2,590,372</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connection with the 2023 PBRSUs, on March 12, 2026, our Compensation Committee determined that, based upon our 2025 actual operating results, 110% (the maximum) of the target Adjusted EBITDA net of NCI had been exceeded and therefore 150% of the target 2023 PBRSUs were earned and vested for each eligible NEO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880" w:type="dxa"/>
            <w:vAlign w:val="bottom"/>
          </w:tcPr>
          <w:p>
            <w:pPr>
              <w:jc w:val="center"/>
              <w:ind w:left="539"/>
              <w:spacing w:after="0"/>
              <w:rPr>
                <w:sz w:val="20"/>
                <w:szCs w:val="20"/>
                <w:color w:val="auto"/>
              </w:rPr>
            </w:pPr>
            <w:r>
              <w:rPr>
                <w:rFonts w:ascii="Arial" w:cs="Arial" w:eastAsia="Arial" w:hAnsi="Arial"/>
                <w:sz w:val="16"/>
                <w:szCs w:val="16"/>
                <w:b w:val="1"/>
                <w:bCs w:val="1"/>
                <w:color w:val="052666"/>
              </w:rPr>
              <w:t>Target</w:t>
            </w:r>
          </w:p>
        </w:tc>
        <w:tc>
          <w:tcPr>
            <w:tcW w:w="2700" w:type="dxa"/>
            <w:vAlign w:val="bottom"/>
          </w:tcPr>
          <w:p>
            <w:pPr>
              <w:jc w:val="center"/>
              <w:ind w:left="1178"/>
              <w:spacing w:after="0"/>
              <w:rPr>
                <w:sz w:val="20"/>
                <w:szCs w:val="20"/>
                <w:color w:val="auto"/>
              </w:rPr>
            </w:pPr>
            <w:r>
              <w:rPr>
                <w:rFonts w:ascii="Arial" w:cs="Arial" w:eastAsia="Arial" w:hAnsi="Arial"/>
                <w:sz w:val="16"/>
                <w:szCs w:val="16"/>
                <w:b w:val="1"/>
                <w:bCs w:val="1"/>
                <w:color w:val="052666"/>
              </w:rPr>
              <w:t>Percentage</w:t>
            </w:r>
          </w:p>
        </w:tc>
        <w:tc>
          <w:tcPr>
            <w:tcW w:w="1020" w:type="dxa"/>
            <w:vAlign w:val="bottom"/>
          </w:tcPr>
          <w:p>
            <w:pPr>
              <w:spacing w:after="0"/>
              <w:rPr>
                <w:sz w:val="16"/>
                <w:szCs w:val="16"/>
                <w:color w:val="auto"/>
              </w:rPr>
            </w:pPr>
          </w:p>
        </w:tc>
        <w:tc>
          <w:tcPr>
            <w:tcW w:w="2360" w:type="dxa"/>
            <w:vAlign w:val="bottom"/>
          </w:tcPr>
          <w:p>
            <w:pPr>
              <w:jc w:val="center"/>
              <w:ind w:right="339"/>
              <w:spacing w:after="0"/>
              <w:rPr>
                <w:sz w:val="20"/>
                <w:szCs w:val="20"/>
                <w:color w:val="auto"/>
              </w:rPr>
            </w:pPr>
            <w:r>
              <w:rPr>
                <w:rFonts w:ascii="Arial" w:cs="Arial" w:eastAsia="Arial" w:hAnsi="Arial"/>
                <w:sz w:val="16"/>
                <w:szCs w:val="16"/>
                <w:b w:val="1"/>
                <w:bCs w:val="1"/>
                <w:color w:val="052666"/>
              </w:rPr>
              <w:t>Actual 2023</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880" w:type="dxa"/>
            <w:vAlign w:val="bottom"/>
          </w:tcPr>
          <w:p>
            <w:pPr>
              <w:jc w:val="center"/>
              <w:ind w:left="539"/>
              <w:spacing w:after="0"/>
              <w:rPr>
                <w:sz w:val="20"/>
                <w:szCs w:val="20"/>
                <w:color w:val="auto"/>
              </w:rPr>
            </w:pPr>
            <w:r>
              <w:rPr>
                <w:rFonts w:ascii="Arial" w:cs="Arial" w:eastAsia="Arial" w:hAnsi="Arial"/>
                <w:sz w:val="16"/>
                <w:szCs w:val="16"/>
                <w:b w:val="1"/>
                <w:bCs w:val="1"/>
                <w:color w:val="052666"/>
              </w:rPr>
              <w:t>2023 PBRSUs</w:t>
            </w:r>
          </w:p>
        </w:tc>
        <w:tc>
          <w:tcPr>
            <w:tcW w:w="2700" w:type="dxa"/>
            <w:vAlign w:val="bottom"/>
          </w:tcPr>
          <w:p>
            <w:pPr>
              <w:jc w:val="center"/>
              <w:ind w:left="1178"/>
              <w:spacing w:after="0"/>
              <w:rPr>
                <w:sz w:val="20"/>
                <w:szCs w:val="20"/>
                <w:color w:val="auto"/>
              </w:rPr>
            </w:pPr>
            <w:r>
              <w:rPr>
                <w:rFonts w:ascii="Arial" w:cs="Arial" w:eastAsia="Arial" w:hAnsi="Arial"/>
                <w:sz w:val="16"/>
                <w:szCs w:val="16"/>
                <w:b w:val="1"/>
                <w:bCs w:val="1"/>
                <w:color w:val="052666"/>
                <w:w w:val="99"/>
              </w:rPr>
              <w:t>of target</w:t>
            </w:r>
          </w:p>
        </w:tc>
        <w:tc>
          <w:tcPr>
            <w:tcW w:w="1020" w:type="dxa"/>
            <w:vAlign w:val="bottom"/>
          </w:tcPr>
          <w:p>
            <w:pPr>
              <w:spacing w:after="0"/>
              <w:rPr>
                <w:sz w:val="16"/>
                <w:szCs w:val="16"/>
                <w:color w:val="auto"/>
              </w:rPr>
            </w:pPr>
          </w:p>
        </w:tc>
        <w:tc>
          <w:tcPr>
            <w:tcW w:w="2360" w:type="dxa"/>
            <w:vAlign w:val="bottom"/>
          </w:tcPr>
          <w:p>
            <w:pPr>
              <w:jc w:val="center"/>
              <w:ind w:right="359"/>
              <w:spacing w:after="0"/>
              <w:rPr>
                <w:sz w:val="20"/>
                <w:szCs w:val="20"/>
                <w:color w:val="auto"/>
              </w:rPr>
            </w:pPr>
            <w:r>
              <w:rPr>
                <w:rFonts w:ascii="Arial" w:cs="Arial" w:eastAsia="Arial" w:hAnsi="Arial"/>
                <w:sz w:val="16"/>
                <w:szCs w:val="16"/>
                <w:b w:val="1"/>
                <w:bCs w:val="1"/>
                <w:color w:val="052666"/>
              </w:rPr>
              <w:t>PBRSUs earned</w:t>
            </w:r>
          </w:p>
        </w:tc>
        <w:tc>
          <w:tcPr>
            <w:tcW w:w="0" w:type="dxa"/>
            <w:vAlign w:val="bottom"/>
          </w:tcPr>
          <w:p>
            <w:pPr>
              <w:spacing w:after="0"/>
              <w:rPr>
                <w:sz w:val="1"/>
                <w:szCs w:val="1"/>
                <w:color w:val="auto"/>
              </w:rPr>
            </w:pPr>
          </w:p>
        </w:tc>
      </w:tr>
      <w:tr>
        <w:trPr>
          <w:trHeight w:val="203"/>
        </w:trPr>
        <w:tc>
          <w:tcPr>
            <w:tcW w:w="3280" w:type="dxa"/>
            <w:vAlign w:val="bottom"/>
            <w:vMerge w:val="restart"/>
          </w:tcPr>
          <w:p>
            <w:pPr>
              <w:spacing w:after="0"/>
              <w:rPr>
                <w:sz w:val="20"/>
                <w:szCs w:val="20"/>
                <w:color w:val="auto"/>
              </w:rPr>
            </w:pPr>
            <w:r>
              <w:rPr>
                <w:rFonts w:ascii="Arial" w:cs="Arial" w:eastAsia="Arial" w:hAnsi="Arial"/>
                <w:sz w:val="16"/>
                <w:szCs w:val="16"/>
                <w:color w:val="auto"/>
              </w:rPr>
              <w:t>Marc D. Miller</w:t>
            </w:r>
          </w:p>
        </w:tc>
        <w:tc>
          <w:tcPr>
            <w:tcW w:w="188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b w:val="1"/>
                <w:bCs w:val="1"/>
                <w:color w:val="052666"/>
              </w:rPr>
              <w:t>awarded</w:t>
            </w:r>
          </w:p>
        </w:tc>
        <w:tc>
          <w:tcPr>
            <w:tcW w:w="2700" w:type="dxa"/>
            <w:vAlign w:val="bottom"/>
            <w:tcBorders>
              <w:bottom w:val="single" w:sz="8" w:color="auto"/>
            </w:tcBorders>
          </w:tcPr>
          <w:p>
            <w:pPr>
              <w:jc w:val="center"/>
              <w:ind w:left="1178"/>
              <w:spacing w:after="0"/>
              <w:rPr>
                <w:sz w:val="20"/>
                <w:szCs w:val="20"/>
                <w:color w:val="auto"/>
              </w:rPr>
            </w:pPr>
            <w:r>
              <w:rPr>
                <w:rFonts w:ascii="Arial" w:cs="Arial" w:eastAsia="Arial" w:hAnsi="Arial"/>
                <w:sz w:val="16"/>
                <w:szCs w:val="16"/>
                <w:b w:val="1"/>
                <w:bCs w:val="1"/>
                <w:color w:val="052666"/>
                <w:w w:val="99"/>
              </w:rPr>
              <w:t>achieved</w:t>
            </w:r>
          </w:p>
        </w:tc>
        <w:tc>
          <w:tcPr>
            <w:tcW w:w="10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052666"/>
              </w:rPr>
              <w:t>and vested</w:t>
            </w: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2700" w:type="dxa"/>
            <w:vAlign w:val="bottom"/>
          </w:tcPr>
          <w:p>
            <w:pPr>
              <w:jc w:val="right"/>
              <w:ind w:right="1998"/>
              <w:spacing w:after="0" w:line="183" w:lineRule="exact"/>
              <w:rPr>
                <w:sz w:val="20"/>
                <w:szCs w:val="20"/>
                <w:color w:val="auto"/>
              </w:rPr>
            </w:pPr>
            <w:r>
              <w:rPr>
                <w:rFonts w:ascii="Arial" w:cs="Arial" w:eastAsia="Arial" w:hAnsi="Arial"/>
                <w:sz w:val="16"/>
                <w:szCs w:val="16"/>
                <w:color w:val="auto"/>
              </w:rPr>
              <w:t>42,024</w:t>
            </w:r>
          </w:p>
        </w:tc>
        <w:tc>
          <w:tcPr>
            <w:tcW w:w="102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150%</w:t>
            </w:r>
          </w:p>
        </w:tc>
        <w:tc>
          <w:tcPr>
            <w:tcW w:w="23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63,036</w:t>
            </w:r>
          </w:p>
        </w:tc>
        <w:tc>
          <w:tcPr>
            <w:tcW w:w="0" w:type="dxa"/>
            <w:vAlign w:val="bottom"/>
          </w:tcPr>
          <w:p>
            <w:pPr>
              <w:spacing w:after="0"/>
              <w:rPr>
                <w:sz w:val="1"/>
                <w:szCs w:val="1"/>
                <w:color w:val="auto"/>
              </w:rPr>
            </w:pPr>
          </w:p>
        </w:tc>
      </w:tr>
      <w:tr>
        <w:trPr>
          <w:trHeight w:val="189"/>
        </w:trPr>
        <w:tc>
          <w:tcPr>
            <w:tcW w:w="5160" w:type="dxa"/>
            <w:vAlign w:val="bottom"/>
            <w:gridSpan w:val="2"/>
            <w:shd w:val="clear" w:color="auto" w:fill="F2F2F2"/>
          </w:tcPr>
          <w:p>
            <w:pPr>
              <w:spacing w:after="0"/>
              <w:rPr>
                <w:sz w:val="20"/>
                <w:szCs w:val="20"/>
                <w:color w:val="auto"/>
              </w:rPr>
            </w:pPr>
            <w:r>
              <w:rPr>
                <w:rFonts w:ascii="Arial" w:cs="Arial" w:eastAsia="Arial" w:hAnsi="Arial"/>
                <w:sz w:val="16"/>
                <w:szCs w:val="16"/>
                <w:color w:val="auto"/>
              </w:rPr>
              <w:t>Alan B. Miller</w:t>
            </w:r>
          </w:p>
        </w:tc>
        <w:tc>
          <w:tcPr>
            <w:tcW w:w="2700" w:type="dxa"/>
            <w:vAlign w:val="bottom"/>
            <w:shd w:val="clear" w:color="auto" w:fill="F2F2F2"/>
          </w:tcPr>
          <w:p>
            <w:pPr>
              <w:jc w:val="right"/>
              <w:ind w:right="1998"/>
              <w:spacing w:after="0"/>
              <w:rPr>
                <w:sz w:val="20"/>
                <w:szCs w:val="20"/>
                <w:color w:val="auto"/>
              </w:rPr>
            </w:pPr>
            <w:r>
              <w:rPr>
                <w:rFonts w:ascii="Arial" w:cs="Arial" w:eastAsia="Arial" w:hAnsi="Arial"/>
                <w:sz w:val="16"/>
                <w:szCs w:val="16"/>
                <w:color w:val="auto"/>
              </w:rPr>
              <w:t>22,099</w:t>
            </w:r>
          </w:p>
        </w:tc>
        <w:tc>
          <w:tcPr>
            <w:tcW w:w="1020" w:type="dxa"/>
            <w:vAlign w:val="bottom"/>
            <w:shd w:val="clear" w:color="auto" w:fill="F2F2F2"/>
          </w:tcPr>
          <w:p>
            <w:pPr>
              <w:jc w:val="right"/>
              <w:ind w:right="259"/>
              <w:spacing w:after="0"/>
              <w:rPr>
                <w:sz w:val="20"/>
                <w:szCs w:val="20"/>
                <w:color w:val="auto"/>
              </w:rPr>
            </w:pPr>
            <w:r>
              <w:rPr>
                <w:rFonts w:ascii="Arial" w:cs="Arial" w:eastAsia="Arial" w:hAnsi="Arial"/>
                <w:sz w:val="16"/>
                <w:szCs w:val="16"/>
                <w:color w:val="auto"/>
              </w:rPr>
              <w:t>150%</w:t>
            </w:r>
          </w:p>
        </w:tc>
        <w:tc>
          <w:tcPr>
            <w:tcW w:w="236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33,149</w:t>
            </w:r>
          </w:p>
        </w:tc>
        <w:tc>
          <w:tcPr>
            <w:tcW w:w="0" w:type="dxa"/>
            <w:vAlign w:val="bottom"/>
          </w:tcPr>
          <w:p>
            <w:pPr>
              <w:spacing w:after="0"/>
              <w:rPr>
                <w:sz w:val="1"/>
                <w:szCs w:val="1"/>
                <w:color w:val="auto"/>
              </w:rPr>
            </w:pP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Steve G. Filton</w:t>
            </w:r>
          </w:p>
        </w:tc>
        <w:tc>
          <w:tcPr>
            <w:tcW w:w="2700" w:type="dxa"/>
            <w:vAlign w:val="bottom"/>
          </w:tcPr>
          <w:p>
            <w:pPr>
              <w:jc w:val="right"/>
              <w:ind w:right="1998"/>
              <w:spacing w:after="0"/>
              <w:rPr>
                <w:sz w:val="20"/>
                <w:szCs w:val="20"/>
                <w:color w:val="auto"/>
              </w:rPr>
            </w:pPr>
            <w:r>
              <w:rPr>
                <w:rFonts w:ascii="Arial" w:cs="Arial" w:eastAsia="Arial" w:hAnsi="Arial"/>
                <w:sz w:val="16"/>
                <w:szCs w:val="16"/>
                <w:color w:val="auto"/>
              </w:rPr>
              <w:t>10,696</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150%</w:t>
            </w:r>
          </w:p>
        </w:tc>
        <w:tc>
          <w:tcPr>
            <w:tcW w:w="2360" w:type="dxa"/>
            <w:vAlign w:val="bottom"/>
          </w:tcPr>
          <w:p>
            <w:pPr>
              <w:jc w:val="right"/>
              <w:ind w:right="39"/>
              <w:spacing w:after="0"/>
              <w:rPr>
                <w:sz w:val="20"/>
                <w:szCs w:val="20"/>
                <w:color w:val="auto"/>
              </w:rPr>
            </w:pPr>
            <w:r>
              <w:rPr>
                <w:rFonts w:ascii="Arial" w:cs="Arial" w:eastAsia="Arial" w:hAnsi="Arial"/>
                <w:sz w:val="16"/>
                <w:szCs w:val="16"/>
                <w:color w:val="auto"/>
              </w:rPr>
              <w:t>16,044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F2F2F2"/>
          </w:tcPr>
          <w:p>
            <w:pPr>
              <w:spacing w:after="0"/>
              <w:rPr>
                <w:sz w:val="20"/>
                <w:szCs w:val="20"/>
                <w:color w:val="auto"/>
              </w:rPr>
            </w:pPr>
            <w:r>
              <w:rPr>
                <w:rFonts w:ascii="Arial" w:cs="Arial" w:eastAsia="Arial" w:hAnsi="Arial"/>
                <w:sz w:val="16"/>
                <w:szCs w:val="16"/>
                <w:color w:val="auto"/>
              </w:rPr>
              <w:t>Edward H. Sim</w:t>
            </w:r>
          </w:p>
        </w:tc>
        <w:tc>
          <w:tcPr>
            <w:tcW w:w="2700" w:type="dxa"/>
            <w:vAlign w:val="bottom"/>
            <w:shd w:val="clear" w:color="auto" w:fill="F2F2F2"/>
          </w:tcPr>
          <w:p>
            <w:pPr>
              <w:jc w:val="right"/>
              <w:ind w:right="1998"/>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shd w:val="clear" w:color="auto" w:fill="F2F2F2"/>
          </w:tcPr>
          <w:p>
            <w:pPr>
              <w:jc w:val="right"/>
              <w:ind w:right="259"/>
              <w:spacing w:after="0"/>
              <w:rPr>
                <w:sz w:val="20"/>
                <w:szCs w:val="20"/>
                <w:color w:val="auto"/>
              </w:rPr>
            </w:pPr>
            <w:r>
              <w:rPr>
                <w:rFonts w:ascii="Arial" w:cs="Arial" w:eastAsia="Arial" w:hAnsi="Arial"/>
                <w:sz w:val="16"/>
                <w:szCs w:val="16"/>
                <w:color w:val="auto"/>
              </w:rPr>
              <w:t>150%</w:t>
            </w:r>
          </w:p>
        </w:tc>
        <w:tc>
          <w:tcPr>
            <w:tcW w:w="236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6"/>
                <w:szCs w:val="16"/>
                <w:color w:val="auto"/>
              </w:rPr>
              <w:t>Matthew J. Peterson</w:t>
            </w:r>
          </w:p>
        </w:tc>
        <w:tc>
          <w:tcPr>
            <w:tcW w:w="2700" w:type="dxa"/>
            <w:vAlign w:val="bottom"/>
          </w:tcPr>
          <w:p>
            <w:pPr>
              <w:jc w:val="right"/>
              <w:ind w:right="1998"/>
              <w:spacing w:after="0"/>
              <w:rPr>
                <w:sz w:val="20"/>
                <w:szCs w:val="20"/>
                <w:color w:val="auto"/>
              </w:rPr>
            </w:pPr>
            <w:r>
              <w:rPr>
                <w:rFonts w:ascii="Arial" w:cs="Arial" w:eastAsia="Arial" w:hAnsi="Arial"/>
                <w:sz w:val="16"/>
                <w:szCs w:val="16"/>
                <w:color w:val="auto"/>
              </w:rPr>
              <w:t>8,787</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150%</w:t>
            </w:r>
          </w:p>
        </w:tc>
        <w:tc>
          <w:tcPr>
            <w:tcW w:w="2360" w:type="dxa"/>
            <w:vAlign w:val="bottom"/>
          </w:tcPr>
          <w:p>
            <w:pPr>
              <w:jc w:val="right"/>
              <w:ind w:right="39"/>
              <w:spacing w:after="0"/>
              <w:rPr>
                <w:sz w:val="20"/>
                <w:szCs w:val="20"/>
                <w:color w:val="auto"/>
              </w:rPr>
            </w:pPr>
            <w:r>
              <w:rPr>
                <w:rFonts w:ascii="Arial" w:cs="Arial" w:eastAsia="Arial" w:hAnsi="Arial"/>
                <w:sz w:val="16"/>
                <w:szCs w:val="16"/>
                <w:color w:val="auto"/>
              </w:rPr>
              <w:t>13,181</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020" w:right="20" w:hanging="479"/>
        <w:spacing w:after="0" w:line="256" w:lineRule="auto"/>
        <w:tabs>
          <w:tab w:leader="none" w:pos="8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actual Adjusted EBITDA net of NCI for the year ended December 31, 2025 of $2.590 billion was publicly disclosed and reconciled to our reported 2025 net income attributable to UHS (of $1.489 billion) on the Schedule of Non-GAAP Supplemental Information, included with our earnings for the years ended December 31, 2025 and 2024, attached as Exhibit 99.1 to our Current Report on Form 8-K furnished with the SEC on February 26, 2026 (which exhibit is not incorporated by reference in, and is not part of, this proxy statement. Annex B contains the reconciliation of this non-GAAP financial measure to the financial measurement determined in accordance with GAAP.</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2026 PBRSUs:</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March 2026, based on information presented by FW Cook, the Compensation Committee decided that, commencing with the grants made on March 26, 2026, the number of PBRSUs earned will be based on the average performance over the three-year measurement period, rather than the performance being measured in the third year of the three-year measurement period. In addition, in order to more closely align with the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of our peer group companies, the payout for achievement of minimum performance (Adjusted EBITDA net of NCI of 90% of target) will remain unchanged at 50% of target, while the payout for achievement of maximum performance (Adjusted EBITDA net of NCI of 110% or greater of target) will increase to 200% of target, from 150% of target previously. No payout will be provided for performance that falls below minimum performance level (90% of target).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2020 Stock Incentive Plan:</w:t>
      </w:r>
    </w:p>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2020 Omnibus Stock and Incentive Plan (“2020 Stock Incentive Plan”) provides for the issuance of restricted stock, RSUs, PBRSUs, stock appreciation rights, incentive stock options and non-qualified stock options to purchase shares of our Class B Common Stock, including awards of performance-based stock options with premium exercise prices. The 2020 Stock Incentive Plan is intended to provide a flexible vehicle through which we may offer equity-based compensation incentives to our named executive officers and other eligible personnel in support of our compensation objectives. On January 17, 2024, the Board of Directors adopted an amendment of the amended and restated 2020 Omnibus Stock and Incentive Plan, which was approved by our stockholders at our 2024 Annual Meeting, which among other things increased the number of our Class B Common Stock that may be issued under the 2020 Stock Incentive Plan by 6.0 million (to 18.1 million shares from 12.1 million shares).</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Subject to the provisions of the 2020 Stock Incentive Plan, the Compensation Committee has the responsibility and full power and authority to select the persons to whom awards will be made, to prescribe the terms and conditions of each award and make amendments thereto, to construe, interpret and apply the provisions of the Stock Incentive Plan and of any agreement or other instrument evidencing an award and to make any and all determinations and take any and all other actions as it deems necessary or desirable in order to carry out the terms of the Stock Incentive Plan.</w:t>
      </w:r>
    </w:p>
    <w:p>
      <w:pPr>
        <w:spacing w:after="0" w:line="17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i w:val="1"/>
          <w:iCs w:val="1"/>
          <w:color w:val="auto"/>
        </w:rPr>
        <w:t>Restricted Stock Units and Restricted Stock</w:t>
      </w:r>
      <w:r>
        <w:rPr>
          <w:rFonts w:ascii="Arial" w:cs="Arial" w:eastAsia="Arial" w:hAnsi="Arial"/>
          <w:sz w:val="20"/>
          <w:szCs w:val="20"/>
          <w:color w:val="auto"/>
        </w:rPr>
        <w:t>: The 2020 Stock Incentive Plan provides for the grant of restricted units or shares of</w:t>
      </w:r>
      <w:r>
        <w:rPr>
          <w:rFonts w:ascii="Arial" w:cs="Arial" w:eastAsia="Arial" w:hAnsi="Arial"/>
          <w:sz w:val="20"/>
          <w:szCs w:val="20"/>
          <w:i w:val="1"/>
          <w:iCs w:val="1"/>
          <w:color w:val="auto"/>
        </w:rPr>
        <w:t xml:space="preserve"> </w:t>
      </w:r>
      <w:r>
        <w:rPr>
          <w:rFonts w:ascii="Arial" w:cs="Arial" w:eastAsia="Arial" w:hAnsi="Arial"/>
          <w:sz w:val="20"/>
          <w:szCs w:val="20"/>
          <w:color w:val="auto"/>
        </w:rPr>
        <w:t>our Class B Common Stock to eligible personnel for a purchase price equal to par value. Restricted units or shares of our Class B Common Stock can be granted under the 2020 Incentive Plan to our employees or consultants. Generally, our RSU awards vest ratably over four years and our PBRSUs, if the minimum pre-established threshold of Adjusted EBITDA net of NCI is achieved, cliff vest approximately three years from the date of grant. RSUs and PBRSUs awarded under the 2020 Stock Incentive Plan were granted by the Compensation Committee on specific dates that were scheduled in advance, which generally coincided with regularly scheduled meetings of the Compensation Committee and the Board of Directors. There is no separate policy with respect to the timing of RSU and PBRSU awards to our NEOs. RSU and PBRSU awards were granted to our NEOs at the same time as RSU awards were granted to our other employees. In certain circumstances, such as new hires or promotions, RSU awards were granted separately by the Compensation Committee or our Chief Executive Officer and Chief Financial Officer who are duly authorized by the Compensation Committee.</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Vesting conditions on units or shares issued under the 2020 Incentive Plan may consist of continuing employment for a specified period of time following the purchase date. Alternatively, or in addition, vesting may be tied to the satisfaction of specific performance objectives established by the Compensation Committee based upon any one or more of the business criteria used in determining the bonuses for our named executive officers, as mentioned above. We have the right to repurchase the shares for the same purchase price (par value) if specified vesting conditions are not met.</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Stock Options</w:t>
      </w:r>
      <w:r>
        <w:rPr>
          <w:rFonts w:ascii="Arial" w:cs="Arial" w:eastAsia="Arial" w:hAnsi="Arial"/>
          <w:sz w:val="20"/>
          <w:szCs w:val="20"/>
          <w:color w:val="auto"/>
        </w:rPr>
        <w:t>: There were no stock option awards issued during 2025 under the 2020 Stock Incentive Plan. Option awards</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2020 Stock Incentive Plan, which ceased in 2024, were granted by the Compensation Committee on specific dates that were scheduled in advance, which generally coincided with regularly scheduled meetings of the Compensation Committee and the Board of Directors. There was no separate policy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ind w:left="9300"/>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to the timing of option awards to our NEOs. Option awards were granted to our NEOs at the same time as option awards were granted to our other employees. Stock options have such vesting and other terms and conditions as the Compensation Committee, acting in its discretion, may determine. Generally, grants of stock options vest in equal amounts over four years, are scheduled to expire on the fifth anniversary of the date of grant and, unless otherwise determined, employees must be employed by us for such options to vest. The exercise price per share of Class B Common Stock covered by an option shall be any price determined by the Compensation Committee, but may not be less than 100% of the fair market value of the underlying Class B Common Stock on the date of grant (other than in the case of substitute awards as defined in the plan). The exercise price of incentive stock options shall not be less than 110% of the fair market value on the date of grant if the optionee owns, directly or indirectly, stock possessing more than 10% of the voting power of all classes of our stock. For purposes of the 2020 Stock Incentive Plan, unless otherwise determined by the Compensation Committee, the fair market value of a share of Class B Common Stock as of any given date is the closing sale price per share reported on a consolidated basis for securities listed on the principal stock exchange or market on which the Class B Common Stock is traded on the date as of which such value is being determined or, if there is no sale on that day, then on the next day on which a sale was reported.</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Deferred Compensation</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Our Deferred Compensation Plan, which is subject to the applicable provisions of Internal Revenue Code Section 409A, provides that eligible employees may elect to defer a portion of their base salary and bonus award into deferred compensation accounts that accrue earnings based upon the selection of available investment options. Under the Deferred Compensation Plan, an employee is deemed eligible if their base compensation for 2025 was $160,000 or higher and they are performing duties in a qualified position.</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base compensation threshold is adjusted from time-to-time for cost-of-living increases. Pursuant to the terms of the Deferred Compensation Plan, the minimum annual amount that can be deferred is 1% of an employee’s base salary. No more than 50% of an employee’s base salary or 95% of an employee’s annual bonus may be deferred under the Deferred Compensation Plan in any calendar year. Employees may allocate a portion of their deferred compensation to be distributed in a lump sum or installments to begin at retirement or a scheduled distribution date. The available investment options consist of certain mutual funds which include: (i) conservative (e.g. money markets or bonds); (ii) moderately conservative (e.g. balanced funds), and; (iii) aggressive (e.g. domestic and international equity).</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obligation to make payments of amounts credited to participants’ deferred compensation accounts is a general unsecured obligation. In addition, under the Deferred Compensation Plan, we may make discretionary contributions on behalf of an eligible employee. Since inception of the Deferred Compensation Plan, we have not made any discretionary contributions on behalf of employees. One of our named executive officers deferred a portion of his base salary and/or bonus paid during 2025 to the Deferred Compensation Plan. The Compensation Committee believes that, by offering an alternative savings vehicle for our named executive officers, the Deferred Compensation Plan supports our objectives to attract, retain and motivate talented personnel.</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For a further description of the Deferred Compensation Plan, please refer to </w:t>
      </w:r>
      <w:r>
        <w:rPr>
          <w:rFonts w:ascii="Arial" w:cs="Arial" w:eastAsia="Arial" w:hAnsi="Arial"/>
          <w:sz w:val="20"/>
          <w:szCs w:val="20"/>
          <w:i w:val="1"/>
          <w:iCs w:val="1"/>
          <w:color w:val="auto"/>
        </w:rPr>
        <w:t>the Nonqualified Deferred Compensation</w:t>
      </w:r>
      <w:r>
        <w:rPr>
          <w:rFonts w:ascii="Arial" w:cs="Arial" w:eastAsia="Arial" w:hAnsi="Arial"/>
          <w:sz w:val="20"/>
          <w:szCs w:val="20"/>
          <w:color w:val="auto"/>
        </w:rPr>
        <w:t xml:space="preserve"> table and the narrative discussion included in this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Retirement Benefits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retirement benefits consist of our Executive Retirement Income Plan, Supplemental Executive Retirement Income Plan and a 401(k) plan. These plans are designed in combination to provide an appropriate level of replacement income upon retirement. The Compensation Committee believes that these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provide a balanced and competitive retirement program and support our objectives to attract, retain and motivate talented personnel.</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Supplemental Executive Retirement Income Plan (“SERIP”).</w:t>
      </w:r>
    </w:p>
    <w:p>
      <w:pPr>
        <w:spacing w:after="0" w:line="94"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In July 2018, the Board of Directors adopted the SERIP. Pursuant to the terms of this plan, a select group of management or other highly compensated employees may be designated as plan participants. Our SERIP, which is subject to the applicable provisions of Internal Revenue Code Section 409A, provides eligible employees with annual employer contributions which are entirely at the Company’s discretion. Generally, each annual contribution vests on the earlier of: (i) the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the date of funding to the participant’s account, or; (ii) the participant attaining the qualified age of retirement (either age 62 or 65, as stipulated in the SERIP). The SERIP also provides for discretionary alternative vesting schedules for certain supplemental discretionary contributions made on an individual basis. Upon attaining the plan’s qualified age of retirement, distributions are paid in 10 annual installments to the participant upon retirement. Distributions due to events other than retirement are paid in a lump sum. Our obligation to fund payments to participants’ accounts pursuant to the SERIP is a general unsecured obligation. Four of our NEOs are participants in the SERIP.</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2018, upon commencement of the SERIP, certain participants of the Executive Retirement Income Plan (“ERIP”), who had not yet approached their qualified age of retirement, were given the option to remain in the ERIP or convert their participation into the SERIP. ERIP participants that elected to convert to the SERIP have been provided with an unfunded, lump sum conversion balance that was credited to the participant’s SERIP account. The unfunded ERIP conversion balances transferred to the SERIP, which were computed based upon the participant’s 2017 salary and will remain permanently unchanged after conversion, are payable over 60 monthly installments, if the participant attains their qualified age of retirement, as previously stipulated in the ERIP. If the participant does not attain their qualified age of retirement, the ERIP conversion balance is forfeited unless the Board of Directors, in its full discretion, determines otherwise. For ERIP participants who elected to convert to the SERIP, their participation in the ERIP was terminated upon conversion and no future benefits will be earned pursuant to the ERIP. SERIP participants who converted from the ERIP are entitled to future benefits pursuant to the terms of the SERIP.</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Executive Retirement Income Plan (“ERIP”).</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October 1993, the Board of Directors adopted the ERIP, which was subsequently closed to new participants effective January 1, 2015. Pursuant to the terms of the ERIP, certain management or other highly compensated employees, who had been previously designated as plan participants by our Board of Directors prior to December 31, 2014, and who had completed at least 10 years of active employment with us, may receive retirement income benefits.</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Subject to certain conditions, the monthly benefit is payable to a participant who retires after he or she reaches age 62 (applicable to participants added to the ERIP before 2008) or age 65 (applicable to participants added to the ERIP after January 1, 2008). The benefit is equal to 3% of the employee’s average monthly base salary over the three years preceding retirement multiplied by the number of qualified years (not to exceed 10) of the participant’s employment with us. Payment of the benefit will be made in 60 monthly installments following the participant’s retirement date. If a participant’s employment with us is terminated prior to their qualified age of retirement, no ERIP benefits will be payable unless the Board of Directors, in its full discretion, determines otherwise. In 2018, certain participants were transferred to the SERIP and were provided with an unfunded, lump sum conversion balance pursuant to the SERIP, as discussed above. Approximately four employees, including one of our named executive officers, remain as active participants in the ERIP.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ind w:left="9300"/>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 further description of the SERIP and ERIP, please refer to the </w:t>
      </w:r>
      <w:r>
        <w:rPr>
          <w:rFonts w:ascii="Arial" w:cs="Arial" w:eastAsia="Arial" w:hAnsi="Arial"/>
          <w:sz w:val="20"/>
          <w:szCs w:val="20"/>
          <w:i w:val="1"/>
          <w:iCs w:val="1"/>
          <w:color w:val="auto"/>
        </w:rPr>
        <w:t>Pension Benefits</w:t>
      </w:r>
      <w:r>
        <w:rPr>
          <w:rFonts w:ascii="Arial" w:cs="Arial" w:eastAsia="Arial" w:hAnsi="Arial"/>
          <w:sz w:val="20"/>
          <w:szCs w:val="20"/>
          <w:color w:val="auto"/>
        </w:rPr>
        <w:t xml:space="preserve"> included in this Proxy Statement.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401(k) Plan.</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maintain a 401(k) plan for all employees, including our named executive officers, as an additional source of retirement income. Pursuant to the 401(k) plan, in 2025, we made matching contributions (subject to highly compensated employee limits set by the Internal Revenue Code) to the 401(k) plan of approximately $88 million. All of the named executive officers participated in the 401(k) plan in 2025. Accordingly, we made matching contributions equal to $10,500 to the 401(k) plan for each of the participating named executives.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named executive officers are eligible to participate in the benefit plans generally available to all of our employees, which include health, dental, life insurance, vision and disability plans, all of which the Compensation Committee believes are commensurate with plans of other similarly situated public companies in the hospital management industry.</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auto"/>
        </w:rPr>
        <w:t>Company Aircraft</w:t>
      </w:r>
      <w:r>
        <w:rPr>
          <w:rFonts w:ascii="Arial" w:cs="Arial" w:eastAsia="Arial" w:hAnsi="Arial"/>
          <w:sz w:val="20"/>
          <w:szCs w:val="20"/>
          <w:color w:val="auto"/>
        </w:rPr>
        <w:t>. We have a partial ownership interest in a fixed wing aircraft that is available for business purpose use by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members of our management team, including our named executive officers, and for personal use by Messrs. Marc Miller and Alan Miller. In certain circumstances, when the aircraft is utilized for personal purposes by either individual and/or their family members, the incremental costs incurred, including the regular hourly charges, variable fuel charges and associated fees and taxes, are directly reimbursed to us by Messrs. Marc Miller and/or Alan Miller and therefore no imputed amounts are included in the </w:t>
      </w:r>
      <w:r>
        <w:rPr>
          <w:rFonts w:ascii="Arial" w:cs="Arial" w:eastAsia="Arial" w:hAnsi="Arial"/>
          <w:sz w:val="20"/>
          <w:szCs w:val="20"/>
          <w:i w:val="1"/>
          <w:iCs w:val="1"/>
          <w:color w:val="auto"/>
        </w:rPr>
        <w:t>Summary Compensation Table</w:t>
      </w:r>
      <w:r>
        <w:rPr>
          <w:rFonts w:ascii="Arial" w:cs="Arial" w:eastAsia="Arial" w:hAnsi="Arial"/>
          <w:sz w:val="20"/>
          <w:szCs w:val="20"/>
          <w:color w:val="auto"/>
        </w:rPr>
        <w:t>.</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 xml:space="preserve">Automobile. </w:t>
      </w:r>
      <w:r>
        <w:rPr>
          <w:rFonts w:ascii="Arial" w:cs="Arial" w:eastAsia="Arial" w:hAnsi="Arial"/>
          <w:sz w:val="20"/>
          <w:szCs w:val="20"/>
          <w:color w:val="auto"/>
        </w:rPr>
        <w:t>In 2024, we purchased a new vehicle utilized by Mr. Marc D. Miller, and simultaneously, his previous auto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allowance was discontinued. Included in the </w:t>
      </w:r>
      <w:r>
        <w:rPr>
          <w:rFonts w:ascii="Arial" w:cs="Arial" w:eastAsia="Arial" w:hAnsi="Arial"/>
          <w:sz w:val="20"/>
          <w:szCs w:val="20"/>
          <w:i w:val="1"/>
          <w:iCs w:val="1"/>
          <w:color w:val="auto"/>
        </w:rPr>
        <w:t>Summary Compensation Table</w:t>
      </w:r>
      <w:r>
        <w:rPr>
          <w:rFonts w:ascii="Arial" w:cs="Arial" w:eastAsia="Arial" w:hAnsi="Arial"/>
          <w:sz w:val="20"/>
          <w:szCs w:val="20"/>
          <w:color w:val="auto"/>
        </w:rPr>
        <w:t xml:space="preserve"> in “All other compensation” are the amounts related to his personal use of the vehicle purchased by us during 2024 and his previous auto allowance.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During 2023, we purchased a new vehicle utilized by Mr. Alan B. Miller, which replaced a similar vehicle purchased by us in 2019. Included in the </w:t>
      </w:r>
      <w:r>
        <w:rPr>
          <w:rFonts w:ascii="Arial" w:cs="Arial" w:eastAsia="Arial" w:hAnsi="Arial"/>
          <w:sz w:val="20"/>
          <w:szCs w:val="20"/>
          <w:i w:val="1"/>
          <w:iCs w:val="1"/>
          <w:color w:val="auto"/>
        </w:rPr>
        <w:t>Summary Compensation Table</w:t>
      </w:r>
      <w:r>
        <w:rPr>
          <w:rFonts w:ascii="Arial" w:cs="Arial" w:eastAsia="Arial" w:hAnsi="Arial"/>
          <w:sz w:val="20"/>
          <w:szCs w:val="20"/>
          <w:color w:val="auto"/>
        </w:rPr>
        <w:t xml:space="preserve"> in “All other compensation” are the amounts related to his personal use of the vehicles.</w:t>
      </w:r>
    </w:p>
    <w:p>
      <w:pPr>
        <w:spacing w:after="0" w:line="17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i w:val="1"/>
          <w:iCs w:val="1"/>
          <w:color w:val="auto"/>
        </w:rPr>
        <w:t>Reimbursement of Relocation Expenses</w:t>
      </w:r>
      <w:r>
        <w:rPr>
          <w:rFonts w:ascii="Arial" w:cs="Arial" w:eastAsia="Arial" w:hAnsi="Arial"/>
          <w:sz w:val="20"/>
          <w:szCs w:val="20"/>
          <w:color w:val="auto"/>
        </w:rPr>
        <w:t>. In the normal course of business, in an effort to satisfy our staffing needs with high-quality personnel and/or support the career development of an employee by enabling them to assume a position of broader scope and complexity, we may need to place an executive in a position in a geographic location which differs from that in which the individual resides. The relocation benefits for our executives are patterned on standard industry practices and are competitive in design. The provisions for relocation benefits are the same for several of the top layers of management and consistently administered. Included in the relocation benefits are reimbursements or direct payment to vendors for expenses that include items like a short duration house hunting trip, movement of household goods and personal items, short duration of interim living expenses and certain closing costs for the sale and purchase of a house. Relocation reimbursement that is taxable to the individual is typically grossed-up to cover the resulting incremental income tax expense.</w:t>
      </w:r>
    </w:p>
    <w:p>
      <w:pPr>
        <w:spacing w:after="0" w:line="176"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i w:val="1"/>
          <w:iCs w:val="1"/>
          <w:color w:val="auto"/>
        </w:rPr>
        <w:t>Other Perquisites</w:t>
      </w:r>
      <w:r>
        <w:rPr>
          <w:rFonts w:ascii="Arial" w:cs="Arial" w:eastAsia="Arial" w:hAnsi="Arial"/>
          <w:sz w:val="20"/>
          <w:szCs w:val="20"/>
          <w:color w:val="auto"/>
        </w:rPr>
        <w:t>. From time to time, we make tickets to cultural and sporting events available to our employees, including our</w:t>
      </w:r>
      <w:r>
        <w:rPr>
          <w:rFonts w:ascii="Arial" w:cs="Arial" w:eastAsia="Arial" w:hAnsi="Arial"/>
          <w:sz w:val="20"/>
          <w:szCs w:val="20"/>
          <w:i w:val="1"/>
          <w:iCs w:val="1"/>
          <w:color w:val="auto"/>
        </w:rPr>
        <w:t xml:space="preserve"> </w:t>
      </w:r>
      <w:r>
        <w:rPr>
          <w:rFonts w:ascii="Arial" w:cs="Arial" w:eastAsia="Arial" w:hAnsi="Arial"/>
          <w:sz w:val="20"/>
          <w:szCs w:val="20"/>
          <w:color w:val="auto"/>
        </w:rPr>
        <w:t>named executive officers, for business purposes. If not utilized for business purposes, the tickets are made available to our employees, including our named executive officers, for personal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i w:val="1"/>
          <w:iCs w:val="1"/>
          <w:color w:val="auto"/>
        </w:rPr>
        <w:t>Split-Dollar Life Insurance Agreements</w:t>
      </w:r>
      <w:r>
        <w:rPr>
          <w:rFonts w:ascii="Arial" w:cs="Arial" w:eastAsia="Arial" w:hAnsi="Arial"/>
          <w:sz w:val="20"/>
          <w:szCs w:val="20"/>
          <w:color w:val="auto"/>
        </w:rPr>
        <w:t>. In December 2010, our Board of Directors approved the Company’s entering into</w:t>
      </w:r>
      <w:r>
        <w:rPr>
          <w:rFonts w:ascii="Arial" w:cs="Arial" w:eastAsia="Arial" w:hAnsi="Arial"/>
          <w:sz w:val="20"/>
          <w:szCs w:val="20"/>
          <w:i w:val="1"/>
          <w:iCs w:val="1"/>
          <w:color w:val="auto"/>
        </w:rPr>
        <w:t xml:space="preserve"> </w:t>
      </w:r>
      <w:r>
        <w:rPr>
          <w:rFonts w:ascii="Arial" w:cs="Arial" w:eastAsia="Arial" w:hAnsi="Arial"/>
          <w:sz w:val="20"/>
          <w:szCs w:val="20"/>
          <w:color w:val="auto"/>
        </w:rPr>
        <w:t>supplemental life insurance plans and agreements on the lives of our Executive Chairman and his wife. As a result of these agreements, as amended in October 2016, based on actuarial tables and other assumptions, during the life expectancies of the insureds, we would pay approximately $28 million in premiums, and certain trusts owned by our Executive Chairman, would pay approximately $9 million in premiums. Based on the projected premiums mentioned above, and assuming the policies remain in effect until the death of the insureds, we will be entitled to receive death benefit proceeds of no less than approximately $ 37 million representing the $28 million of aggregate premiums paid by us as well as the $ 9 million of aggregate premiums paid by the trusts. In connection with these policies, we paid approximately $1.0 million, net, in premium payments during each of 2025 and 2024.</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The Compensation Committee has determined to offer the above-described fringe benefits and perquisites in order to attract and retain our named executive officers by offering compensation opportunities that are competitive. In determining the total compensation payable to our named executive officers, for a given fiscal year, the Compensation Committee considers such fringe benefits and perquisites. However, with the exception of the above-mentioned split dollar life insurance agreements related to Mr. Alan B. Miller, given the fact that such other fringe benefits and perquisites, which are available to our named executive officers, represent a relatively insignificant portion of their total compensation, they do not materially influence the decisions made by the Compensation Committee with respect to other elements of each individual’s total compensation. For a further description of the fringe benefits and perquisites received by our named executive officers during 2025, please refer to the </w:t>
      </w:r>
      <w:r>
        <w:rPr>
          <w:rFonts w:ascii="Arial" w:cs="Arial" w:eastAsia="Arial" w:hAnsi="Arial"/>
          <w:sz w:val="20"/>
          <w:szCs w:val="20"/>
          <w:i w:val="1"/>
          <w:iCs w:val="1"/>
          <w:color w:val="auto"/>
        </w:rPr>
        <w:t>All Other Compensation</w:t>
      </w:r>
      <w:r>
        <w:rPr>
          <w:rFonts w:ascii="Arial" w:cs="Arial" w:eastAsia="Arial" w:hAnsi="Arial"/>
          <w:sz w:val="20"/>
          <w:szCs w:val="20"/>
          <w:color w:val="auto"/>
        </w:rPr>
        <w:t xml:space="preserve"> table included in this Proxy Statement.</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i w:val="1"/>
          <w:iCs w:val="1"/>
          <w:color w:val="auto"/>
        </w:rPr>
        <w:t xml:space="preserve">Rewards/Compensation Risk Analysis: </w:t>
      </w:r>
      <w:r>
        <w:rPr>
          <w:rFonts w:ascii="Arial" w:cs="Arial" w:eastAsia="Arial" w:hAnsi="Arial"/>
          <w:sz w:val="19"/>
          <w:szCs w:val="19"/>
          <w:color w:val="auto"/>
        </w:rPr>
        <w:t>As part of its oversight of the Company’s executive compensation program,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Committee considers the impact of the Company’s executive compensation program, and the incentives created by the compensation awards that it administers, on the Company’s risk profile. In addition, the Company reviews all of its compensation policies and procedures, including the incentives that they create and factors that may reduce the likelihood of excessive risk taking, to determine whether they present a significant risk to the Company. The review found that there were no excessive risks encouraged by the Company’s reward programs and the rewards programs do not produce payments that have a material impact on the financial performance of the organization. Approximately 900 employees (including the named executive officers) of our approximate 65,000 full-time employees in the U.S. and U.K. (comprising approximately 1.4% of our full-time employees) have incentive plans that entitle those individuals to larger bonus awards if profitability increases. However, although the plans are based on profitability, the bonus awards for these employees are capped at specific award levels (typically at 125% or less of base salary). Therefore, should our profitability increase, even by significant amounts, we do not believe the additional aggregate bonus awards would have a material unfavorable impact on our future results of operations.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 xml:space="preserve">Policy on Hedging Transactions: </w:t>
      </w:r>
      <w:r>
        <w:rPr>
          <w:rFonts w:ascii="Arial" w:cs="Arial" w:eastAsia="Arial" w:hAnsi="Arial"/>
          <w:sz w:val="20"/>
          <w:szCs w:val="20"/>
          <w:color w:val="auto"/>
        </w:rPr>
        <w:t>The Company has a policy that prohibits employees and directors from engaging in any</w:t>
      </w:r>
      <w:r>
        <w:rPr>
          <w:rFonts w:ascii="Arial" w:cs="Arial" w:eastAsia="Arial" w:hAnsi="Arial"/>
          <w:sz w:val="20"/>
          <w:szCs w:val="20"/>
          <w:i w:val="1"/>
          <w:iCs w:val="1"/>
          <w:color w:val="auto"/>
        </w:rPr>
        <w:t xml:space="preserve"> </w:t>
      </w:r>
      <w:r>
        <w:rPr>
          <w:rFonts w:ascii="Arial" w:cs="Arial" w:eastAsia="Arial" w:hAnsi="Arial"/>
          <w:sz w:val="20"/>
          <w:szCs w:val="20"/>
          <w:color w:val="auto"/>
        </w:rPr>
        <w:t>hedging transaction that would result in lack of exposure to the full risks of stock ownership. Prohibited hedging transactions include, but are not limited to, collars, forward sale contracts, trading in publicly-traded options, puts, calls or other derivative instruments related to our common stock or debt.</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 xml:space="preserve">Clawbacks: </w:t>
      </w:r>
      <w:r>
        <w:rPr>
          <w:rFonts w:ascii="Arial" w:cs="Arial" w:eastAsia="Arial" w:hAnsi="Arial"/>
          <w:sz w:val="20"/>
          <w:szCs w:val="20"/>
          <w:color w:val="auto"/>
        </w:rPr>
        <w:t>In October, 2023, the Company adopted a clawback policy to align with listing rules adopted by NYSE as required</w:t>
      </w:r>
      <w:r>
        <w:rPr>
          <w:rFonts w:ascii="Arial" w:cs="Arial" w:eastAsia="Arial" w:hAnsi="Arial"/>
          <w:sz w:val="20"/>
          <w:szCs w:val="20"/>
          <w:i w:val="1"/>
          <w:iCs w:val="1"/>
          <w:color w:val="auto"/>
        </w:rPr>
        <w:t xml:space="preserve"> </w:t>
      </w:r>
      <w:r>
        <w:rPr>
          <w:rFonts w:ascii="Arial" w:cs="Arial" w:eastAsia="Arial" w:hAnsi="Arial"/>
          <w:sz w:val="20"/>
          <w:szCs w:val="20"/>
          <w:color w:val="auto"/>
        </w:rPr>
        <w:t>by the SEC. The policy applies to all executive officers (as defined under the applicable rules) and requires the Company to seek to recoup certain incentive-based compensation, whether cash or equity-based, from current or former officers and in the event that the Company is required to prepare an accounting restatement due to the material noncompliance of the Company with any financial reporting requirement under the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ind w:left="9300"/>
        <w:spacing w:after="0"/>
        <w:rPr>
          <w:sz w:val="20"/>
          <w:szCs w:val="20"/>
          <w:color w:val="auto"/>
        </w:rPr>
      </w:pPr>
      <w:r>
        <w:rPr>
          <w:rFonts w:ascii="Arial" w:cs="Arial" w:eastAsia="Arial" w:hAnsi="Arial"/>
          <w:sz w:val="16"/>
          <w:szCs w:val="16"/>
          <w:b w:val="1"/>
          <w:bCs w:val="1"/>
          <w:color w:val="0000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foregoing discussion describes the compensation objectives and policies that were utilized with respect to our NEOs during 2025. In the future, as the Compensation Committee continues to review each element of the executive compensation program with respect to our NEOs, the objectives of our executive compensation program, as well as the methods that the Compensation Committee utilizes to determine both the types and amounts of compensation to award to our NEOs, may change.</w:t>
      </w: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 Report</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Compensation Committee has reviewed and discussed the Compensation Discussion and Analysis with management; and based on the review and discussions, the Compensation Committee recommended to the Board of Directors that the Compensation Discussion and Analysis be included in this Proxy Statement.</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COMPENSATION COMMITTEE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Eileen C. McDonnell (Chairperson)</w:t>
      </w:r>
    </w:p>
    <w:p>
      <w:pPr>
        <w:spacing w:after="0" w:line="229" w:lineRule="auto"/>
        <w:rPr>
          <w:sz w:val="20"/>
          <w:szCs w:val="20"/>
          <w:color w:val="auto"/>
        </w:rPr>
      </w:pPr>
      <w:r>
        <w:rPr>
          <w:rFonts w:ascii="Arial" w:cs="Arial" w:eastAsia="Arial" w:hAnsi="Arial"/>
          <w:sz w:val="20"/>
          <w:szCs w:val="20"/>
          <w:color w:val="auto"/>
        </w:rPr>
        <w:t>Elliot J. Sussman, M.D.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Nina Chen-Langenmayr</w:t>
      </w:r>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 Interlocks and Insider Participation</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Compensation Committee of the Board of Directors is composed of Eileen C. McDonnell, Elliot J. Sussman, M.D. and Nina Chen-Langenmayr. All the members of the Compensation Committee are independent directors and no member has ever been one of our officers or employees or had a relationship with us that required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spacing w:after="0"/>
        <w:rPr>
          <w:sz w:val="20"/>
          <w:szCs w:val="20"/>
          <w:color w:val="auto"/>
        </w:rPr>
      </w:pPr>
      <w:r>
        <w:rPr>
          <w:rFonts w:ascii="Arial" w:cs="Arial" w:eastAsia="Arial" w:hAnsi="Arial"/>
          <w:sz w:val="40"/>
          <w:szCs w:val="40"/>
          <w:b w:val="1"/>
          <w:bCs w:val="1"/>
          <w:color w:val="052666"/>
        </w:rPr>
        <w:t>SUMMARY COMPENSATION TABLE</w:t>
      </w:r>
    </w:p>
    <w:p>
      <w:pPr>
        <w:spacing w:after="0" w:line="11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following table sets forth certain compensation information for our Chief Executive Officer, our Chief Financial Officer and the other most highly compensated executive officers for services rendered to UHS and its subsidiaries during the past three fiscal years. We refer to these officers collectively as our named executive officers (“NEOs”):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2"/>
              <w:spacing w:after="0"/>
              <w:rPr>
                <w:sz w:val="20"/>
                <w:szCs w:val="20"/>
                <w:color w:val="auto"/>
              </w:rPr>
            </w:pPr>
            <w:r>
              <w:rPr>
                <w:rFonts w:ascii="Arial" w:cs="Arial" w:eastAsia="Arial" w:hAnsi="Arial"/>
                <w:sz w:val="12"/>
                <w:szCs w:val="12"/>
                <w:b w:val="1"/>
                <w:bCs w:val="1"/>
                <w:color w:val="052666"/>
                <w:w w:val="96"/>
              </w:rPr>
              <w:t>Change in</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1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052666"/>
                <w:w w:val="97"/>
              </w:rPr>
              <w:t>Pension Value</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052666"/>
                <w:w w:val="93"/>
              </w:rPr>
              <w:t>and</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052666"/>
                <w:w w:val="97"/>
              </w:rPr>
              <w:t>Grant Date</w:t>
            </w:r>
          </w:p>
        </w:tc>
        <w:tc>
          <w:tcPr>
            <w:tcW w:w="160" w:type="dxa"/>
            <w:vAlign w:val="bottom"/>
          </w:tcPr>
          <w:p>
            <w:pPr>
              <w:spacing w:after="0"/>
              <w:rPr>
                <w:sz w:val="11"/>
                <w:szCs w:val="11"/>
                <w:color w:val="auto"/>
              </w:rPr>
            </w:pPr>
          </w:p>
        </w:tc>
        <w:tc>
          <w:tcPr>
            <w:tcW w:w="84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052666"/>
                <w:w w:val="94"/>
              </w:rPr>
              <w:t>Grant Date</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052666"/>
                <w:w w:val="99"/>
              </w:rPr>
              <w:t>Nonqualified</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052666"/>
                <w:w w:val="97"/>
              </w:rPr>
              <w:t>Fair Value</w:t>
            </w:r>
          </w:p>
        </w:tc>
        <w:tc>
          <w:tcPr>
            <w:tcW w:w="160" w:type="dxa"/>
            <w:vAlign w:val="bottom"/>
          </w:tcPr>
          <w:p>
            <w:pPr>
              <w:spacing w:after="0"/>
              <w:rPr>
                <w:sz w:val="11"/>
                <w:szCs w:val="11"/>
                <w:color w:val="auto"/>
              </w:rPr>
            </w:pPr>
          </w:p>
        </w:tc>
        <w:tc>
          <w:tcPr>
            <w:tcW w:w="840" w:type="dxa"/>
            <w:vAlign w:val="bottom"/>
          </w:tcPr>
          <w:p>
            <w:pPr>
              <w:jc w:val="center"/>
              <w:ind w:right="122"/>
              <w:spacing w:after="0" w:line="135" w:lineRule="exact"/>
              <w:rPr>
                <w:sz w:val="20"/>
                <w:szCs w:val="20"/>
                <w:color w:val="auto"/>
              </w:rPr>
            </w:pPr>
            <w:r>
              <w:rPr>
                <w:rFonts w:ascii="Arial" w:cs="Arial" w:eastAsia="Arial" w:hAnsi="Arial"/>
                <w:sz w:val="12"/>
                <w:szCs w:val="12"/>
                <w:b w:val="1"/>
                <w:bCs w:val="1"/>
                <w:color w:val="052666"/>
                <w:w w:val="94"/>
              </w:rPr>
              <w:t>Fair Value</w:t>
            </w:r>
          </w:p>
        </w:tc>
        <w:tc>
          <w:tcPr>
            <w:tcW w:w="120" w:type="dxa"/>
            <w:vAlign w:val="bottom"/>
          </w:tcPr>
          <w:p>
            <w:pPr>
              <w:spacing w:after="0"/>
              <w:rPr>
                <w:sz w:val="11"/>
                <w:szCs w:val="11"/>
                <w:color w:val="auto"/>
              </w:rPr>
            </w:pPr>
          </w:p>
        </w:tc>
        <w:tc>
          <w:tcPr>
            <w:tcW w:w="108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052666"/>
                <w:w w:val="96"/>
              </w:rPr>
              <w:t>Non-Equity</w:t>
            </w: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052666"/>
                <w:w w:val="97"/>
              </w:rPr>
              <w:t>Deferred</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0"/>
        </w:trPr>
        <w:tc>
          <w:tcPr>
            <w:tcW w:w="1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122"/>
              <w:spacing w:after="0" w:line="120" w:lineRule="exact"/>
              <w:rPr>
                <w:sz w:val="20"/>
                <w:szCs w:val="20"/>
                <w:color w:val="auto"/>
              </w:rPr>
            </w:pPr>
            <w:r>
              <w:rPr>
                <w:rFonts w:ascii="Arial" w:cs="Arial" w:eastAsia="Arial" w:hAnsi="Arial"/>
                <w:sz w:val="12"/>
                <w:szCs w:val="12"/>
                <w:b w:val="1"/>
                <w:bCs w:val="1"/>
                <w:color w:val="052666"/>
                <w:w w:val="97"/>
              </w:rPr>
              <w:t>Stock</w:t>
            </w:r>
          </w:p>
        </w:tc>
        <w:tc>
          <w:tcPr>
            <w:tcW w:w="160" w:type="dxa"/>
            <w:vAlign w:val="bottom"/>
          </w:tcPr>
          <w:p>
            <w:pPr>
              <w:spacing w:after="0"/>
              <w:rPr>
                <w:sz w:val="10"/>
                <w:szCs w:val="10"/>
                <w:color w:val="auto"/>
              </w:rPr>
            </w:pPr>
          </w:p>
        </w:tc>
        <w:tc>
          <w:tcPr>
            <w:tcW w:w="840" w:type="dxa"/>
            <w:vAlign w:val="bottom"/>
          </w:tcPr>
          <w:p>
            <w:pPr>
              <w:jc w:val="center"/>
              <w:ind w:right="122"/>
              <w:spacing w:after="0" w:line="120" w:lineRule="exact"/>
              <w:rPr>
                <w:sz w:val="20"/>
                <w:szCs w:val="20"/>
                <w:color w:val="auto"/>
              </w:rPr>
            </w:pPr>
            <w:r>
              <w:rPr>
                <w:rFonts w:ascii="Arial" w:cs="Arial" w:eastAsia="Arial" w:hAnsi="Arial"/>
                <w:sz w:val="12"/>
                <w:szCs w:val="12"/>
                <w:b w:val="1"/>
                <w:bCs w:val="1"/>
                <w:color w:val="052666"/>
                <w:w w:val="98"/>
              </w:rPr>
              <w:t>Option</w:t>
            </w:r>
          </w:p>
        </w:tc>
        <w:tc>
          <w:tcPr>
            <w:tcW w:w="120" w:type="dxa"/>
            <w:vAlign w:val="bottom"/>
          </w:tcPr>
          <w:p>
            <w:pPr>
              <w:spacing w:after="0"/>
              <w:rPr>
                <w:sz w:val="10"/>
                <w:szCs w:val="10"/>
                <w:color w:val="auto"/>
              </w:rPr>
            </w:pPr>
          </w:p>
        </w:tc>
        <w:tc>
          <w:tcPr>
            <w:tcW w:w="1080" w:type="dxa"/>
            <w:vAlign w:val="bottom"/>
          </w:tcPr>
          <w:p>
            <w:pPr>
              <w:jc w:val="center"/>
              <w:ind w:right="82"/>
              <w:spacing w:after="0" w:line="120" w:lineRule="exact"/>
              <w:rPr>
                <w:sz w:val="20"/>
                <w:szCs w:val="20"/>
                <w:color w:val="auto"/>
              </w:rPr>
            </w:pPr>
            <w:r>
              <w:rPr>
                <w:rFonts w:ascii="Arial" w:cs="Arial" w:eastAsia="Arial" w:hAnsi="Arial"/>
                <w:sz w:val="12"/>
                <w:szCs w:val="12"/>
                <w:b w:val="1"/>
                <w:bCs w:val="1"/>
                <w:color w:val="052666"/>
              </w:rPr>
              <w:t>Incentive Plan</w:t>
            </w:r>
          </w:p>
        </w:tc>
        <w:tc>
          <w:tcPr>
            <w:tcW w:w="140" w:type="dxa"/>
            <w:vAlign w:val="bottom"/>
          </w:tcPr>
          <w:p>
            <w:pPr>
              <w:spacing w:after="0"/>
              <w:rPr>
                <w:sz w:val="10"/>
                <w:szCs w:val="10"/>
                <w:color w:val="auto"/>
              </w:rPr>
            </w:pPr>
          </w:p>
        </w:tc>
        <w:tc>
          <w:tcPr>
            <w:tcW w:w="980" w:type="dxa"/>
            <w:vAlign w:val="bottom"/>
          </w:tcPr>
          <w:p>
            <w:pPr>
              <w:jc w:val="center"/>
              <w:ind w:right="82"/>
              <w:spacing w:after="0" w:line="120" w:lineRule="exact"/>
              <w:rPr>
                <w:sz w:val="20"/>
                <w:szCs w:val="20"/>
                <w:color w:val="auto"/>
              </w:rPr>
            </w:pPr>
            <w:r>
              <w:rPr>
                <w:rFonts w:ascii="Arial" w:cs="Arial" w:eastAsia="Arial" w:hAnsi="Arial"/>
                <w:sz w:val="12"/>
                <w:szCs w:val="12"/>
                <w:b w:val="1"/>
                <w:bCs w:val="1"/>
                <w:color w:val="052666"/>
                <w:w w:val="95"/>
              </w:rPr>
              <w:t>Compensation</w:t>
            </w:r>
          </w:p>
        </w:tc>
        <w:tc>
          <w:tcPr>
            <w:tcW w:w="140" w:type="dxa"/>
            <w:vAlign w:val="bottom"/>
          </w:tcPr>
          <w:p>
            <w:pPr>
              <w:spacing w:after="0"/>
              <w:rPr>
                <w:sz w:val="10"/>
                <w:szCs w:val="10"/>
                <w:color w:val="auto"/>
              </w:rPr>
            </w:pPr>
          </w:p>
        </w:tc>
        <w:tc>
          <w:tcPr>
            <w:tcW w:w="1140" w:type="dxa"/>
            <w:vAlign w:val="bottom"/>
          </w:tcPr>
          <w:p>
            <w:pPr>
              <w:jc w:val="center"/>
              <w:ind w:right="82"/>
              <w:spacing w:after="0" w:line="120" w:lineRule="exact"/>
              <w:rPr>
                <w:sz w:val="20"/>
                <w:szCs w:val="20"/>
                <w:color w:val="auto"/>
              </w:rPr>
            </w:pPr>
            <w:r>
              <w:rPr>
                <w:rFonts w:ascii="Arial" w:cs="Arial" w:eastAsia="Arial" w:hAnsi="Arial"/>
                <w:sz w:val="12"/>
                <w:szCs w:val="12"/>
                <w:b w:val="1"/>
                <w:bCs w:val="1"/>
                <w:color w:val="052666"/>
                <w:w w:val="94"/>
              </w:rPr>
              <w:t>All Other</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0"/>
        </w:trPr>
        <w:tc>
          <w:tcPr>
            <w:tcW w:w="1920" w:type="dxa"/>
            <w:vAlign w:val="bottom"/>
          </w:tcPr>
          <w:p>
            <w:pPr>
              <w:ind w:left="20"/>
              <w:spacing w:after="0"/>
              <w:rPr>
                <w:sz w:val="20"/>
                <w:szCs w:val="20"/>
                <w:color w:val="auto"/>
              </w:rPr>
            </w:pPr>
            <w:r>
              <w:rPr>
                <w:rFonts w:ascii="Arial" w:cs="Arial" w:eastAsia="Arial" w:hAnsi="Arial"/>
                <w:sz w:val="12"/>
                <w:szCs w:val="12"/>
                <w:b w:val="1"/>
                <w:bCs w:val="1"/>
                <w:color w:val="052666"/>
              </w:rPr>
              <w:t>Name and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22"/>
              <w:spacing w:after="0"/>
              <w:rPr>
                <w:sz w:val="20"/>
                <w:szCs w:val="20"/>
                <w:color w:val="auto"/>
              </w:rPr>
            </w:pPr>
            <w:r>
              <w:rPr>
                <w:rFonts w:ascii="Arial" w:cs="Arial" w:eastAsia="Arial" w:hAnsi="Arial"/>
                <w:sz w:val="12"/>
                <w:szCs w:val="12"/>
                <w:b w:val="1"/>
                <w:bCs w:val="1"/>
                <w:color w:val="052666"/>
              </w:rPr>
              <w:t>Salary</w:t>
            </w:r>
          </w:p>
        </w:tc>
        <w:tc>
          <w:tcPr>
            <w:tcW w:w="240" w:type="dxa"/>
            <w:vAlign w:val="bottom"/>
          </w:tcPr>
          <w:p>
            <w:pPr>
              <w:spacing w:after="0"/>
              <w:rPr>
                <w:sz w:val="13"/>
                <w:szCs w:val="13"/>
                <w:color w:val="auto"/>
              </w:rPr>
            </w:pPr>
          </w:p>
        </w:tc>
        <w:tc>
          <w:tcPr>
            <w:tcW w:w="800" w:type="dxa"/>
            <w:vAlign w:val="bottom"/>
          </w:tcPr>
          <w:p>
            <w:pPr>
              <w:jc w:val="right"/>
              <w:ind w:right="282"/>
              <w:spacing w:after="0"/>
              <w:rPr>
                <w:sz w:val="20"/>
                <w:szCs w:val="20"/>
                <w:color w:val="auto"/>
              </w:rPr>
            </w:pPr>
            <w:r>
              <w:rPr>
                <w:rFonts w:ascii="Arial" w:cs="Arial" w:eastAsia="Arial" w:hAnsi="Arial"/>
                <w:sz w:val="12"/>
                <w:szCs w:val="12"/>
                <w:b w:val="1"/>
                <w:bCs w:val="1"/>
                <w:color w:val="052666"/>
              </w:rPr>
              <w:t>Bonus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102"/>
              <w:spacing w:after="0" w:line="150" w:lineRule="exact"/>
              <w:rPr>
                <w:sz w:val="20"/>
                <w:szCs w:val="20"/>
                <w:color w:val="auto"/>
              </w:rPr>
            </w:pPr>
            <w:r>
              <w:rPr>
                <w:rFonts w:ascii="Arial" w:cs="Arial" w:eastAsia="Arial" w:hAnsi="Arial"/>
                <w:sz w:val="12"/>
                <w:szCs w:val="12"/>
                <w:b w:val="1"/>
                <w:bCs w:val="1"/>
                <w:color w:val="052666"/>
                <w:w w:val="92"/>
              </w:rPr>
              <w:t>Awards</w:t>
            </w:r>
            <w:r>
              <w:rPr>
                <w:rFonts w:ascii="Arial" w:cs="Arial" w:eastAsia="Arial" w:hAnsi="Arial"/>
                <w:sz w:val="15"/>
                <w:szCs w:val="15"/>
                <w:b w:val="1"/>
                <w:bCs w:val="1"/>
                <w:color w:val="052666"/>
                <w:w w:val="92"/>
                <w:vertAlign w:val="superscript"/>
              </w:rPr>
              <w:t>(1.)</w:t>
            </w:r>
          </w:p>
        </w:tc>
        <w:tc>
          <w:tcPr>
            <w:tcW w:w="160" w:type="dxa"/>
            <w:vAlign w:val="bottom"/>
          </w:tcPr>
          <w:p>
            <w:pPr>
              <w:spacing w:after="0"/>
              <w:rPr>
                <w:sz w:val="13"/>
                <w:szCs w:val="13"/>
                <w:color w:val="auto"/>
              </w:rPr>
            </w:pPr>
          </w:p>
        </w:tc>
        <w:tc>
          <w:tcPr>
            <w:tcW w:w="840" w:type="dxa"/>
            <w:vAlign w:val="bottom"/>
          </w:tcPr>
          <w:p>
            <w:pPr>
              <w:jc w:val="center"/>
              <w:ind w:right="122"/>
              <w:spacing w:after="0" w:line="150" w:lineRule="exact"/>
              <w:rPr>
                <w:sz w:val="20"/>
                <w:szCs w:val="20"/>
                <w:color w:val="auto"/>
              </w:rPr>
            </w:pPr>
            <w:r>
              <w:rPr>
                <w:rFonts w:ascii="Arial" w:cs="Arial" w:eastAsia="Arial" w:hAnsi="Arial"/>
                <w:sz w:val="12"/>
                <w:szCs w:val="12"/>
                <w:b w:val="1"/>
                <w:bCs w:val="1"/>
                <w:color w:val="052666"/>
                <w:w w:val="92"/>
              </w:rPr>
              <w:t>Awards</w:t>
            </w:r>
            <w:r>
              <w:rPr>
                <w:rFonts w:ascii="Arial" w:cs="Arial" w:eastAsia="Arial" w:hAnsi="Arial"/>
                <w:sz w:val="15"/>
                <w:szCs w:val="15"/>
                <w:b w:val="1"/>
                <w:bCs w:val="1"/>
                <w:color w:val="052666"/>
                <w:w w:val="92"/>
                <w:vertAlign w:val="superscript"/>
              </w:rPr>
              <w:t>(2.)</w:t>
            </w:r>
          </w:p>
        </w:tc>
        <w:tc>
          <w:tcPr>
            <w:tcW w:w="120" w:type="dxa"/>
            <w:vAlign w:val="bottom"/>
          </w:tcPr>
          <w:p>
            <w:pPr>
              <w:spacing w:after="0"/>
              <w:rPr>
                <w:sz w:val="13"/>
                <w:szCs w:val="13"/>
                <w:color w:val="auto"/>
              </w:rPr>
            </w:pPr>
          </w:p>
        </w:tc>
        <w:tc>
          <w:tcPr>
            <w:tcW w:w="1080" w:type="dxa"/>
            <w:vAlign w:val="bottom"/>
          </w:tcPr>
          <w:p>
            <w:pPr>
              <w:jc w:val="center"/>
              <w:ind w:right="62"/>
              <w:spacing w:after="0" w:line="150" w:lineRule="exact"/>
              <w:rPr>
                <w:sz w:val="20"/>
                <w:szCs w:val="20"/>
                <w:color w:val="auto"/>
              </w:rPr>
            </w:pPr>
            <w:r>
              <w:rPr>
                <w:rFonts w:ascii="Arial" w:cs="Arial" w:eastAsia="Arial" w:hAnsi="Arial"/>
                <w:sz w:val="12"/>
                <w:szCs w:val="12"/>
                <w:b w:val="1"/>
                <w:bCs w:val="1"/>
                <w:color w:val="052666"/>
                <w:w w:val="93"/>
              </w:rPr>
              <w:t>Compensation</w:t>
            </w:r>
            <w:r>
              <w:rPr>
                <w:rFonts w:ascii="Arial" w:cs="Arial" w:eastAsia="Arial" w:hAnsi="Arial"/>
                <w:sz w:val="15"/>
                <w:szCs w:val="15"/>
                <w:b w:val="1"/>
                <w:bCs w:val="1"/>
                <w:color w:val="052666"/>
                <w:w w:val="93"/>
                <w:vertAlign w:val="superscript"/>
              </w:rPr>
              <w:t>(3.)</w:t>
            </w:r>
          </w:p>
        </w:tc>
        <w:tc>
          <w:tcPr>
            <w:tcW w:w="140" w:type="dxa"/>
            <w:vAlign w:val="bottom"/>
          </w:tcPr>
          <w:p>
            <w:pPr>
              <w:spacing w:after="0"/>
              <w:rPr>
                <w:sz w:val="13"/>
                <w:szCs w:val="13"/>
                <w:color w:val="auto"/>
              </w:rPr>
            </w:pPr>
          </w:p>
        </w:tc>
        <w:tc>
          <w:tcPr>
            <w:tcW w:w="980" w:type="dxa"/>
            <w:vAlign w:val="bottom"/>
          </w:tcPr>
          <w:p>
            <w:pPr>
              <w:jc w:val="center"/>
              <w:ind w:right="102"/>
              <w:spacing w:after="0" w:line="150" w:lineRule="exact"/>
              <w:rPr>
                <w:sz w:val="20"/>
                <w:szCs w:val="20"/>
                <w:color w:val="auto"/>
              </w:rPr>
            </w:pPr>
            <w:r>
              <w:rPr>
                <w:rFonts w:ascii="Arial" w:cs="Arial" w:eastAsia="Arial" w:hAnsi="Arial"/>
                <w:sz w:val="12"/>
                <w:szCs w:val="12"/>
                <w:b w:val="1"/>
                <w:bCs w:val="1"/>
                <w:color w:val="052666"/>
                <w:w w:val="93"/>
              </w:rPr>
              <w:t>Earnings</w:t>
            </w:r>
            <w:r>
              <w:rPr>
                <w:rFonts w:ascii="Arial" w:cs="Arial" w:eastAsia="Arial" w:hAnsi="Arial"/>
                <w:sz w:val="15"/>
                <w:szCs w:val="15"/>
                <w:b w:val="1"/>
                <w:bCs w:val="1"/>
                <w:color w:val="052666"/>
                <w:w w:val="93"/>
                <w:vertAlign w:val="superscript"/>
              </w:rPr>
              <w:t>(4.)</w:t>
            </w:r>
          </w:p>
        </w:tc>
        <w:tc>
          <w:tcPr>
            <w:tcW w:w="140" w:type="dxa"/>
            <w:vAlign w:val="bottom"/>
          </w:tcPr>
          <w:p>
            <w:pPr>
              <w:spacing w:after="0"/>
              <w:rPr>
                <w:sz w:val="13"/>
                <w:szCs w:val="13"/>
                <w:color w:val="auto"/>
              </w:rPr>
            </w:pPr>
          </w:p>
        </w:tc>
        <w:tc>
          <w:tcPr>
            <w:tcW w:w="1140" w:type="dxa"/>
            <w:vAlign w:val="bottom"/>
          </w:tcPr>
          <w:p>
            <w:pPr>
              <w:jc w:val="center"/>
              <w:ind w:right="82"/>
              <w:spacing w:after="0" w:line="150" w:lineRule="exact"/>
              <w:rPr>
                <w:sz w:val="20"/>
                <w:szCs w:val="20"/>
                <w:color w:val="auto"/>
              </w:rPr>
            </w:pPr>
            <w:r>
              <w:rPr>
                <w:rFonts w:ascii="Arial" w:cs="Arial" w:eastAsia="Arial" w:hAnsi="Arial"/>
                <w:sz w:val="12"/>
                <w:szCs w:val="12"/>
                <w:b w:val="1"/>
                <w:bCs w:val="1"/>
                <w:color w:val="052666"/>
                <w:w w:val="93"/>
              </w:rPr>
              <w:t>Compensation</w:t>
            </w:r>
            <w:r>
              <w:rPr>
                <w:rFonts w:ascii="Arial" w:cs="Arial" w:eastAsia="Arial" w:hAnsi="Arial"/>
                <w:sz w:val="15"/>
                <w:szCs w:val="15"/>
                <w:b w:val="1"/>
                <w:bCs w:val="1"/>
                <w:color w:val="052666"/>
                <w:w w:val="93"/>
                <w:vertAlign w:val="superscript"/>
              </w:rPr>
              <w:t>(7.)</w:t>
            </w:r>
          </w:p>
        </w:tc>
        <w:tc>
          <w:tcPr>
            <w:tcW w:w="220" w:type="dxa"/>
            <w:vAlign w:val="bottom"/>
          </w:tcPr>
          <w:p>
            <w:pPr>
              <w:spacing w:after="0"/>
              <w:rPr>
                <w:sz w:val="13"/>
                <w:szCs w:val="13"/>
                <w:color w:val="auto"/>
              </w:rPr>
            </w:pPr>
          </w:p>
        </w:tc>
        <w:tc>
          <w:tcPr>
            <w:tcW w:w="780" w:type="dxa"/>
            <w:vAlign w:val="bottom"/>
          </w:tcPr>
          <w:p>
            <w:pPr>
              <w:jc w:val="right"/>
              <w:ind w:right="322"/>
              <w:spacing w:after="0"/>
              <w:rPr>
                <w:sz w:val="20"/>
                <w:szCs w:val="20"/>
                <w:color w:val="auto"/>
              </w:rPr>
            </w:pPr>
            <w:r>
              <w:rPr>
                <w:rFonts w:ascii="Arial" w:cs="Arial" w:eastAsia="Arial" w:hAnsi="Arial"/>
                <w:sz w:val="12"/>
                <w:szCs w:val="12"/>
                <w:b w:val="1"/>
                <w:bCs w:val="1"/>
                <w:color w:val="052666"/>
              </w:rPr>
              <w:t>Total</w:t>
            </w:r>
          </w:p>
        </w:tc>
      </w:tr>
      <w:tr>
        <w:trPr>
          <w:trHeight w:val="160"/>
        </w:trPr>
        <w:tc>
          <w:tcPr>
            <w:tcW w:w="1920" w:type="dxa"/>
            <w:vAlign w:val="bottom"/>
          </w:tcPr>
          <w:p>
            <w:pPr>
              <w:ind w:left="20"/>
              <w:spacing w:after="0"/>
              <w:rPr>
                <w:sz w:val="20"/>
                <w:szCs w:val="20"/>
                <w:color w:val="auto"/>
              </w:rPr>
            </w:pPr>
            <w:r>
              <w:rPr>
                <w:rFonts w:ascii="Arial" w:cs="Arial" w:eastAsia="Arial" w:hAnsi="Arial"/>
                <w:sz w:val="12"/>
                <w:szCs w:val="12"/>
                <w:b w:val="1"/>
                <w:bCs w:val="1"/>
                <w:color w:val="052666"/>
              </w:rPr>
              <w:t>Principal Position</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052666"/>
              </w:rPr>
              <w:t>Year</w:t>
            </w:r>
          </w:p>
        </w:tc>
        <w:tc>
          <w:tcPr>
            <w:tcW w:w="120" w:type="dxa"/>
            <w:vAlign w:val="bottom"/>
          </w:tcPr>
          <w:p>
            <w:pPr>
              <w:spacing w:after="0"/>
              <w:rPr>
                <w:sz w:val="13"/>
                <w:szCs w:val="13"/>
                <w:color w:val="auto"/>
              </w:rPr>
            </w:pPr>
          </w:p>
        </w:tc>
        <w:tc>
          <w:tcPr>
            <w:tcW w:w="720" w:type="dxa"/>
            <w:vAlign w:val="bottom"/>
          </w:tcPr>
          <w:p>
            <w:pPr>
              <w:jc w:val="right"/>
              <w:ind w:right="322"/>
              <w:spacing w:after="0"/>
              <w:rPr>
                <w:sz w:val="20"/>
                <w:szCs w:val="20"/>
                <w:color w:val="auto"/>
              </w:rPr>
            </w:pPr>
            <w:r>
              <w:rPr>
                <w:rFonts w:ascii="Arial" w:cs="Arial" w:eastAsia="Arial" w:hAnsi="Arial"/>
                <w:sz w:val="12"/>
                <w:szCs w:val="12"/>
                <w:b w:val="1"/>
                <w:bCs w:val="1"/>
                <w:color w:val="052666"/>
              </w:rPr>
              <w:t>($)</w:t>
            </w:r>
          </w:p>
        </w:tc>
        <w:tc>
          <w:tcPr>
            <w:tcW w:w="240" w:type="dxa"/>
            <w:vAlign w:val="bottom"/>
          </w:tcPr>
          <w:p>
            <w:pPr>
              <w:spacing w:after="0"/>
              <w:rPr>
                <w:sz w:val="13"/>
                <w:szCs w:val="13"/>
                <w:color w:val="auto"/>
              </w:rPr>
            </w:pPr>
          </w:p>
        </w:tc>
        <w:tc>
          <w:tcPr>
            <w:tcW w:w="800" w:type="dxa"/>
            <w:vAlign w:val="bottom"/>
          </w:tcPr>
          <w:p>
            <w:pPr>
              <w:jc w:val="right"/>
              <w:ind w:right="382"/>
              <w:spacing w:after="0"/>
              <w:rPr>
                <w:sz w:val="20"/>
                <w:szCs w:val="20"/>
                <w:color w:val="auto"/>
              </w:rPr>
            </w:pPr>
            <w:r>
              <w:rPr>
                <w:rFonts w:ascii="Arial" w:cs="Arial" w:eastAsia="Arial" w:hAnsi="Arial"/>
                <w:sz w:val="12"/>
                <w:szCs w:val="12"/>
                <w:b w:val="1"/>
                <w:bCs w:val="1"/>
                <w:color w:val="052666"/>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280"/>
              <w:spacing w:after="0"/>
              <w:rPr>
                <w:sz w:val="20"/>
                <w:szCs w:val="20"/>
                <w:color w:val="auto"/>
              </w:rPr>
            </w:pPr>
            <w:r>
              <w:rPr>
                <w:rFonts w:ascii="Arial" w:cs="Arial" w:eastAsia="Arial" w:hAnsi="Arial"/>
                <w:sz w:val="12"/>
                <w:szCs w:val="12"/>
                <w:b w:val="1"/>
                <w:bCs w:val="1"/>
                <w:color w:val="052666"/>
              </w:rPr>
              <w:t>($)</w:t>
            </w:r>
          </w:p>
        </w:tc>
        <w:tc>
          <w:tcPr>
            <w:tcW w:w="160" w:type="dxa"/>
            <w:vAlign w:val="bottom"/>
          </w:tcPr>
          <w:p>
            <w:pPr>
              <w:spacing w:after="0"/>
              <w:rPr>
                <w:sz w:val="13"/>
                <w:szCs w:val="13"/>
                <w:color w:val="auto"/>
              </w:rPr>
            </w:pPr>
          </w:p>
        </w:tc>
        <w:tc>
          <w:tcPr>
            <w:tcW w:w="840" w:type="dxa"/>
            <w:vAlign w:val="bottom"/>
          </w:tcPr>
          <w:p>
            <w:pPr>
              <w:jc w:val="center"/>
              <w:ind w:right="122"/>
              <w:spacing w:after="0"/>
              <w:rPr>
                <w:sz w:val="20"/>
                <w:szCs w:val="20"/>
                <w:color w:val="auto"/>
              </w:rPr>
            </w:pPr>
            <w:r>
              <w:rPr>
                <w:rFonts w:ascii="Arial" w:cs="Arial" w:eastAsia="Arial" w:hAnsi="Arial"/>
                <w:sz w:val="12"/>
                <w:szCs w:val="12"/>
                <w:b w:val="1"/>
                <w:bCs w:val="1"/>
                <w:color w:val="052666"/>
                <w:w w:val="95"/>
              </w:rPr>
              <w:t>($)</w:t>
            </w:r>
          </w:p>
        </w:tc>
        <w:tc>
          <w:tcPr>
            <w:tcW w:w="120" w:type="dxa"/>
            <w:vAlign w:val="bottom"/>
          </w:tcPr>
          <w:p>
            <w:pPr>
              <w:spacing w:after="0"/>
              <w:rPr>
                <w:sz w:val="13"/>
                <w:szCs w:val="13"/>
                <w:color w:val="auto"/>
              </w:rPr>
            </w:pPr>
          </w:p>
        </w:tc>
        <w:tc>
          <w:tcPr>
            <w:tcW w:w="1080" w:type="dxa"/>
            <w:vAlign w:val="bottom"/>
          </w:tcPr>
          <w:p>
            <w:pPr>
              <w:jc w:val="center"/>
              <w:ind w:right="82"/>
              <w:spacing w:after="0"/>
              <w:rPr>
                <w:sz w:val="20"/>
                <w:szCs w:val="20"/>
                <w:color w:val="auto"/>
              </w:rPr>
            </w:pPr>
            <w:r>
              <w:rPr>
                <w:rFonts w:ascii="Arial" w:cs="Arial" w:eastAsia="Arial" w:hAnsi="Arial"/>
                <w:sz w:val="12"/>
                <w:szCs w:val="12"/>
                <w:b w:val="1"/>
                <w:bCs w:val="1"/>
                <w:color w:val="052666"/>
                <w:w w:val="95"/>
              </w:rPr>
              <w:t>($)</w:t>
            </w:r>
          </w:p>
        </w:tc>
        <w:tc>
          <w:tcPr>
            <w:tcW w:w="140" w:type="dxa"/>
            <w:vAlign w:val="bottom"/>
          </w:tcPr>
          <w:p>
            <w:pPr>
              <w:spacing w:after="0"/>
              <w:rPr>
                <w:sz w:val="13"/>
                <w:szCs w:val="13"/>
                <w:color w:val="auto"/>
              </w:rPr>
            </w:pPr>
          </w:p>
        </w:tc>
        <w:tc>
          <w:tcPr>
            <w:tcW w:w="980" w:type="dxa"/>
            <w:vAlign w:val="bottom"/>
          </w:tcPr>
          <w:p>
            <w:pPr>
              <w:jc w:val="center"/>
              <w:ind w:right="82"/>
              <w:spacing w:after="0"/>
              <w:rPr>
                <w:sz w:val="20"/>
                <w:szCs w:val="20"/>
                <w:color w:val="auto"/>
              </w:rPr>
            </w:pPr>
            <w:r>
              <w:rPr>
                <w:rFonts w:ascii="Arial" w:cs="Arial" w:eastAsia="Arial" w:hAnsi="Arial"/>
                <w:sz w:val="12"/>
                <w:szCs w:val="12"/>
                <w:b w:val="1"/>
                <w:bCs w:val="1"/>
                <w:color w:val="052666"/>
              </w:rPr>
              <w:t>($)</w:t>
            </w:r>
          </w:p>
        </w:tc>
        <w:tc>
          <w:tcPr>
            <w:tcW w:w="140" w:type="dxa"/>
            <w:vAlign w:val="bottom"/>
          </w:tcPr>
          <w:p>
            <w:pPr>
              <w:spacing w:after="0"/>
              <w:rPr>
                <w:sz w:val="13"/>
                <w:szCs w:val="13"/>
                <w:color w:val="auto"/>
              </w:rPr>
            </w:pPr>
          </w:p>
        </w:tc>
        <w:tc>
          <w:tcPr>
            <w:tcW w:w="1140" w:type="dxa"/>
            <w:vAlign w:val="bottom"/>
          </w:tcPr>
          <w:p>
            <w:pPr>
              <w:jc w:val="center"/>
              <w:ind w:right="82"/>
              <w:spacing w:after="0"/>
              <w:rPr>
                <w:sz w:val="20"/>
                <w:szCs w:val="20"/>
                <w:color w:val="auto"/>
              </w:rPr>
            </w:pPr>
            <w:r>
              <w:rPr>
                <w:rFonts w:ascii="Arial" w:cs="Arial" w:eastAsia="Arial" w:hAnsi="Arial"/>
                <w:sz w:val="12"/>
                <w:szCs w:val="12"/>
                <w:b w:val="1"/>
                <w:bCs w:val="1"/>
                <w:color w:val="052666"/>
              </w:rPr>
              <w:t>($)</w:t>
            </w:r>
          </w:p>
        </w:tc>
        <w:tc>
          <w:tcPr>
            <w:tcW w:w="220" w:type="dxa"/>
            <w:vAlign w:val="bottom"/>
          </w:tcPr>
          <w:p>
            <w:pPr>
              <w:spacing w:after="0"/>
              <w:rPr>
                <w:sz w:val="13"/>
                <w:szCs w:val="13"/>
                <w:color w:val="auto"/>
              </w:rPr>
            </w:pPr>
          </w:p>
        </w:tc>
        <w:tc>
          <w:tcPr>
            <w:tcW w:w="780" w:type="dxa"/>
            <w:vAlign w:val="bottom"/>
          </w:tcPr>
          <w:p>
            <w:pPr>
              <w:jc w:val="right"/>
              <w:ind w:right="402"/>
              <w:spacing w:after="0"/>
              <w:rPr>
                <w:sz w:val="20"/>
                <w:szCs w:val="20"/>
                <w:color w:val="auto"/>
              </w:rPr>
            </w:pPr>
            <w:r>
              <w:rPr>
                <w:rFonts w:ascii="Arial" w:cs="Arial" w:eastAsia="Arial" w:hAnsi="Arial"/>
                <w:sz w:val="12"/>
                <w:szCs w:val="12"/>
                <w:b w:val="1"/>
                <w:bCs w:val="1"/>
                <w:color w:val="052666"/>
              </w:rPr>
              <w:t>($)</w:t>
            </w:r>
          </w:p>
        </w:tc>
      </w:tr>
      <w:tr>
        <w:trPr>
          <w:trHeight w:val="120"/>
        </w:trPr>
        <w:tc>
          <w:tcPr>
            <w:tcW w:w="1920" w:type="dxa"/>
            <w:vAlign w:val="bottom"/>
            <w:tcBorders>
              <w:bottom w:val="single" w:sz="8" w:color="052666"/>
            </w:tcBorders>
          </w:tcPr>
          <w:p>
            <w:pPr>
              <w:spacing w:after="0"/>
              <w:rPr>
                <w:sz w:val="10"/>
                <w:szCs w:val="10"/>
                <w:color w:val="auto"/>
              </w:rPr>
            </w:pPr>
          </w:p>
        </w:tc>
        <w:tc>
          <w:tcPr>
            <w:tcW w:w="580" w:type="dxa"/>
            <w:vAlign w:val="bottom"/>
            <w:tcBorders>
              <w:bottom w:val="single" w:sz="8" w:color="052666"/>
            </w:tcBorders>
          </w:tcPr>
          <w:p>
            <w:pPr>
              <w:spacing w:after="0"/>
              <w:rPr>
                <w:sz w:val="10"/>
                <w:szCs w:val="10"/>
                <w:color w:val="auto"/>
              </w:rPr>
            </w:pPr>
          </w:p>
        </w:tc>
        <w:tc>
          <w:tcPr>
            <w:tcW w:w="120" w:type="dxa"/>
            <w:vAlign w:val="bottom"/>
            <w:tcBorders>
              <w:bottom w:val="single" w:sz="8" w:color="052666"/>
            </w:tcBorders>
          </w:tcPr>
          <w:p>
            <w:pPr>
              <w:spacing w:after="0"/>
              <w:rPr>
                <w:sz w:val="10"/>
                <w:szCs w:val="10"/>
                <w:color w:val="auto"/>
              </w:rPr>
            </w:pPr>
          </w:p>
        </w:tc>
        <w:tc>
          <w:tcPr>
            <w:tcW w:w="720" w:type="dxa"/>
            <w:vAlign w:val="bottom"/>
            <w:tcBorders>
              <w:bottom w:val="single" w:sz="8" w:color="052666"/>
            </w:tcBorders>
          </w:tcPr>
          <w:p>
            <w:pPr>
              <w:spacing w:after="0"/>
              <w:rPr>
                <w:sz w:val="10"/>
                <w:szCs w:val="10"/>
                <w:color w:val="auto"/>
              </w:rPr>
            </w:pPr>
          </w:p>
        </w:tc>
        <w:tc>
          <w:tcPr>
            <w:tcW w:w="240" w:type="dxa"/>
            <w:vAlign w:val="bottom"/>
            <w:tcBorders>
              <w:bottom w:val="single" w:sz="8" w:color="052666"/>
            </w:tcBorders>
          </w:tcPr>
          <w:p>
            <w:pPr>
              <w:spacing w:after="0"/>
              <w:rPr>
                <w:sz w:val="10"/>
                <w:szCs w:val="10"/>
                <w:color w:val="auto"/>
              </w:rPr>
            </w:pPr>
          </w:p>
        </w:tc>
        <w:tc>
          <w:tcPr>
            <w:tcW w:w="800" w:type="dxa"/>
            <w:vAlign w:val="bottom"/>
            <w:tcBorders>
              <w:bottom w:val="single" w:sz="8" w:color="052666"/>
            </w:tcBorders>
          </w:tcPr>
          <w:p>
            <w:pPr>
              <w:spacing w:after="0"/>
              <w:rPr>
                <w:sz w:val="10"/>
                <w:szCs w:val="10"/>
                <w:color w:val="auto"/>
              </w:rPr>
            </w:pPr>
          </w:p>
        </w:tc>
        <w:tc>
          <w:tcPr>
            <w:tcW w:w="280" w:type="dxa"/>
            <w:vAlign w:val="bottom"/>
            <w:tcBorders>
              <w:bottom w:val="single" w:sz="8" w:color="052666"/>
            </w:tcBorders>
          </w:tcPr>
          <w:p>
            <w:pPr>
              <w:spacing w:after="0"/>
              <w:rPr>
                <w:sz w:val="10"/>
                <w:szCs w:val="10"/>
                <w:color w:val="auto"/>
              </w:rPr>
            </w:pPr>
          </w:p>
        </w:tc>
        <w:tc>
          <w:tcPr>
            <w:tcW w:w="120" w:type="dxa"/>
            <w:vAlign w:val="bottom"/>
            <w:tcBorders>
              <w:bottom w:val="single" w:sz="8" w:color="052666"/>
            </w:tcBorders>
          </w:tcPr>
          <w:p>
            <w:pPr>
              <w:spacing w:after="0"/>
              <w:rPr>
                <w:sz w:val="10"/>
                <w:szCs w:val="10"/>
                <w:color w:val="auto"/>
              </w:rPr>
            </w:pPr>
          </w:p>
        </w:tc>
        <w:tc>
          <w:tcPr>
            <w:tcW w:w="860" w:type="dxa"/>
            <w:vAlign w:val="bottom"/>
            <w:tcBorders>
              <w:bottom w:val="single" w:sz="8" w:color="052666"/>
            </w:tcBorders>
          </w:tcPr>
          <w:p>
            <w:pPr>
              <w:spacing w:after="0"/>
              <w:rPr>
                <w:sz w:val="10"/>
                <w:szCs w:val="10"/>
                <w:color w:val="auto"/>
              </w:rPr>
            </w:pPr>
          </w:p>
        </w:tc>
        <w:tc>
          <w:tcPr>
            <w:tcW w:w="160" w:type="dxa"/>
            <w:vAlign w:val="bottom"/>
            <w:tcBorders>
              <w:bottom w:val="single" w:sz="8" w:color="052666"/>
            </w:tcBorders>
          </w:tcPr>
          <w:p>
            <w:pPr>
              <w:spacing w:after="0"/>
              <w:rPr>
                <w:sz w:val="10"/>
                <w:szCs w:val="10"/>
                <w:color w:val="auto"/>
              </w:rPr>
            </w:pPr>
          </w:p>
        </w:tc>
        <w:tc>
          <w:tcPr>
            <w:tcW w:w="840" w:type="dxa"/>
            <w:vAlign w:val="bottom"/>
            <w:tcBorders>
              <w:bottom w:val="single" w:sz="8" w:color="052666"/>
            </w:tcBorders>
          </w:tcPr>
          <w:p>
            <w:pPr>
              <w:spacing w:after="0"/>
              <w:rPr>
                <w:sz w:val="10"/>
                <w:szCs w:val="10"/>
                <w:color w:val="auto"/>
              </w:rPr>
            </w:pPr>
          </w:p>
        </w:tc>
        <w:tc>
          <w:tcPr>
            <w:tcW w:w="120" w:type="dxa"/>
            <w:vAlign w:val="bottom"/>
            <w:tcBorders>
              <w:bottom w:val="single" w:sz="8" w:color="052666"/>
            </w:tcBorders>
          </w:tcPr>
          <w:p>
            <w:pPr>
              <w:spacing w:after="0"/>
              <w:rPr>
                <w:sz w:val="10"/>
                <w:szCs w:val="10"/>
                <w:color w:val="auto"/>
              </w:rPr>
            </w:pPr>
          </w:p>
        </w:tc>
        <w:tc>
          <w:tcPr>
            <w:tcW w:w="1080" w:type="dxa"/>
            <w:vAlign w:val="bottom"/>
            <w:tcBorders>
              <w:bottom w:val="single" w:sz="8" w:color="052666"/>
            </w:tcBorders>
          </w:tcPr>
          <w:p>
            <w:pPr>
              <w:spacing w:after="0"/>
              <w:rPr>
                <w:sz w:val="10"/>
                <w:szCs w:val="10"/>
                <w:color w:val="auto"/>
              </w:rPr>
            </w:pPr>
          </w:p>
        </w:tc>
        <w:tc>
          <w:tcPr>
            <w:tcW w:w="140" w:type="dxa"/>
            <w:vAlign w:val="bottom"/>
            <w:tcBorders>
              <w:bottom w:val="single" w:sz="8" w:color="052666"/>
            </w:tcBorders>
          </w:tcPr>
          <w:p>
            <w:pPr>
              <w:spacing w:after="0"/>
              <w:rPr>
                <w:sz w:val="10"/>
                <w:szCs w:val="10"/>
                <w:color w:val="auto"/>
              </w:rPr>
            </w:pPr>
          </w:p>
        </w:tc>
        <w:tc>
          <w:tcPr>
            <w:tcW w:w="980" w:type="dxa"/>
            <w:vAlign w:val="bottom"/>
            <w:tcBorders>
              <w:bottom w:val="single" w:sz="8" w:color="052666"/>
            </w:tcBorders>
          </w:tcPr>
          <w:p>
            <w:pPr>
              <w:spacing w:after="0"/>
              <w:rPr>
                <w:sz w:val="10"/>
                <w:szCs w:val="10"/>
                <w:color w:val="auto"/>
              </w:rPr>
            </w:pPr>
          </w:p>
        </w:tc>
        <w:tc>
          <w:tcPr>
            <w:tcW w:w="140" w:type="dxa"/>
            <w:vAlign w:val="bottom"/>
            <w:tcBorders>
              <w:bottom w:val="single" w:sz="8" w:color="052666"/>
            </w:tcBorders>
          </w:tcPr>
          <w:p>
            <w:pPr>
              <w:spacing w:after="0"/>
              <w:rPr>
                <w:sz w:val="10"/>
                <w:szCs w:val="10"/>
                <w:color w:val="auto"/>
              </w:rPr>
            </w:pPr>
          </w:p>
        </w:tc>
        <w:tc>
          <w:tcPr>
            <w:tcW w:w="1140" w:type="dxa"/>
            <w:vAlign w:val="bottom"/>
            <w:tcBorders>
              <w:bottom w:val="single" w:sz="8" w:color="052666"/>
            </w:tcBorders>
          </w:tcPr>
          <w:p>
            <w:pPr>
              <w:spacing w:after="0"/>
              <w:rPr>
                <w:sz w:val="10"/>
                <w:szCs w:val="10"/>
                <w:color w:val="auto"/>
              </w:rPr>
            </w:pPr>
          </w:p>
        </w:tc>
        <w:tc>
          <w:tcPr>
            <w:tcW w:w="220" w:type="dxa"/>
            <w:vAlign w:val="bottom"/>
            <w:tcBorders>
              <w:bottom w:val="single" w:sz="8" w:color="052666"/>
            </w:tcBorders>
          </w:tcPr>
          <w:p>
            <w:pPr>
              <w:spacing w:after="0"/>
              <w:rPr>
                <w:sz w:val="10"/>
                <w:szCs w:val="10"/>
                <w:color w:val="auto"/>
              </w:rPr>
            </w:pPr>
          </w:p>
        </w:tc>
        <w:tc>
          <w:tcPr>
            <w:tcW w:w="780" w:type="dxa"/>
            <w:vAlign w:val="bottom"/>
            <w:tcBorders>
              <w:bottom w:val="single" w:sz="8" w:color="052666"/>
            </w:tcBorders>
          </w:tcPr>
          <w:p>
            <w:pPr>
              <w:spacing w:after="0"/>
              <w:rPr>
                <w:sz w:val="10"/>
                <w:szCs w:val="10"/>
                <w:color w:val="auto"/>
              </w:rPr>
            </w:pPr>
          </w:p>
        </w:tc>
      </w:tr>
      <w:tr>
        <w:trPr>
          <w:trHeight w:val="263"/>
        </w:trPr>
        <w:tc>
          <w:tcPr>
            <w:tcW w:w="1920" w:type="dxa"/>
            <w:vAlign w:val="bottom"/>
            <w:shd w:val="clear" w:color="auto" w:fill="EDEDED"/>
          </w:tcPr>
          <w:p>
            <w:pPr>
              <w:ind w:left="20"/>
              <w:spacing w:after="0"/>
              <w:rPr>
                <w:sz w:val="20"/>
                <w:szCs w:val="20"/>
                <w:color w:val="auto"/>
              </w:rPr>
            </w:pPr>
            <w:r>
              <w:rPr>
                <w:rFonts w:ascii="Arial" w:cs="Arial" w:eastAsia="Arial" w:hAnsi="Arial"/>
                <w:sz w:val="12"/>
                <w:szCs w:val="12"/>
                <w:b w:val="1"/>
                <w:bCs w:val="1"/>
                <w:color w:val="auto"/>
              </w:rPr>
              <w:t>Marc D. Miller,</w:t>
            </w:r>
          </w:p>
        </w:tc>
        <w:tc>
          <w:tcPr>
            <w:tcW w:w="580" w:type="dxa"/>
            <w:vAlign w:val="bottom"/>
            <w:shd w:val="clear" w:color="auto" w:fill="EDEDED"/>
          </w:tcPr>
          <w:p>
            <w:pPr>
              <w:ind w:left="160"/>
              <w:spacing w:after="0"/>
              <w:rPr>
                <w:sz w:val="20"/>
                <w:szCs w:val="20"/>
                <w:color w:val="auto"/>
              </w:rPr>
            </w:pPr>
            <w:r>
              <w:rPr>
                <w:rFonts w:ascii="Arial" w:cs="Arial" w:eastAsia="Arial" w:hAnsi="Arial"/>
                <w:sz w:val="12"/>
                <w:szCs w:val="12"/>
                <w:color w:val="auto"/>
              </w:rPr>
              <w:t>2025</w:t>
            </w:r>
          </w:p>
        </w:tc>
        <w:tc>
          <w:tcPr>
            <w:tcW w:w="120" w:type="dxa"/>
            <w:vAlign w:val="bottom"/>
            <w:shd w:val="clear" w:color="auto" w:fill="EDEDED"/>
          </w:tcPr>
          <w:p>
            <w:pPr>
              <w:jc w:val="right"/>
              <w:ind w:right="1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1,430,769</w:t>
            </w:r>
          </w:p>
        </w:tc>
        <w:tc>
          <w:tcPr>
            <w:tcW w:w="240" w:type="dxa"/>
            <w:vAlign w:val="bottom"/>
            <w:shd w:val="clear" w:color="auto" w:fill="EDEDED"/>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EDEDED"/>
          </w:tcPr>
          <w:p>
            <w:pPr>
              <w:spacing w:after="0"/>
              <w:rPr>
                <w:sz w:val="22"/>
                <w:szCs w:val="22"/>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DEDED"/>
          </w:tcPr>
          <w:p>
            <w:pPr>
              <w:ind w:left="280"/>
              <w:spacing w:after="0"/>
              <w:rPr>
                <w:sz w:val="20"/>
                <w:szCs w:val="20"/>
                <w:color w:val="auto"/>
              </w:rPr>
            </w:pPr>
            <w:r>
              <w:rPr>
                <w:rFonts w:ascii="Arial" w:cs="Arial" w:eastAsia="Arial" w:hAnsi="Arial"/>
                <w:sz w:val="12"/>
                <w:szCs w:val="12"/>
                <w:color w:val="auto"/>
              </w:rPr>
              <w:t>9,999,904</w:t>
            </w:r>
          </w:p>
        </w:tc>
        <w:tc>
          <w:tcPr>
            <w:tcW w:w="16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EDEDED"/>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4,292,307</w:t>
            </w:r>
          </w:p>
        </w:tc>
        <w:tc>
          <w:tcPr>
            <w:tcW w:w="14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84,369</w:t>
            </w:r>
          </w:p>
        </w:tc>
        <w:tc>
          <w:tcPr>
            <w:tcW w:w="14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341,588</w:t>
            </w:r>
          </w:p>
        </w:tc>
        <w:tc>
          <w:tcPr>
            <w:tcW w:w="220" w:type="dxa"/>
            <w:vAlign w:val="bottom"/>
            <w:shd w:val="clear" w:color="auto" w:fill="EDEDED"/>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EDEDED"/>
          </w:tcPr>
          <w:p>
            <w:pPr>
              <w:jc w:val="right"/>
              <w:ind w:right="62"/>
              <w:spacing w:after="0"/>
              <w:rPr>
                <w:sz w:val="20"/>
                <w:szCs w:val="20"/>
                <w:color w:val="auto"/>
              </w:rPr>
            </w:pPr>
            <w:r>
              <w:rPr>
                <w:rFonts w:ascii="Arial" w:cs="Arial" w:eastAsia="Arial" w:hAnsi="Arial"/>
                <w:sz w:val="12"/>
                <w:szCs w:val="12"/>
                <w:color w:val="auto"/>
              </w:rPr>
              <w:t>16,148,937</w:t>
            </w:r>
          </w:p>
        </w:tc>
      </w:tr>
      <w:tr>
        <w:trPr>
          <w:trHeight w:val="135"/>
        </w:trPr>
        <w:tc>
          <w:tcPr>
            <w:tcW w:w="1920" w:type="dxa"/>
            <w:vAlign w:val="bottom"/>
            <w:shd w:val="clear" w:color="auto" w:fill="EDEDED"/>
          </w:tcPr>
          <w:p>
            <w:pPr>
              <w:ind w:left="20"/>
              <w:spacing w:after="0" w:line="135" w:lineRule="exact"/>
              <w:rPr>
                <w:sz w:val="20"/>
                <w:szCs w:val="20"/>
                <w:color w:val="auto"/>
              </w:rPr>
            </w:pPr>
            <w:r>
              <w:rPr>
                <w:rFonts w:ascii="Arial" w:cs="Arial" w:eastAsia="Arial" w:hAnsi="Arial"/>
                <w:sz w:val="12"/>
                <w:szCs w:val="12"/>
                <w:color w:val="auto"/>
              </w:rPr>
              <w:t>Chief Executive Officer</w:t>
            </w:r>
          </w:p>
        </w:tc>
        <w:tc>
          <w:tcPr>
            <w:tcW w:w="580" w:type="dxa"/>
            <w:vAlign w:val="bottom"/>
            <w:shd w:val="clear" w:color="auto" w:fill="EDEDED"/>
          </w:tcPr>
          <w:p>
            <w:pPr>
              <w:ind w:left="160"/>
              <w:spacing w:after="0" w:line="135" w:lineRule="exact"/>
              <w:rPr>
                <w:sz w:val="20"/>
                <w:szCs w:val="20"/>
                <w:color w:val="auto"/>
              </w:rPr>
            </w:pPr>
            <w:r>
              <w:rPr>
                <w:rFonts w:ascii="Arial" w:cs="Arial" w:eastAsia="Arial" w:hAnsi="Arial"/>
                <w:sz w:val="12"/>
                <w:szCs w:val="12"/>
                <w:color w:val="auto"/>
              </w:rPr>
              <w:t>2024</w:t>
            </w:r>
          </w:p>
        </w:tc>
        <w:tc>
          <w:tcPr>
            <w:tcW w:w="12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1,406,154</w:t>
            </w:r>
          </w:p>
        </w:tc>
        <w:tc>
          <w:tcPr>
            <w:tcW w:w="240" w:type="dxa"/>
            <w:vAlign w:val="bottom"/>
            <w:shd w:val="clear" w:color="auto" w:fill="EDEDED"/>
          </w:tcPr>
          <w:p>
            <w:pPr>
              <w:spacing w:after="0"/>
              <w:rPr>
                <w:sz w:val="11"/>
                <w:szCs w:val="11"/>
                <w:color w:val="auto"/>
              </w:rPr>
            </w:pPr>
          </w:p>
        </w:tc>
        <w:tc>
          <w:tcPr>
            <w:tcW w:w="80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8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860" w:type="dxa"/>
            <w:vAlign w:val="bottom"/>
            <w:shd w:val="clear" w:color="auto" w:fill="EDEDED"/>
          </w:tcPr>
          <w:p>
            <w:pPr>
              <w:ind w:left="280"/>
              <w:spacing w:after="0" w:line="135" w:lineRule="exact"/>
              <w:rPr>
                <w:sz w:val="20"/>
                <w:szCs w:val="20"/>
                <w:color w:val="auto"/>
              </w:rPr>
            </w:pPr>
            <w:r>
              <w:rPr>
                <w:rFonts w:ascii="Arial" w:cs="Arial" w:eastAsia="Arial" w:hAnsi="Arial"/>
                <w:sz w:val="12"/>
                <w:szCs w:val="12"/>
                <w:color w:val="auto"/>
              </w:rPr>
              <w:t>9,255,605</w:t>
            </w:r>
          </w:p>
        </w:tc>
        <w:tc>
          <w:tcPr>
            <w:tcW w:w="160" w:type="dxa"/>
            <w:vAlign w:val="bottom"/>
            <w:shd w:val="clear" w:color="auto" w:fill="EDEDED"/>
          </w:tcPr>
          <w:p>
            <w:pPr>
              <w:spacing w:after="0"/>
              <w:rPr>
                <w:sz w:val="11"/>
                <w:szCs w:val="11"/>
                <w:color w:val="auto"/>
              </w:rPr>
            </w:pPr>
          </w:p>
        </w:tc>
        <w:tc>
          <w:tcPr>
            <w:tcW w:w="840" w:type="dxa"/>
            <w:vAlign w:val="bottom"/>
            <w:shd w:val="clear" w:color="auto" w:fill="EDEDED"/>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EDEDED"/>
          </w:tcPr>
          <w:p>
            <w:pPr>
              <w:spacing w:after="0"/>
              <w:rPr>
                <w:sz w:val="11"/>
                <w:szCs w:val="11"/>
                <w:color w:val="auto"/>
              </w:rPr>
            </w:pPr>
          </w:p>
        </w:tc>
        <w:tc>
          <w:tcPr>
            <w:tcW w:w="10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4,218,462</w:t>
            </w:r>
          </w:p>
        </w:tc>
        <w:tc>
          <w:tcPr>
            <w:tcW w:w="14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81,123</w:t>
            </w:r>
          </w:p>
        </w:tc>
        <w:tc>
          <w:tcPr>
            <w:tcW w:w="140" w:type="dxa"/>
            <w:vAlign w:val="bottom"/>
            <w:shd w:val="clear" w:color="auto" w:fill="EDEDED"/>
          </w:tcPr>
          <w:p>
            <w:pPr>
              <w:spacing w:after="0"/>
              <w:rPr>
                <w:sz w:val="11"/>
                <w:szCs w:val="11"/>
                <w:color w:val="auto"/>
              </w:rPr>
            </w:pPr>
          </w:p>
        </w:tc>
        <w:tc>
          <w:tcPr>
            <w:tcW w:w="114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60,492</w:t>
            </w:r>
          </w:p>
        </w:tc>
        <w:tc>
          <w:tcPr>
            <w:tcW w:w="220" w:type="dxa"/>
            <w:vAlign w:val="bottom"/>
            <w:shd w:val="clear" w:color="auto" w:fill="EDEDED"/>
          </w:tcPr>
          <w:p>
            <w:pPr>
              <w:spacing w:after="0"/>
              <w:rPr>
                <w:sz w:val="11"/>
                <w:szCs w:val="11"/>
                <w:color w:val="auto"/>
              </w:rPr>
            </w:pPr>
          </w:p>
        </w:tc>
        <w:tc>
          <w:tcPr>
            <w:tcW w:w="780" w:type="dxa"/>
            <w:vAlign w:val="bottom"/>
            <w:shd w:val="clear" w:color="auto" w:fill="EDEDED"/>
          </w:tcPr>
          <w:p>
            <w:pPr>
              <w:jc w:val="right"/>
              <w:ind w:right="62"/>
              <w:spacing w:after="0" w:line="135" w:lineRule="exact"/>
              <w:rPr>
                <w:sz w:val="20"/>
                <w:szCs w:val="20"/>
                <w:color w:val="auto"/>
              </w:rPr>
            </w:pPr>
            <w:r>
              <w:rPr>
                <w:rFonts w:ascii="Arial" w:cs="Arial" w:eastAsia="Arial" w:hAnsi="Arial"/>
                <w:sz w:val="12"/>
                <w:szCs w:val="12"/>
                <w:color w:val="auto"/>
              </w:rPr>
              <w:t>15,021,836</w:t>
            </w:r>
          </w:p>
        </w:tc>
      </w:tr>
      <w:tr>
        <w:trPr>
          <w:trHeight w:val="135"/>
        </w:trPr>
        <w:tc>
          <w:tcPr>
            <w:tcW w:w="1920" w:type="dxa"/>
            <w:vAlign w:val="bottom"/>
            <w:shd w:val="clear" w:color="auto" w:fill="EDEDED"/>
          </w:tcPr>
          <w:p>
            <w:pPr>
              <w:ind w:left="20"/>
              <w:spacing w:after="0" w:line="135" w:lineRule="exact"/>
              <w:rPr>
                <w:sz w:val="20"/>
                <w:szCs w:val="20"/>
                <w:color w:val="auto"/>
              </w:rPr>
            </w:pPr>
            <w:r>
              <w:rPr>
                <w:rFonts w:ascii="Arial" w:cs="Arial" w:eastAsia="Arial" w:hAnsi="Arial"/>
                <w:sz w:val="12"/>
                <w:szCs w:val="12"/>
                <w:color w:val="auto"/>
              </w:rPr>
              <w:t>and President</w:t>
            </w:r>
          </w:p>
        </w:tc>
        <w:tc>
          <w:tcPr>
            <w:tcW w:w="580" w:type="dxa"/>
            <w:vAlign w:val="bottom"/>
            <w:shd w:val="clear" w:color="auto" w:fill="EDEDED"/>
          </w:tcPr>
          <w:p>
            <w:pPr>
              <w:ind w:left="160"/>
              <w:spacing w:after="0" w:line="135" w:lineRule="exact"/>
              <w:rPr>
                <w:sz w:val="20"/>
                <w:szCs w:val="20"/>
                <w:color w:val="auto"/>
              </w:rPr>
            </w:pPr>
            <w:r>
              <w:rPr>
                <w:rFonts w:ascii="Arial" w:cs="Arial" w:eastAsia="Arial" w:hAnsi="Arial"/>
                <w:sz w:val="12"/>
                <w:szCs w:val="12"/>
                <w:color w:val="auto"/>
              </w:rPr>
              <w:t>2023</w:t>
            </w:r>
          </w:p>
        </w:tc>
        <w:tc>
          <w:tcPr>
            <w:tcW w:w="12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1,352,052</w:t>
            </w:r>
          </w:p>
        </w:tc>
        <w:tc>
          <w:tcPr>
            <w:tcW w:w="240" w:type="dxa"/>
            <w:vAlign w:val="bottom"/>
            <w:shd w:val="clear" w:color="auto" w:fill="EDEDED"/>
          </w:tcPr>
          <w:p>
            <w:pPr>
              <w:spacing w:after="0"/>
              <w:rPr>
                <w:sz w:val="11"/>
                <w:szCs w:val="11"/>
                <w:color w:val="auto"/>
              </w:rPr>
            </w:pPr>
          </w:p>
        </w:tc>
        <w:tc>
          <w:tcPr>
            <w:tcW w:w="80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8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860" w:type="dxa"/>
            <w:vAlign w:val="bottom"/>
            <w:shd w:val="clear" w:color="auto" w:fill="EDEDED"/>
          </w:tcPr>
          <w:p>
            <w:pPr>
              <w:ind w:left="280"/>
              <w:spacing w:after="0" w:line="135" w:lineRule="exact"/>
              <w:rPr>
                <w:sz w:val="20"/>
                <w:szCs w:val="20"/>
                <w:color w:val="auto"/>
              </w:rPr>
            </w:pPr>
            <w:r>
              <w:rPr>
                <w:rFonts w:ascii="Arial" w:cs="Arial" w:eastAsia="Arial" w:hAnsi="Arial"/>
                <w:sz w:val="12"/>
                <w:szCs w:val="12"/>
                <w:color w:val="auto"/>
              </w:rPr>
              <w:t>4,944,124</w:t>
            </w:r>
          </w:p>
        </w:tc>
        <w:tc>
          <w:tcPr>
            <w:tcW w:w="160" w:type="dxa"/>
            <w:vAlign w:val="bottom"/>
            <w:shd w:val="clear" w:color="auto" w:fill="EDEDED"/>
          </w:tcPr>
          <w:p>
            <w:pPr>
              <w:spacing w:after="0"/>
              <w:rPr>
                <w:sz w:val="11"/>
                <w:szCs w:val="11"/>
                <w:color w:val="auto"/>
              </w:rPr>
            </w:pPr>
          </w:p>
        </w:tc>
        <w:tc>
          <w:tcPr>
            <w:tcW w:w="840" w:type="dxa"/>
            <w:vAlign w:val="bottom"/>
            <w:shd w:val="clear" w:color="auto" w:fill="EDEDED"/>
          </w:tcPr>
          <w:p>
            <w:pPr>
              <w:jc w:val="right"/>
              <w:ind w:right="22"/>
              <w:spacing w:after="0" w:line="135" w:lineRule="exact"/>
              <w:rPr>
                <w:sz w:val="20"/>
                <w:szCs w:val="20"/>
                <w:color w:val="auto"/>
              </w:rPr>
            </w:pPr>
            <w:r>
              <w:rPr>
                <w:rFonts w:ascii="Arial" w:cs="Arial" w:eastAsia="Arial" w:hAnsi="Arial"/>
                <w:sz w:val="12"/>
                <w:szCs w:val="12"/>
                <w:color w:val="auto"/>
              </w:rPr>
              <w:t>4,944,434</w:t>
            </w:r>
          </w:p>
        </w:tc>
        <w:tc>
          <w:tcPr>
            <w:tcW w:w="120" w:type="dxa"/>
            <w:vAlign w:val="bottom"/>
            <w:shd w:val="clear" w:color="auto" w:fill="EDEDED"/>
          </w:tcPr>
          <w:p>
            <w:pPr>
              <w:spacing w:after="0"/>
              <w:rPr>
                <w:sz w:val="11"/>
                <w:szCs w:val="11"/>
                <w:color w:val="auto"/>
              </w:rPr>
            </w:pPr>
          </w:p>
        </w:tc>
        <w:tc>
          <w:tcPr>
            <w:tcW w:w="10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3,042,117</w:t>
            </w:r>
          </w:p>
        </w:tc>
        <w:tc>
          <w:tcPr>
            <w:tcW w:w="14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78,003</w:t>
            </w:r>
          </w:p>
        </w:tc>
        <w:tc>
          <w:tcPr>
            <w:tcW w:w="140" w:type="dxa"/>
            <w:vAlign w:val="bottom"/>
            <w:shd w:val="clear" w:color="auto" w:fill="EDEDED"/>
          </w:tcPr>
          <w:p>
            <w:pPr>
              <w:spacing w:after="0"/>
              <w:rPr>
                <w:sz w:val="11"/>
                <w:szCs w:val="11"/>
                <w:color w:val="auto"/>
              </w:rPr>
            </w:pPr>
          </w:p>
        </w:tc>
        <w:tc>
          <w:tcPr>
            <w:tcW w:w="114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47,207</w:t>
            </w:r>
          </w:p>
        </w:tc>
        <w:tc>
          <w:tcPr>
            <w:tcW w:w="220" w:type="dxa"/>
            <w:vAlign w:val="bottom"/>
            <w:shd w:val="clear" w:color="auto" w:fill="EDEDED"/>
          </w:tcPr>
          <w:p>
            <w:pPr>
              <w:spacing w:after="0"/>
              <w:rPr>
                <w:sz w:val="11"/>
                <w:szCs w:val="11"/>
                <w:color w:val="auto"/>
              </w:rPr>
            </w:pPr>
          </w:p>
        </w:tc>
        <w:tc>
          <w:tcPr>
            <w:tcW w:w="780" w:type="dxa"/>
            <w:vAlign w:val="bottom"/>
            <w:shd w:val="clear" w:color="auto" w:fill="EDEDED"/>
          </w:tcPr>
          <w:p>
            <w:pPr>
              <w:jc w:val="right"/>
              <w:ind w:right="62"/>
              <w:spacing w:after="0" w:line="135" w:lineRule="exact"/>
              <w:rPr>
                <w:sz w:val="20"/>
                <w:szCs w:val="20"/>
                <w:color w:val="auto"/>
              </w:rPr>
            </w:pPr>
            <w:r>
              <w:rPr>
                <w:rFonts w:ascii="Arial" w:cs="Arial" w:eastAsia="Arial" w:hAnsi="Arial"/>
                <w:sz w:val="12"/>
                <w:szCs w:val="12"/>
                <w:color w:val="auto"/>
              </w:rPr>
              <w:t>14,407,937</w:t>
            </w:r>
          </w:p>
        </w:tc>
      </w:tr>
      <w:tr>
        <w:trPr>
          <w:trHeight w:val="262"/>
        </w:trPr>
        <w:tc>
          <w:tcPr>
            <w:tcW w:w="1920" w:type="dxa"/>
            <w:vAlign w:val="bottom"/>
          </w:tcPr>
          <w:p>
            <w:pPr>
              <w:ind w:left="20"/>
              <w:spacing w:after="0"/>
              <w:rPr>
                <w:sz w:val="20"/>
                <w:szCs w:val="20"/>
                <w:color w:val="auto"/>
              </w:rPr>
            </w:pPr>
            <w:r>
              <w:rPr>
                <w:rFonts w:ascii="Arial" w:cs="Arial" w:eastAsia="Arial" w:hAnsi="Arial"/>
                <w:sz w:val="12"/>
                <w:szCs w:val="12"/>
                <w:b w:val="1"/>
                <w:bCs w:val="1"/>
                <w:color w:val="auto"/>
              </w:rPr>
              <w:t>Alan B. Miller,</w:t>
            </w:r>
          </w:p>
        </w:tc>
        <w:tc>
          <w:tcPr>
            <w:tcW w:w="580" w:type="dxa"/>
            <w:vAlign w:val="bottom"/>
          </w:tcPr>
          <w:p>
            <w:pPr>
              <w:ind w:left="160"/>
              <w:spacing w:after="0"/>
              <w:rPr>
                <w:sz w:val="20"/>
                <w:szCs w:val="20"/>
                <w:color w:val="auto"/>
              </w:rPr>
            </w:pPr>
            <w:r>
              <w:rPr>
                <w:rFonts w:ascii="Arial" w:cs="Arial" w:eastAsia="Arial" w:hAnsi="Arial"/>
                <w:sz w:val="12"/>
                <w:szCs w:val="12"/>
                <w:color w:val="auto"/>
              </w:rPr>
              <w:t>2025</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1,073,077</w:t>
            </w:r>
          </w:p>
        </w:tc>
        <w:tc>
          <w:tcPr>
            <w:tcW w:w="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1,073,077</w:t>
            </w:r>
          </w:p>
        </w:tc>
        <w:tc>
          <w:tcPr>
            <w:tcW w:w="28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ind w:left="280"/>
              <w:spacing w:after="0"/>
              <w:rPr>
                <w:sz w:val="20"/>
                <w:szCs w:val="20"/>
                <w:color w:val="auto"/>
              </w:rPr>
            </w:pPr>
            <w:r>
              <w:rPr>
                <w:rFonts w:ascii="Arial" w:cs="Arial" w:eastAsia="Arial" w:hAnsi="Arial"/>
                <w:sz w:val="12"/>
                <w:szCs w:val="12"/>
                <w:color w:val="auto"/>
              </w:rPr>
              <w:t>5,062,102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864,939</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8,073,195</w:t>
            </w: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2"/>
                <w:szCs w:val="12"/>
                <w:color w:val="auto"/>
              </w:rPr>
              <w:t>Executive Chairman</w:t>
            </w:r>
          </w:p>
        </w:tc>
        <w:tc>
          <w:tcPr>
            <w:tcW w:w="580" w:type="dxa"/>
            <w:vAlign w:val="bottom"/>
          </w:tcPr>
          <w:p>
            <w:pPr>
              <w:ind w:left="160"/>
              <w:spacing w:after="0" w:line="135" w:lineRule="exact"/>
              <w:rPr>
                <w:sz w:val="20"/>
                <w:szCs w:val="20"/>
                <w:color w:val="auto"/>
              </w:rPr>
            </w:pPr>
            <w:r>
              <w:rPr>
                <w:rFonts w:ascii="Arial" w:cs="Arial" w:eastAsia="Arial" w:hAnsi="Arial"/>
                <w:sz w:val="12"/>
                <w:szCs w:val="12"/>
                <w:color w:val="auto"/>
              </w:rPr>
              <w:t>2024</w:t>
            </w:r>
          </w:p>
        </w:tc>
        <w:tc>
          <w:tcPr>
            <w:tcW w:w="12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1,081,642</w:t>
            </w:r>
          </w:p>
        </w:tc>
        <w:tc>
          <w:tcPr>
            <w:tcW w:w="240" w:type="dxa"/>
            <w:vAlign w:val="bottom"/>
          </w:tcPr>
          <w:p>
            <w:pPr>
              <w:spacing w:after="0"/>
              <w:rPr>
                <w:sz w:val="11"/>
                <w:szCs w:val="11"/>
                <w:color w:val="auto"/>
              </w:rPr>
            </w:pPr>
          </w:p>
        </w:tc>
        <w:tc>
          <w:tcPr>
            <w:tcW w:w="8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1,081,642</w:t>
            </w:r>
          </w:p>
        </w:tc>
        <w:tc>
          <w:tcPr>
            <w:tcW w:w="280" w:type="dxa"/>
            <w:vAlign w:val="bottom"/>
          </w:tcPr>
          <w:p>
            <w:pPr>
              <w:jc w:val="right"/>
              <w:spacing w:after="0" w:line="135" w:lineRule="exact"/>
              <w:rPr>
                <w:sz w:val="20"/>
                <w:szCs w:val="20"/>
                <w:color w:val="auto"/>
              </w:rPr>
            </w:pPr>
            <w:r>
              <w:rPr>
                <w:rFonts w:ascii="Arial" w:cs="Arial" w:eastAsia="Arial" w:hAnsi="Arial"/>
                <w:sz w:val="12"/>
                <w:szCs w:val="12"/>
                <w:color w:val="auto"/>
              </w:rPr>
              <w:t>(5.)</w:t>
            </w:r>
          </w:p>
        </w:tc>
        <w:tc>
          <w:tcPr>
            <w:tcW w:w="120" w:type="dxa"/>
            <w:vAlign w:val="bottom"/>
          </w:tcPr>
          <w:p>
            <w:pPr>
              <w:spacing w:after="0"/>
              <w:rPr>
                <w:sz w:val="11"/>
                <w:szCs w:val="11"/>
                <w:color w:val="auto"/>
              </w:rPr>
            </w:pPr>
          </w:p>
        </w:tc>
        <w:tc>
          <w:tcPr>
            <w:tcW w:w="860" w:type="dxa"/>
            <w:vAlign w:val="bottom"/>
          </w:tcPr>
          <w:p>
            <w:pPr>
              <w:ind w:left="280"/>
              <w:spacing w:after="0" w:line="135" w:lineRule="exact"/>
              <w:rPr>
                <w:sz w:val="20"/>
                <w:szCs w:val="20"/>
                <w:color w:val="auto"/>
              </w:rPr>
            </w:pPr>
            <w:r>
              <w:rPr>
                <w:rFonts w:ascii="Arial" w:cs="Arial" w:eastAsia="Arial" w:hAnsi="Arial"/>
                <w:sz w:val="12"/>
                <w:szCs w:val="12"/>
                <w:color w:val="auto"/>
              </w:rPr>
              <w:t>4,867,232</w:t>
            </w:r>
          </w:p>
        </w:tc>
        <w:tc>
          <w:tcPr>
            <w:tcW w:w="160" w:type="dxa"/>
            <w:vAlign w:val="bottom"/>
          </w:tcPr>
          <w:p>
            <w:pPr>
              <w:spacing w:after="0"/>
              <w:rPr>
                <w:sz w:val="11"/>
                <w:szCs w:val="11"/>
                <w:color w:val="auto"/>
              </w:rPr>
            </w:pP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140" w:type="dxa"/>
            <w:vAlign w:val="bottom"/>
          </w:tcPr>
          <w:p>
            <w:pPr>
              <w:jc w:val="right"/>
              <w:ind w:right="2"/>
              <w:spacing w:after="0" w:line="135" w:lineRule="exact"/>
              <w:rPr>
                <w:sz w:val="20"/>
                <w:szCs w:val="20"/>
                <w:color w:val="auto"/>
              </w:rPr>
            </w:pPr>
            <w:r>
              <w:rPr>
                <w:rFonts w:ascii="Arial" w:cs="Arial" w:eastAsia="Arial" w:hAnsi="Arial"/>
                <w:sz w:val="12"/>
                <w:szCs w:val="12"/>
                <w:color w:val="auto"/>
              </w:rPr>
              <w:t>901,430</w:t>
            </w:r>
          </w:p>
        </w:tc>
        <w:tc>
          <w:tcPr>
            <w:tcW w:w="220" w:type="dxa"/>
            <w:vAlign w:val="bottom"/>
          </w:tcPr>
          <w:p>
            <w:pPr>
              <w:spacing w:after="0"/>
              <w:rPr>
                <w:sz w:val="11"/>
                <w:szCs w:val="11"/>
                <w:color w:val="auto"/>
              </w:rPr>
            </w:pPr>
          </w:p>
        </w:tc>
        <w:tc>
          <w:tcPr>
            <w:tcW w:w="7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7,931,946</w:t>
            </w:r>
          </w:p>
        </w:tc>
      </w:tr>
      <w:tr>
        <w:trPr>
          <w:trHeight w:val="143"/>
        </w:trPr>
        <w:tc>
          <w:tcPr>
            <w:tcW w:w="1920" w:type="dxa"/>
            <w:vAlign w:val="bottom"/>
          </w:tcPr>
          <w:p>
            <w:pPr>
              <w:spacing w:after="0"/>
              <w:rPr>
                <w:sz w:val="12"/>
                <w:szCs w:val="12"/>
                <w:color w:val="auto"/>
              </w:rPr>
            </w:pPr>
          </w:p>
        </w:tc>
        <w:tc>
          <w:tcPr>
            <w:tcW w:w="580" w:type="dxa"/>
            <w:vAlign w:val="bottom"/>
          </w:tcPr>
          <w:p>
            <w:pPr>
              <w:ind w:left="160"/>
              <w:spacing w:after="0"/>
              <w:rPr>
                <w:sz w:val="20"/>
                <w:szCs w:val="20"/>
                <w:color w:val="auto"/>
              </w:rPr>
            </w:pPr>
            <w:r>
              <w:rPr>
                <w:rFonts w:ascii="Arial" w:cs="Arial" w:eastAsia="Arial" w:hAnsi="Arial"/>
                <w:sz w:val="12"/>
                <w:szCs w:val="12"/>
                <w:color w:val="auto"/>
              </w:rPr>
              <w:t>2023</w:t>
            </w:r>
          </w:p>
        </w:tc>
        <w:tc>
          <w:tcPr>
            <w:tcW w:w="12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1,040,040</w:t>
            </w:r>
          </w:p>
        </w:tc>
        <w:tc>
          <w:tcPr>
            <w:tcW w:w="240" w:type="dxa"/>
            <w:vAlign w:val="bottom"/>
          </w:tcPr>
          <w:p>
            <w:pPr>
              <w:spacing w:after="0"/>
              <w:rPr>
                <w:sz w:val="12"/>
                <w:szCs w:val="12"/>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1,040,040</w:t>
            </w:r>
          </w:p>
        </w:tc>
        <w:tc>
          <w:tcPr>
            <w:tcW w:w="28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2"/>
                <w:szCs w:val="12"/>
                <w:color w:val="auto"/>
              </w:rPr>
            </w:pPr>
          </w:p>
        </w:tc>
        <w:tc>
          <w:tcPr>
            <w:tcW w:w="860" w:type="dxa"/>
            <w:vAlign w:val="bottom"/>
          </w:tcPr>
          <w:p>
            <w:pPr>
              <w:ind w:left="280"/>
              <w:spacing w:after="0"/>
              <w:rPr>
                <w:sz w:val="20"/>
                <w:szCs w:val="20"/>
                <w:color w:val="auto"/>
              </w:rPr>
            </w:pPr>
            <w:r>
              <w:rPr>
                <w:rFonts w:ascii="Arial" w:cs="Arial" w:eastAsia="Arial" w:hAnsi="Arial"/>
                <w:sz w:val="12"/>
                <w:szCs w:val="12"/>
                <w:color w:val="auto"/>
              </w:rPr>
              <w:t>2,599,947</w:t>
            </w:r>
          </w:p>
        </w:tc>
        <w:tc>
          <w:tcPr>
            <w:tcW w:w="160" w:type="dxa"/>
            <w:vAlign w:val="bottom"/>
          </w:tcPr>
          <w:p>
            <w:pPr>
              <w:spacing w:after="0"/>
              <w:rPr>
                <w:sz w:val="12"/>
                <w:szCs w:val="12"/>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2,600,138</w:t>
            </w:r>
          </w:p>
        </w:tc>
        <w:tc>
          <w:tcPr>
            <w:tcW w:w="120" w:type="dxa"/>
            <w:vAlign w:val="bottom"/>
          </w:tcPr>
          <w:p>
            <w:pPr>
              <w:spacing w:after="0"/>
              <w:rPr>
                <w:sz w:val="12"/>
                <w:szCs w:val="12"/>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1,089,566</w:t>
            </w:r>
          </w:p>
        </w:tc>
        <w:tc>
          <w:tcPr>
            <w:tcW w:w="2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8,369,731</w:t>
            </w:r>
          </w:p>
        </w:tc>
      </w:tr>
      <w:tr>
        <w:trPr>
          <w:trHeight w:val="270"/>
        </w:trPr>
        <w:tc>
          <w:tcPr>
            <w:tcW w:w="1920" w:type="dxa"/>
            <w:vAlign w:val="bottom"/>
            <w:shd w:val="clear" w:color="auto" w:fill="EDEDED"/>
          </w:tcPr>
          <w:p>
            <w:pPr>
              <w:ind w:left="20"/>
              <w:spacing w:after="0"/>
              <w:rPr>
                <w:sz w:val="20"/>
                <w:szCs w:val="20"/>
                <w:color w:val="auto"/>
              </w:rPr>
            </w:pPr>
            <w:r>
              <w:rPr>
                <w:rFonts w:ascii="Arial" w:cs="Arial" w:eastAsia="Arial" w:hAnsi="Arial"/>
                <w:sz w:val="12"/>
                <w:szCs w:val="12"/>
                <w:b w:val="1"/>
                <w:bCs w:val="1"/>
                <w:color w:val="auto"/>
              </w:rPr>
              <w:t>Steve G. Filton,</w:t>
            </w:r>
          </w:p>
        </w:tc>
        <w:tc>
          <w:tcPr>
            <w:tcW w:w="580" w:type="dxa"/>
            <w:vAlign w:val="bottom"/>
            <w:shd w:val="clear" w:color="auto" w:fill="EDEDED"/>
          </w:tcPr>
          <w:p>
            <w:pPr>
              <w:ind w:left="160"/>
              <w:spacing w:after="0"/>
              <w:rPr>
                <w:sz w:val="20"/>
                <w:szCs w:val="20"/>
                <w:color w:val="auto"/>
              </w:rPr>
            </w:pPr>
            <w:r>
              <w:rPr>
                <w:rFonts w:ascii="Arial" w:cs="Arial" w:eastAsia="Arial" w:hAnsi="Arial"/>
                <w:sz w:val="12"/>
                <w:szCs w:val="12"/>
                <w:color w:val="auto"/>
              </w:rPr>
              <w:t>2025</w:t>
            </w:r>
          </w:p>
        </w:tc>
        <w:tc>
          <w:tcPr>
            <w:tcW w:w="120" w:type="dxa"/>
            <w:vAlign w:val="bottom"/>
            <w:shd w:val="clear" w:color="auto" w:fill="EDEDED"/>
          </w:tcPr>
          <w:p>
            <w:pPr>
              <w:jc w:val="right"/>
              <w:ind w:right="1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853,299</w:t>
            </w:r>
          </w:p>
        </w:tc>
        <w:tc>
          <w:tcPr>
            <w:tcW w:w="240" w:type="dxa"/>
            <w:vAlign w:val="bottom"/>
            <w:shd w:val="clear" w:color="auto" w:fill="EDEDED"/>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EDEDED"/>
          </w:tcPr>
          <w:p>
            <w:pPr>
              <w:spacing w:after="0"/>
              <w:rPr>
                <w:sz w:val="23"/>
                <w:szCs w:val="23"/>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DEDED"/>
          </w:tcPr>
          <w:p>
            <w:pPr>
              <w:ind w:left="280"/>
              <w:spacing w:after="0"/>
              <w:rPr>
                <w:sz w:val="20"/>
                <w:szCs w:val="20"/>
                <w:color w:val="auto"/>
              </w:rPr>
            </w:pPr>
            <w:r>
              <w:rPr>
                <w:rFonts w:ascii="Arial" w:cs="Arial" w:eastAsia="Arial" w:hAnsi="Arial"/>
                <w:sz w:val="12"/>
                <w:szCs w:val="12"/>
                <w:color w:val="auto"/>
              </w:rPr>
              <w:t>2,450,025</w:t>
            </w:r>
          </w:p>
        </w:tc>
        <w:tc>
          <w:tcPr>
            <w:tcW w:w="16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EDEDED"/>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1,706,598</w:t>
            </w:r>
          </w:p>
        </w:tc>
        <w:tc>
          <w:tcPr>
            <w:tcW w:w="14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51,586</w:t>
            </w:r>
          </w:p>
        </w:tc>
        <w:tc>
          <w:tcPr>
            <w:tcW w:w="14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47,187</w:t>
            </w:r>
          </w:p>
        </w:tc>
        <w:tc>
          <w:tcPr>
            <w:tcW w:w="220" w:type="dxa"/>
            <w:vAlign w:val="bottom"/>
            <w:shd w:val="clear" w:color="auto" w:fill="EDEDED"/>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EDEDED"/>
          </w:tcPr>
          <w:p>
            <w:pPr>
              <w:jc w:val="right"/>
              <w:ind w:right="62"/>
              <w:spacing w:after="0"/>
              <w:rPr>
                <w:sz w:val="20"/>
                <w:szCs w:val="20"/>
                <w:color w:val="auto"/>
              </w:rPr>
            </w:pPr>
            <w:r>
              <w:rPr>
                <w:rFonts w:ascii="Arial" w:cs="Arial" w:eastAsia="Arial" w:hAnsi="Arial"/>
                <w:sz w:val="12"/>
                <w:szCs w:val="12"/>
                <w:color w:val="auto"/>
              </w:rPr>
              <w:t>5,108,695</w:t>
            </w:r>
          </w:p>
        </w:tc>
      </w:tr>
      <w:tr>
        <w:trPr>
          <w:trHeight w:val="135"/>
        </w:trPr>
        <w:tc>
          <w:tcPr>
            <w:tcW w:w="1920" w:type="dxa"/>
            <w:vAlign w:val="bottom"/>
            <w:shd w:val="clear" w:color="auto" w:fill="EDEDED"/>
          </w:tcPr>
          <w:p>
            <w:pPr>
              <w:ind w:left="20"/>
              <w:spacing w:after="0" w:line="135" w:lineRule="exact"/>
              <w:rPr>
                <w:sz w:val="20"/>
                <w:szCs w:val="20"/>
                <w:color w:val="auto"/>
              </w:rPr>
            </w:pPr>
            <w:r>
              <w:rPr>
                <w:rFonts w:ascii="Arial" w:cs="Arial" w:eastAsia="Arial" w:hAnsi="Arial"/>
                <w:sz w:val="12"/>
                <w:szCs w:val="12"/>
                <w:color w:val="auto"/>
              </w:rPr>
              <w:t>Executive Vice President and</w:t>
            </w:r>
          </w:p>
        </w:tc>
        <w:tc>
          <w:tcPr>
            <w:tcW w:w="580" w:type="dxa"/>
            <w:vAlign w:val="bottom"/>
            <w:shd w:val="clear" w:color="auto" w:fill="EDEDED"/>
          </w:tcPr>
          <w:p>
            <w:pPr>
              <w:ind w:left="160"/>
              <w:spacing w:after="0" w:line="135" w:lineRule="exact"/>
              <w:rPr>
                <w:sz w:val="20"/>
                <w:szCs w:val="20"/>
                <w:color w:val="auto"/>
              </w:rPr>
            </w:pPr>
            <w:r>
              <w:rPr>
                <w:rFonts w:ascii="Arial" w:cs="Arial" w:eastAsia="Arial" w:hAnsi="Arial"/>
                <w:sz w:val="12"/>
                <w:szCs w:val="12"/>
                <w:color w:val="auto"/>
              </w:rPr>
              <w:t>2024</w:t>
            </w:r>
          </w:p>
        </w:tc>
        <w:tc>
          <w:tcPr>
            <w:tcW w:w="12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859,766</w:t>
            </w:r>
          </w:p>
        </w:tc>
        <w:tc>
          <w:tcPr>
            <w:tcW w:w="240" w:type="dxa"/>
            <w:vAlign w:val="bottom"/>
            <w:shd w:val="clear" w:color="auto" w:fill="EDEDED"/>
          </w:tcPr>
          <w:p>
            <w:pPr>
              <w:spacing w:after="0"/>
              <w:rPr>
                <w:sz w:val="11"/>
                <w:szCs w:val="11"/>
                <w:color w:val="auto"/>
              </w:rPr>
            </w:pPr>
          </w:p>
        </w:tc>
        <w:tc>
          <w:tcPr>
            <w:tcW w:w="80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8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860" w:type="dxa"/>
            <w:vAlign w:val="bottom"/>
            <w:shd w:val="clear" w:color="auto" w:fill="EDEDED"/>
          </w:tcPr>
          <w:p>
            <w:pPr>
              <w:ind w:left="280"/>
              <w:spacing w:after="0" w:line="135" w:lineRule="exact"/>
              <w:rPr>
                <w:sz w:val="20"/>
                <w:szCs w:val="20"/>
                <w:color w:val="auto"/>
              </w:rPr>
            </w:pPr>
            <w:r>
              <w:rPr>
                <w:rFonts w:ascii="Arial" w:cs="Arial" w:eastAsia="Arial" w:hAnsi="Arial"/>
                <w:sz w:val="12"/>
                <w:szCs w:val="12"/>
                <w:color w:val="auto"/>
              </w:rPr>
              <w:t>2,355,795</w:t>
            </w:r>
          </w:p>
        </w:tc>
        <w:tc>
          <w:tcPr>
            <w:tcW w:w="160" w:type="dxa"/>
            <w:vAlign w:val="bottom"/>
            <w:shd w:val="clear" w:color="auto" w:fill="EDEDED"/>
          </w:tcPr>
          <w:p>
            <w:pPr>
              <w:spacing w:after="0"/>
              <w:rPr>
                <w:sz w:val="11"/>
                <w:szCs w:val="11"/>
                <w:color w:val="auto"/>
              </w:rPr>
            </w:pPr>
          </w:p>
        </w:tc>
        <w:tc>
          <w:tcPr>
            <w:tcW w:w="840" w:type="dxa"/>
            <w:vAlign w:val="bottom"/>
            <w:shd w:val="clear" w:color="auto" w:fill="EDEDED"/>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EDEDED"/>
          </w:tcPr>
          <w:p>
            <w:pPr>
              <w:spacing w:after="0"/>
              <w:rPr>
                <w:sz w:val="11"/>
                <w:szCs w:val="11"/>
                <w:color w:val="auto"/>
              </w:rPr>
            </w:pPr>
          </w:p>
        </w:tc>
        <w:tc>
          <w:tcPr>
            <w:tcW w:w="10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1,719,532</w:t>
            </w:r>
          </w:p>
        </w:tc>
        <w:tc>
          <w:tcPr>
            <w:tcW w:w="14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49,602</w:t>
            </w:r>
          </w:p>
        </w:tc>
        <w:tc>
          <w:tcPr>
            <w:tcW w:w="140" w:type="dxa"/>
            <w:vAlign w:val="bottom"/>
            <w:shd w:val="clear" w:color="auto" w:fill="EDEDED"/>
          </w:tcPr>
          <w:p>
            <w:pPr>
              <w:spacing w:after="0"/>
              <w:rPr>
                <w:sz w:val="11"/>
                <w:szCs w:val="11"/>
                <w:color w:val="auto"/>
              </w:rPr>
            </w:pPr>
          </w:p>
        </w:tc>
        <w:tc>
          <w:tcPr>
            <w:tcW w:w="114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17,438</w:t>
            </w:r>
          </w:p>
        </w:tc>
        <w:tc>
          <w:tcPr>
            <w:tcW w:w="220" w:type="dxa"/>
            <w:vAlign w:val="bottom"/>
            <w:shd w:val="clear" w:color="auto" w:fill="EDEDED"/>
          </w:tcPr>
          <w:p>
            <w:pPr>
              <w:spacing w:after="0"/>
              <w:rPr>
                <w:sz w:val="11"/>
                <w:szCs w:val="11"/>
                <w:color w:val="auto"/>
              </w:rPr>
            </w:pPr>
          </w:p>
        </w:tc>
        <w:tc>
          <w:tcPr>
            <w:tcW w:w="780" w:type="dxa"/>
            <w:vAlign w:val="bottom"/>
            <w:shd w:val="clear" w:color="auto" w:fill="EDEDED"/>
          </w:tcPr>
          <w:p>
            <w:pPr>
              <w:jc w:val="right"/>
              <w:ind w:right="62"/>
              <w:spacing w:after="0" w:line="135" w:lineRule="exact"/>
              <w:rPr>
                <w:sz w:val="20"/>
                <w:szCs w:val="20"/>
                <w:color w:val="auto"/>
              </w:rPr>
            </w:pPr>
            <w:r>
              <w:rPr>
                <w:rFonts w:ascii="Arial" w:cs="Arial" w:eastAsia="Arial" w:hAnsi="Arial"/>
                <w:sz w:val="12"/>
                <w:szCs w:val="12"/>
                <w:color w:val="auto"/>
              </w:rPr>
              <w:t>5,002,133</w:t>
            </w:r>
          </w:p>
        </w:tc>
      </w:tr>
      <w:tr>
        <w:trPr>
          <w:trHeight w:val="135"/>
        </w:trPr>
        <w:tc>
          <w:tcPr>
            <w:tcW w:w="1920" w:type="dxa"/>
            <w:vAlign w:val="bottom"/>
            <w:shd w:val="clear" w:color="auto" w:fill="EDEDED"/>
          </w:tcPr>
          <w:p>
            <w:pPr>
              <w:ind w:left="20"/>
              <w:spacing w:after="0" w:line="135" w:lineRule="exact"/>
              <w:rPr>
                <w:sz w:val="20"/>
                <w:szCs w:val="20"/>
                <w:color w:val="auto"/>
              </w:rPr>
            </w:pPr>
            <w:r>
              <w:rPr>
                <w:rFonts w:ascii="Arial" w:cs="Arial" w:eastAsia="Arial" w:hAnsi="Arial"/>
                <w:sz w:val="12"/>
                <w:szCs w:val="12"/>
                <w:color w:val="auto"/>
              </w:rPr>
              <w:t>Chief Financial Officer</w:t>
            </w:r>
          </w:p>
        </w:tc>
        <w:tc>
          <w:tcPr>
            <w:tcW w:w="580" w:type="dxa"/>
            <w:vAlign w:val="bottom"/>
            <w:shd w:val="clear" w:color="auto" w:fill="EDEDED"/>
          </w:tcPr>
          <w:p>
            <w:pPr>
              <w:ind w:left="160"/>
              <w:spacing w:after="0" w:line="135" w:lineRule="exact"/>
              <w:rPr>
                <w:sz w:val="20"/>
                <w:szCs w:val="20"/>
                <w:color w:val="auto"/>
              </w:rPr>
            </w:pPr>
            <w:r>
              <w:rPr>
                <w:rFonts w:ascii="Arial" w:cs="Arial" w:eastAsia="Arial" w:hAnsi="Arial"/>
                <w:sz w:val="12"/>
                <w:szCs w:val="12"/>
                <w:color w:val="auto"/>
              </w:rPr>
              <w:t>2023</w:t>
            </w:r>
          </w:p>
        </w:tc>
        <w:tc>
          <w:tcPr>
            <w:tcW w:w="12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826,698</w:t>
            </w:r>
          </w:p>
        </w:tc>
        <w:tc>
          <w:tcPr>
            <w:tcW w:w="240" w:type="dxa"/>
            <w:vAlign w:val="bottom"/>
            <w:shd w:val="clear" w:color="auto" w:fill="EDEDED"/>
          </w:tcPr>
          <w:p>
            <w:pPr>
              <w:spacing w:after="0"/>
              <w:rPr>
                <w:sz w:val="11"/>
                <w:szCs w:val="11"/>
                <w:color w:val="auto"/>
              </w:rPr>
            </w:pPr>
          </w:p>
        </w:tc>
        <w:tc>
          <w:tcPr>
            <w:tcW w:w="80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8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860" w:type="dxa"/>
            <w:vAlign w:val="bottom"/>
            <w:shd w:val="clear" w:color="auto" w:fill="EDEDED"/>
          </w:tcPr>
          <w:p>
            <w:pPr>
              <w:ind w:left="280"/>
              <w:spacing w:after="0" w:line="135" w:lineRule="exact"/>
              <w:rPr>
                <w:sz w:val="20"/>
                <w:szCs w:val="20"/>
                <w:color w:val="auto"/>
              </w:rPr>
            </w:pPr>
            <w:r>
              <w:rPr>
                <w:rFonts w:ascii="Arial" w:cs="Arial" w:eastAsia="Arial" w:hAnsi="Arial"/>
                <w:sz w:val="12"/>
                <w:szCs w:val="12"/>
                <w:color w:val="auto"/>
              </w:rPr>
              <w:t>1,258,384</w:t>
            </w:r>
          </w:p>
        </w:tc>
        <w:tc>
          <w:tcPr>
            <w:tcW w:w="160" w:type="dxa"/>
            <w:vAlign w:val="bottom"/>
            <w:shd w:val="clear" w:color="auto" w:fill="EDEDED"/>
          </w:tcPr>
          <w:p>
            <w:pPr>
              <w:spacing w:after="0"/>
              <w:rPr>
                <w:sz w:val="11"/>
                <w:szCs w:val="11"/>
                <w:color w:val="auto"/>
              </w:rPr>
            </w:pPr>
          </w:p>
        </w:tc>
        <w:tc>
          <w:tcPr>
            <w:tcW w:w="840" w:type="dxa"/>
            <w:vAlign w:val="bottom"/>
            <w:shd w:val="clear" w:color="auto" w:fill="EDEDED"/>
          </w:tcPr>
          <w:p>
            <w:pPr>
              <w:jc w:val="right"/>
              <w:ind w:right="22"/>
              <w:spacing w:after="0" w:line="135" w:lineRule="exact"/>
              <w:rPr>
                <w:sz w:val="20"/>
                <w:szCs w:val="20"/>
                <w:color w:val="auto"/>
              </w:rPr>
            </w:pPr>
            <w:r>
              <w:rPr>
                <w:rFonts w:ascii="Arial" w:cs="Arial" w:eastAsia="Arial" w:hAnsi="Arial"/>
                <w:sz w:val="12"/>
                <w:szCs w:val="12"/>
                <w:color w:val="auto"/>
              </w:rPr>
              <w:t>1,258,472</w:t>
            </w:r>
          </w:p>
        </w:tc>
        <w:tc>
          <w:tcPr>
            <w:tcW w:w="120" w:type="dxa"/>
            <w:vAlign w:val="bottom"/>
            <w:shd w:val="clear" w:color="auto" w:fill="EDEDED"/>
          </w:tcPr>
          <w:p>
            <w:pPr>
              <w:spacing w:after="0"/>
              <w:rPr>
                <w:sz w:val="11"/>
                <w:szCs w:val="11"/>
                <w:color w:val="auto"/>
              </w:rPr>
            </w:pPr>
          </w:p>
        </w:tc>
        <w:tc>
          <w:tcPr>
            <w:tcW w:w="10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1,240,047</w:t>
            </w:r>
          </w:p>
        </w:tc>
        <w:tc>
          <w:tcPr>
            <w:tcW w:w="14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47,194</w:t>
            </w:r>
          </w:p>
        </w:tc>
        <w:tc>
          <w:tcPr>
            <w:tcW w:w="140" w:type="dxa"/>
            <w:vAlign w:val="bottom"/>
            <w:shd w:val="clear" w:color="auto" w:fill="EDEDED"/>
          </w:tcPr>
          <w:p>
            <w:pPr>
              <w:spacing w:after="0"/>
              <w:rPr>
                <w:sz w:val="11"/>
                <w:szCs w:val="11"/>
                <w:color w:val="auto"/>
              </w:rPr>
            </w:pPr>
          </w:p>
        </w:tc>
        <w:tc>
          <w:tcPr>
            <w:tcW w:w="114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19,362</w:t>
            </w:r>
          </w:p>
        </w:tc>
        <w:tc>
          <w:tcPr>
            <w:tcW w:w="220" w:type="dxa"/>
            <w:vAlign w:val="bottom"/>
            <w:shd w:val="clear" w:color="auto" w:fill="EDEDED"/>
          </w:tcPr>
          <w:p>
            <w:pPr>
              <w:spacing w:after="0"/>
              <w:rPr>
                <w:sz w:val="11"/>
                <w:szCs w:val="11"/>
                <w:color w:val="auto"/>
              </w:rPr>
            </w:pPr>
          </w:p>
        </w:tc>
        <w:tc>
          <w:tcPr>
            <w:tcW w:w="780" w:type="dxa"/>
            <w:vAlign w:val="bottom"/>
            <w:shd w:val="clear" w:color="auto" w:fill="EDEDED"/>
          </w:tcPr>
          <w:p>
            <w:pPr>
              <w:jc w:val="right"/>
              <w:ind w:right="62"/>
              <w:spacing w:after="0" w:line="135" w:lineRule="exact"/>
              <w:rPr>
                <w:sz w:val="20"/>
                <w:szCs w:val="20"/>
                <w:color w:val="auto"/>
              </w:rPr>
            </w:pPr>
            <w:r>
              <w:rPr>
                <w:rFonts w:ascii="Arial" w:cs="Arial" w:eastAsia="Arial" w:hAnsi="Arial"/>
                <w:sz w:val="12"/>
                <w:szCs w:val="12"/>
                <w:color w:val="auto"/>
              </w:rPr>
              <w:t>4,650,157</w:t>
            </w:r>
          </w:p>
        </w:tc>
      </w:tr>
      <w:tr>
        <w:trPr>
          <w:trHeight w:val="262"/>
        </w:trPr>
        <w:tc>
          <w:tcPr>
            <w:tcW w:w="1920" w:type="dxa"/>
            <w:vAlign w:val="bottom"/>
          </w:tcPr>
          <w:p>
            <w:pPr>
              <w:ind w:left="20"/>
              <w:spacing w:after="0"/>
              <w:rPr>
                <w:sz w:val="20"/>
                <w:szCs w:val="20"/>
                <w:color w:val="auto"/>
              </w:rPr>
            </w:pPr>
            <w:r>
              <w:rPr>
                <w:rFonts w:ascii="Arial" w:cs="Arial" w:eastAsia="Arial" w:hAnsi="Arial"/>
                <w:sz w:val="12"/>
                <w:szCs w:val="12"/>
                <w:b w:val="1"/>
                <w:bCs w:val="1"/>
                <w:color w:val="auto"/>
              </w:rPr>
              <w:t>Edward H. Sim,</w:t>
            </w:r>
          </w:p>
        </w:tc>
        <w:tc>
          <w:tcPr>
            <w:tcW w:w="580" w:type="dxa"/>
            <w:vAlign w:val="bottom"/>
          </w:tcPr>
          <w:p>
            <w:pPr>
              <w:ind w:left="160"/>
              <w:spacing w:after="0"/>
              <w:rPr>
                <w:sz w:val="20"/>
                <w:szCs w:val="20"/>
                <w:color w:val="auto"/>
              </w:rPr>
            </w:pPr>
            <w:r>
              <w:rPr>
                <w:rFonts w:ascii="Arial" w:cs="Arial" w:eastAsia="Arial" w:hAnsi="Arial"/>
                <w:sz w:val="12"/>
                <w:szCs w:val="12"/>
                <w:color w:val="auto"/>
              </w:rPr>
              <w:t>2025</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802,024</w:t>
            </w:r>
          </w:p>
        </w:tc>
        <w:tc>
          <w:tcPr>
            <w:tcW w:w="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ind w:left="280"/>
              <w:spacing w:after="0"/>
              <w:rPr>
                <w:sz w:val="20"/>
                <w:szCs w:val="20"/>
                <w:color w:val="auto"/>
              </w:rPr>
            </w:pPr>
            <w:r>
              <w:rPr>
                <w:rFonts w:ascii="Arial" w:cs="Arial" w:eastAsia="Arial" w:hAnsi="Arial"/>
                <w:sz w:val="12"/>
                <w:szCs w:val="12"/>
                <w:color w:val="auto"/>
              </w:rPr>
              <w:t>2,290,465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1,604,048</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48,416</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20,036</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4,764,989</w:t>
            </w:r>
          </w:p>
        </w:tc>
      </w:tr>
      <w:tr>
        <w:trPr>
          <w:trHeight w:val="135"/>
        </w:trPr>
        <w:tc>
          <w:tcPr>
            <w:tcW w:w="1920" w:type="dxa"/>
            <w:vAlign w:val="bottom"/>
          </w:tcPr>
          <w:p>
            <w:pPr>
              <w:ind w:left="20"/>
              <w:spacing w:after="0" w:line="135" w:lineRule="exact"/>
              <w:rPr>
                <w:sz w:val="20"/>
                <w:szCs w:val="20"/>
                <w:color w:val="auto"/>
              </w:rPr>
            </w:pPr>
            <w:r>
              <w:rPr>
                <w:rFonts w:ascii="Arial" w:cs="Arial" w:eastAsia="Arial" w:hAnsi="Arial"/>
                <w:sz w:val="12"/>
                <w:szCs w:val="12"/>
                <w:color w:val="auto"/>
              </w:rPr>
              <w:t>Executive Vice President and</w:t>
            </w:r>
          </w:p>
        </w:tc>
        <w:tc>
          <w:tcPr>
            <w:tcW w:w="580" w:type="dxa"/>
            <w:vAlign w:val="bottom"/>
          </w:tcPr>
          <w:p>
            <w:pPr>
              <w:ind w:left="160"/>
              <w:spacing w:after="0" w:line="135" w:lineRule="exact"/>
              <w:rPr>
                <w:sz w:val="20"/>
                <w:szCs w:val="20"/>
                <w:color w:val="auto"/>
              </w:rPr>
            </w:pPr>
            <w:r>
              <w:rPr>
                <w:rFonts w:ascii="Arial" w:cs="Arial" w:eastAsia="Arial" w:hAnsi="Arial"/>
                <w:sz w:val="12"/>
                <w:szCs w:val="12"/>
                <w:color w:val="auto"/>
              </w:rPr>
              <w:t>2024</w:t>
            </w:r>
          </w:p>
        </w:tc>
        <w:tc>
          <w:tcPr>
            <w:tcW w:w="120" w:type="dxa"/>
            <w:vAlign w:val="bottom"/>
          </w:tcPr>
          <w:p>
            <w:pPr>
              <w:spacing w:after="0"/>
              <w:rPr>
                <w:sz w:val="11"/>
                <w:szCs w:val="11"/>
                <w:color w:val="auto"/>
              </w:rPr>
            </w:pP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806,935</w:t>
            </w:r>
          </w:p>
        </w:tc>
        <w:tc>
          <w:tcPr>
            <w:tcW w:w="240" w:type="dxa"/>
            <w:vAlign w:val="bottom"/>
          </w:tcPr>
          <w:p>
            <w:pPr>
              <w:spacing w:after="0"/>
              <w:rPr>
                <w:sz w:val="11"/>
                <w:szCs w:val="11"/>
                <w:color w:val="auto"/>
              </w:rPr>
            </w:pPr>
          </w:p>
        </w:tc>
        <w:tc>
          <w:tcPr>
            <w:tcW w:w="80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280"/>
              <w:spacing w:after="0" w:line="135" w:lineRule="exact"/>
              <w:rPr>
                <w:sz w:val="20"/>
                <w:szCs w:val="20"/>
                <w:color w:val="auto"/>
              </w:rPr>
            </w:pPr>
            <w:r>
              <w:rPr>
                <w:rFonts w:ascii="Arial" w:cs="Arial" w:eastAsia="Arial" w:hAnsi="Arial"/>
                <w:sz w:val="12"/>
                <w:szCs w:val="12"/>
                <w:color w:val="auto"/>
              </w:rPr>
              <w:t>2,202,502</w:t>
            </w:r>
          </w:p>
        </w:tc>
        <w:tc>
          <w:tcPr>
            <w:tcW w:w="160" w:type="dxa"/>
            <w:vAlign w:val="bottom"/>
          </w:tcPr>
          <w:p>
            <w:pPr>
              <w:spacing w:after="0"/>
              <w:rPr>
                <w:sz w:val="11"/>
                <w:szCs w:val="11"/>
                <w:color w:val="auto"/>
              </w:rPr>
            </w:pPr>
          </w:p>
        </w:tc>
        <w:tc>
          <w:tcPr>
            <w:tcW w:w="8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80" w:type="dxa"/>
            <w:vAlign w:val="bottom"/>
          </w:tcPr>
          <w:p>
            <w:pPr>
              <w:jc w:val="right"/>
              <w:ind w:right="2"/>
              <w:spacing w:after="0" w:line="135" w:lineRule="exact"/>
              <w:rPr>
                <w:sz w:val="20"/>
                <w:szCs w:val="20"/>
                <w:color w:val="auto"/>
              </w:rPr>
            </w:pPr>
            <w:r>
              <w:rPr>
                <w:rFonts w:ascii="Arial" w:cs="Arial" w:eastAsia="Arial" w:hAnsi="Arial"/>
                <w:sz w:val="12"/>
                <w:szCs w:val="12"/>
                <w:color w:val="auto"/>
              </w:rPr>
              <w:t>1,613,870</w:t>
            </w:r>
          </w:p>
        </w:tc>
        <w:tc>
          <w:tcPr>
            <w:tcW w:w="140" w:type="dxa"/>
            <w:vAlign w:val="bottom"/>
          </w:tcPr>
          <w:p>
            <w:pPr>
              <w:spacing w:after="0"/>
              <w:rPr>
                <w:sz w:val="11"/>
                <w:szCs w:val="11"/>
                <w:color w:val="auto"/>
              </w:rPr>
            </w:pPr>
          </w:p>
        </w:tc>
        <w:tc>
          <w:tcPr>
            <w:tcW w:w="980" w:type="dxa"/>
            <w:vAlign w:val="bottom"/>
          </w:tcPr>
          <w:p>
            <w:pPr>
              <w:jc w:val="right"/>
              <w:ind w:right="2"/>
              <w:spacing w:after="0" w:line="135" w:lineRule="exact"/>
              <w:rPr>
                <w:sz w:val="20"/>
                <w:szCs w:val="20"/>
                <w:color w:val="auto"/>
              </w:rPr>
            </w:pPr>
            <w:r>
              <w:rPr>
                <w:rFonts w:ascii="Arial" w:cs="Arial" w:eastAsia="Arial" w:hAnsi="Arial"/>
                <w:sz w:val="12"/>
                <w:szCs w:val="12"/>
                <w:color w:val="auto"/>
              </w:rPr>
              <w:t>46,502</w:t>
            </w:r>
          </w:p>
        </w:tc>
        <w:tc>
          <w:tcPr>
            <w:tcW w:w="140" w:type="dxa"/>
            <w:vAlign w:val="bottom"/>
          </w:tcPr>
          <w:p>
            <w:pPr>
              <w:spacing w:after="0"/>
              <w:rPr>
                <w:sz w:val="11"/>
                <w:szCs w:val="11"/>
                <w:color w:val="auto"/>
              </w:rPr>
            </w:pPr>
          </w:p>
        </w:tc>
        <w:tc>
          <w:tcPr>
            <w:tcW w:w="1140" w:type="dxa"/>
            <w:vAlign w:val="bottom"/>
          </w:tcPr>
          <w:p>
            <w:pPr>
              <w:jc w:val="right"/>
              <w:ind w:right="2"/>
              <w:spacing w:after="0" w:line="135" w:lineRule="exact"/>
              <w:rPr>
                <w:sz w:val="20"/>
                <w:szCs w:val="20"/>
                <w:color w:val="auto"/>
              </w:rPr>
            </w:pPr>
            <w:r>
              <w:rPr>
                <w:rFonts w:ascii="Arial" w:cs="Arial" w:eastAsia="Arial" w:hAnsi="Arial"/>
                <w:sz w:val="12"/>
                <w:szCs w:val="12"/>
                <w:color w:val="auto"/>
              </w:rPr>
              <w:t>18,638</w:t>
            </w:r>
          </w:p>
        </w:tc>
        <w:tc>
          <w:tcPr>
            <w:tcW w:w="220" w:type="dxa"/>
            <w:vAlign w:val="bottom"/>
          </w:tcPr>
          <w:p>
            <w:pPr>
              <w:spacing w:after="0"/>
              <w:rPr>
                <w:sz w:val="11"/>
                <w:szCs w:val="11"/>
                <w:color w:val="auto"/>
              </w:rPr>
            </w:pPr>
          </w:p>
        </w:tc>
        <w:tc>
          <w:tcPr>
            <w:tcW w:w="7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4,688,447</w:t>
            </w:r>
          </w:p>
        </w:tc>
      </w:tr>
      <w:tr>
        <w:trPr>
          <w:trHeight w:val="143"/>
        </w:trPr>
        <w:tc>
          <w:tcPr>
            <w:tcW w:w="1920" w:type="dxa"/>
            <w:vAlign w:val="bottom"/>
          </w:tcPr>
          <w:p>
            <w:pPr>
              <w:ind w:left="20"/>
              <w:spacing w:after="0"/>
              <w:rPr>
                <w:sz w:val="20"/>
                <w:szCs w:val="20"/>
                <w:color w:val="auto"/>
              </w:rPr>
            </w:pPr>
            <w:r>
              <w:rPr>
                <w:rFonts w:ascii="Arial" w:cs="Arial" w:eastAsia="Arial" w:hAnsi="Arial"/>
                <w:sz w:val="12"/>
                <w:szCs w:val="12"/>
                <w:color w:val="auto"/>
              </w:rPr>
              <w:t>President, Acute Care (6.)</w:t>
            </w:r>
          </w:p>
        </w:tc>
        <w:tc>
          <w:tcPr>
            <w:tcW w:w="580" w:type="dxa"/>
            <w:vAlign w:val="bottom"/>
          </w:tcPr>
          <w:p>
            <w:pPr>
              <w:ind w:left="160"/>
              <w:spacing w:after="0"/>
              <w:rPr>
                <w:sz w:val="20"/>
                <w:szCs w:val="20"/>
                <w:color w:val="auto"/>
              </w:rPr>
            </w:pPr>
            <w:r>
              <w:rPr>
                <w:rFonts w:ascii="Arial" w:cs="Arial" w:eastAsia="Arial" w:hAnsi="Arial"/>
                <w:sz w:val="12"/>
                <w:szCs w:val="12"/>
                <w:color w:val="auto"/>
              </w:rPr>
              <w:t>2023</w:t>
            </w:r>
          </w:p>
        </w:tc>
        <w:tc>
          <w:tcPr>
            <w:tcW w:w="12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775,030</w:t>
            </w:r>
          </w:p>
        </w:tc>
        <w:tc>
          <w:tcPr>
            <w:tcW w:w="240" w:type="dxa"/>
            <w:vAlign w:val="bottom"/>
          </w:tcPr>
          <w:p>
            <w:pPr>
              <w:spacing w:after="0"/>
              <w:rPr>
                <w:sz w:val="12"/>
                <w:szCs w:val="12"/>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550,000</w:t>
            </w:r>
          </w:p>
        </w:tc>
        <w:tc>
          <w:tcPr>
            <w:tcW w:w="28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2"/>
                <w:szCs w:val="12"/>
                <w:color w:val="auto"/>
              </w:rPr>
            </w:pPr>
          </w:p>
        </w:tc>
        <w:tc>
          <w:tcPr>
            <w:tcW w:w="860" w:type="dxa"/>
            <w:vAlign w:val="bottom"/>
          </w:tcPr>
          <w:p>
            <w:pPr>
              <w:ind w:left="280"/>
              <w:spacing w:after="0"/>
              <w:rPr>
                <w:sz w:val="20"/>
                <w:szCs w:val="20"/>
                <w:color w:val="auto"/>
              </w:rPr>
            </w:pPr>
            <w:r>
              <w:rPr>
                <w:rFonts w:ascii="Arial" w:cs="Arial" w:eastAsia="Arial" w:hAnsi="Arial"/>
                <w:sz w:val="12"/>
                <w:szCs w:val="12"/>
                <w:color w:val="auto"/>
              </w:rPr>
              <w:t>1,176,500</w:t>
            </w:r>
          </w:p>
        </w:tc>
        <w:tc>
          <w:tcPr>
            <w:tcW w:w="160" w:type="dxa"/>
            <w:vAlign w:val="bottom"/>
          </w:tcPr>
          <w:p>
            <w:pPr>
              <w:spacing w:after="0"/>
              <w:rPr>
                <w:sz w:val="12"/>
                <w:szCs w:val="12"/>
                <w:color w:val="auto"/>
              </w:rPr>
            </w:pP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2,578,358</w:t>
            </w:r>
          </w:p>
        </w:tc>
        <w:tc>
          <w:tcPr>
            <w:tcW w:w="120" w:type="dxa"/>
            <w:vAlign w:val="bottom"/>
          </w:tcPr>
          <w:p>
            <w:pPr>
              <w:spacing w:after="0"/>
              <w:rPr>
                <w:sz w:val="12"/>
                <w:szCs w:val="12"/>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372,014</w:t>
            </w:r>
          </w:p>
        </w:tc>
        <w:tc>
          <w:tcPr>
            <w:tcW w:w="140" w:type="dxa"/>
            <w:vAlign w:val="bottom"/>
          </w:tcPr>
          <w:p>
            <w:pPr>
              <w:spacing w:after="0"/>
              <w:rPr>
                <w:sz w:val="12"/>
                <w:szCs w:val="12"/>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17,235</w:t>
            </w:r>
          </w:p>
        </w:tc>
        <w:tc>
          <w:tcPr>
            <w:tcW w:w="220" w:type="dxa"/>
            <w:vAlign w:val="bottom"/>
          </w:tcPr>
          <w:p>
            <w:pPr>
              <w:spacing w:after="0"/>
              <w:rPr>
                <w:sz w:val="12"/>
                <w:szCs w:val="12"/>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color w:val="auto"/>
              </w:rPr>
              <w:t>5,469,137</w:t>
            </w:r>
          </w:p>
        </w:tc>
      </w:tr>
      <w:tr>
        <w:trPr>
          <w:trHeight w:val="270"/>
        </w:trPr>
        <w:tc>
          <w:tcPr>
            <w:tcW w:w="1920" w:type="dxa"/>
            <w:vAlign w:val="bottom"/>
            <w:shd w:val="clear" w:color="auto" w:fill="EDEDED"/>
          </w:tcPr>
          <w:p>
            <w:pPr>
              <w:ind w:left="20"/>
              <w:spacing w:after="0"/>
              <w:rPr>
                <w:sz w:val="20"/>
                <w:szCs w:val="20"/>
                <w:color w:val="auto"/>
              </w:rPr>
            </w:pPr>
            <w:r>
              <w:rPr>
                <w:rFonts w:ascii="Arial" w:cs="Arial" w:eastAsia="Arial" w:hAnsi="Arial"/>
                <w:sz w:val="12"/>
                <w:szCs w:val="12"/>
                <w:b w:val="1"/>
                <w:bCs w:val="1"/>
                <w:color w:val="auto"/>
              </w:rPr>
              <w:t>Matthew J. Peterson,</w:t>
            </w:r>
          </w:p>
        </w:tc>
        <w:tc>
          <w:tcPr>
            <w:tcW w:w="580" w:type="dxa"/>
            <w:vAlign w:val="bottom"/>
            <w:shd w:val="clear" w:color="auto" w:fill="EDEDED"/>
          </w:tcPr>
          <w:p>
            <w:pPr>
              <w:ind w:left="160"/>
              <w:spacing w:after="0"/>
              <w:rPr>
                <w:sz w:val="20"/>
                <w:szCs w:val="20"/>
                <w:color w:val="auto"/>
              </w:rPr>
            </w:pPr>
            <w:r>
              <w:rPr>
                <w:rFonts w:ascii="Arial" w:cs="Arial" w:eastAsia="Arial" w:hAnsi="Arial"/>
                <w:sz w:val="12"/>
                <w:szCs w:val="12"/>
                <w:color w:val="auto"/>
              </w:rPr>
              <w:t>2025</w:t>
            </w:r>
          </w:p>
        </w:tc>
        <w:tc>
          <w:tcPr>
            <w:tcW w:w="120" w:type="dxa"/>
            <w:vAlign w:val="bottom"/>
            <w:shd w:val="clear" w:color="auto" w:fill="EDEDED"/>
          </w:tcPr>
          <w:p>
            <w:pPr>
              <w:jc w:val="right"/>
              <w:ind w:right="13"/>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719,971</w:t>
            </w:r>
          </w:p>
        </w:tc>
        <w:tc>
          <w:tcPr>
            <w:tcW w:w="240" w:type="dxa"/>
            <w:vAlign w:val="bottom"/>
            <w:shd w:val="clear" w:color="auto" w:fill="EDEDED"/>
          </w:tcPr>
          <w:p>
            <w:pPr>
              <w:jc w:val="right"/>
              <w:ind w:right="42"/>
              <w:spacing w:after="0"/>
              <w:rPr>
                <w:sz w:val="20"/>
                <w:szCs w:val="20"/>
                <w:color w:val="auto"/>
              </w:rPr>
            </w:pPr>
            <w:r>
              <w:rPr>
                <w:rFonts w:ascii="Arial" w:cs="Arial" w:eastAsia="Arial" w:hAnsi="Arial"/>
                <w:sz w:val="12"/>
                <w:szCs w:val="12"/>
                <w:color w:val="auto"/>
              </w:rPr>
              <w:t>$</w:t>
            </w:r>
          </w:p>
        </w:tc>
        <w:tc>
          <w:tcPr>
            <w:tcW w:w="80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shd w:val="clear" w:color="auto" w:fill="EDEDED"/>
          </w:tcPr>
          <w:p>
            <w:pPr>
              <w:spacing w:after="0"/>
              <w:rPr>
                <w:sz w:val="23"/>
                <w:szCs w:val="23"/>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EDEDED"/>
          </w:tcPr>
          <w:p>
            <w:pPr>
              <w:ind w:left="280"/>
              <w:spacing w:after="0"/>
              <w:rPr>
                <w:sz w:val="20"/>
                <w:szCs w:val="20"/>
                <w:color w:val="auto"/>
              </w:rPr>
            </w:pPr>
            <w:r>
              <w:rPr>
                <w:rFonts w:ascii="Arial" w:cs="Arial" w:eastAsia="Arial" w:hAnsi="Arial"/>
                <w:sz w:val="12"/>
                <w:szCs w:val="12"/>
                <w:color w:val="auto"/>
              </w:rPr>
              <w:t>2,012,660</w:t>
            </w:r>
          </w:p>
        </w:tc>
        <w:tc>
          <w:tcPr>
            <w:tcW w:w="16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EDEDED"/>
          </w:tcPr>
          <w:p>
            <w:pPr>
              <w:jc w:val="right"/>
              <w:ind w:right="22"/>
              <w:spacing w:after="0"/>
              <w:rPr>
                <w:sz w:val="20"/>
                <w:szCs w:val="20"/>
                <w:color w:val="auto"/>
              </w:rPr>
            </w:pPr>
            <w:r>
              <w:rPr>
                <w:rFonts w:ascii="Arial" w:cs="Arial" w:eastAsia="Arial" w:hAnsi="Arial"/>
                <w:sz w:val="12"/>
                <w:szCs w:val="12"/>
                <w:color w:val="auto"/>
              </w:rPr>
              <w:t>—</w:t>
            </w:r>
          </w:p>
        </w:tc>
        <w:tc>
          <w:tcPr>
            <w:tcW w:w="12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108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1,353,545</w:t>
            </w:r>
          </w:p>
        </w:tc>
        <w:tc>
          <w:tcPr>
            <w:tcW w:w="14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43,526</w:t>
            </w:r>
          </w:p>
        </w:tc>
        <w:tc>
          <w:tcPr>
            <w:tcW w:w="140" w:type="dxa"/>
            <w:vAlign w:val="bottom"/>
            <w:shd w:val="clear" w:color="auto" w:fill="EDEDED"/>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EDEDED"/>
          </w:tcPr>
          <w:p>
            <w:pPr>
              <w:jc w:val="right"/>
              <w:ind w:right="2"/>
              <w:spacing w:after="0"/>
              <w:rPr>
                <w:sz w:val="20"/>
                <w:szCs w:val="20"/>
                <w:color w:val="auto"/>
              </w:rPr>
            </w:pPr>
            <w:r>
              <w:rPr>
                <w:rFonts w:ascii="Arial" w:cs="Arial" w:eastAsia="Arial" w:hAnsi="Arial"/>
                <w:sz w:val="12"/>
                <w:szCs w:val="12"/>
                <w:color w:val="auto"/>
              </w:rPr>
              <w:t>46,735</w:t>
            </w:r>
          </w:p>
        </w:tc>
        <w:tc>
          <w:tcPr>
            <w:tcW w:w="220" w:type="dxa"/>
            <w:vAlign w:val="bottom"/>
            <w:shd w:val="clear" w:color="auto" w:fill="EDEDED"/>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EDEDED"/>
          </w:tcPr>
          <w:p>
            <w:pPr>
              <w:jc w:val="right"/>
              <w:ind w:right="62"/>
              <w:spacing w:after="0"/>
              <w:rPr>
                <w:sz w:val="20"/>
                <w:szCs w:val="20"/>
                <w:color w:val="auto"/>
              </w:rPr>
            </w:pPr>
            <w:r>
              <w:rPr>
                <w:rFonts w:ascii="Arial" w:cs="Arial" w:eastAsia="Arial" w:hAnsi="Arial"/>
                <w:sz w:val="12"/>
                <w:szCs w:val="12"/>
                <w:color w:val="auto"/>
              </w:rPr>
              <w:t>4,176,437</w:t>
            </w:r>
          </w:p>
        </w:tc>
      </w:tr>
      <w:tr>
        <w:trPr>
          <w:trHeight w:val="135"/>
        </w:trPr>
        <w:tc>
          <w:tcPr>
            <w:tcW w:w="1920" w:type="dxa"/>
            <w:vAlign w:val="bottom"/>
            <w:shd w:val="clear" w:color="auto" w:fill="EDEDED"/>
          </w:tcPr>
          <w:p>
            <w:pPr>
              <w:ind w:left="20"/>
              <w:spacing w:after="0" w:line="135" w:lineRule="exact"/>
              <w:rPr>
                <w:sz w:val="20"/>
                <w:szCs w:val="20"/>
                <w:color w:val="auto"/>
              </w:rPr>
            </w:pPr>
            <w:r>
              <w:rPr>
                <w:rFonts w:ascii="Arial" w:cs="Arial" w:eastAsia="Arial" w:hAnsi="Arial"/>
                <w:sz w:val="12"/>
                <w:szCs w:val="12"/>
                <w:color w:val="auto"/>
              </w:rPr>
              <w:t>Executive Vice President and</w:t>
            </w:r>
          </w:p>
        </w:tc>
        <w:tc>
          <w:tcPr>
            <w:tcW w:w="580" w:type="dxa"/>
            <w:vAlign w:val="bottom"/>
            <w:shd w:val="clear" w:color="auto" w:fill="EDEDED"/>
          </w:tcPr>
          <w:p>
            <w:pPr>
              <w:ind w:left="160"/>
              <w:spacing w:after="0" w:line="135" w:lineRule="exact"/>
              <w:rPr>
                <w:sz w:val="20"/>
                <w:szCs w:val="20"/>
                <w:color w:val="auto"/>
              </w:rPr>
            </w:pPr>
            <w:r>
              <w:rPr>
                <w:rFonts w:ascii="Arial" w:cs="Arial" w:eastAsia="Arial" w:hAnsi="Arial"/>
                <w:sz w:val="12"/>
                <w:szCs w:val="12"/>
                <w:color w:val="auto"/>
              </w:rPr>
              <w:t>2024</w:t>
            </w:r>
          </w:p>
        </w:tc>
        <w:tc>
          <w:tcPr>
            <w:tcW w:w="12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725,428</w:t>
            </w:r>
          </w:p>
        </w:tc>
        <w:tc>
          <w:tcPr>
            <w:tcW w:w="240" w:type="dxa"/>
            <w:vAlign w:val="bottom"/>
            <w:shd w:val="clear" w:color="auto" w:fill="EDEDED"/>
          </w:tcPr>
          <w:p>
            <w:pPr>
              <w:spacing w:after="0"/>
              <w:rPr>
                <w:sz w:val="11"/>
                <w:szCs w:val="11"/>
                <w:color w:val="auto"/>
              </w:rPr>
            </w:pPr>
          </w:p>
        </w:tc>
        <w:tc>
          <w:tcPr>
            <w:tcW w:w="80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8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860" w:type="dxa"/>
            <w:vAlign w:val="bottom"/>
            <w:shd w:val="clear" w:color="auto" w:fill="EDEDED"/>
          </w:tcPr>
          <w:p>
            <w:pPr>
              <w:ind w:left="280"/>
              <w:spacing w:after="0" w:line="135" w:lineRule="exact"/>
              <w:rPr>
                <w:sz w:val="20"/>
                <w:szCs w:val="20"/>
                <w:color w:val="auto"/>
              </w:rPr>
            </w:pPr>
            <w:r>
              <w:rPr>
                <w:rFonts w:ascii="Arial" w:cs="Arial" w:eastAsia="Arial" w:hAnsi="Arial"/>
                <w:sz w:val="12"/>
                <w:szCs w:val="12"/>
                <w:color w:val="auto"/>
              </w:rPr>
              <w:t>1,935,324</w:t>
            </w:r>
          </w:p>
        </w:tc>
        <w:tc>
          <w:tcPr>
            <w:tcW w:w="160" w:type="dxa"/>
            <w:vAlign w:val="bottom"/>
            <w:shd w:val="clear" w:color="auto" w:fill="EDEDED"/>
          </w:tcPr>
          <w:p>
            <w:pPr>
              <w:spacing w:after="0"/>
              <w:rPr>
                <w:sz w:val="11"/>
                <w:szCs w:val="11"/>
                <w:color w:val="auto"/>
              </w:rPr>
            </w:pPr>
          </w:p>
        </w:tc>
        <w:tc>
          <w:tcPr>
            <w:tcW w:w="840" w:type="dxa"/>
            <w:vAlign w:val="bottom"/>
            <w:shd w:val="clear" w:color="auto" w:fill="EDEDED"/>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EDEDED"/>
          </w:tcPr>
          <w:p>
            <w:pPr>
              <w:spacing w:after="0"/>
              <w:rPr>
                <w:sz w:val="11"/>
                <w:szCs w:val="11"/>
                <w:color w:val="auto"/>
              </w:rPr>
            </w:pPr>
          </w:p>
        </w:tc>
        <w:tc>
          <w:tcPr>
            <w:tcW w:w="10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1,450,856</w:t>
            </w:r>
          </w:p>
        </w:tc>
        <w:tc>
          <w:tcPr>
            <w:tcW w:w="14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41,852</w:t>
            </w:r>
          </w:p>
        </w:tc>
        <w:tc>
          <w:tcPr>
            <w:tcW w:w="140" w:type="dxa"/>
            <w:vAlign w:val="bottom"/>
            <w:shd w:val="clear" w:color="auto" w:fill="EDEDED"/>
          </w:tcPr>
          <w:p>
            <w:pPr>
              <w:spacing w:after="0"/>
              <w:rPr>
                <w:sz w:val="11"/>
                <w:szCs w:val="11"/>
                <w:color w:val="auto"/>
              </w:rPr>
            </w:pPr>
          </w:p>
        </w:tc>
        <w:tc>
          <w:tcPr>
            <w:tcW w:w="114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20,521</w:t>
            </w:r>
          </w:p>
        </w:tc>
        <w:tc>
          <w:tcPr>
            <w:tcW w:w="220" w:type="dxa"/>
            <w:vAlign w:val="bottom"/>
            <w:shd w:val="clear" w:color="auto" w:fill="EDEDED"/>
          </w:tcPr>
          <w:p>
            <w:pPr>
              <w:spacing w:after="0"/>
              <w:rPr>
                <w:sz w:val="11"/>
                <w:szCs w:val="11"/>
                <w:color w:val="auto"/>
              </w:rPr>
            </w:pPr>
          </w:p>
        </w:tc>
        <w:tc>
          <w:tcPr>
            <w:tcW w:w="780" w:type="dxa"/>
            <w:vAlign w:val="bottom"/>
            <w:shd w:val="clear" w:color="auto" w:fill="EDEDED"/>
          </w:tcPr>
          <w:p>
            <w:pPr>
              <w:jc w:val="right"/>
              <w:ind w:right="62"/>
              <w:spacing w:after="0" w:line="135" w:lineRule="exact"/>
              <w:rPr>
                <w:sz w:val="20"/>
                <w:szCs w:val="20"/>
                <w:color w:val="auto"/>
              </w:rPr>
            </w:pPr>
            <w:r>
              <w:rPr>
                <w:rFonts w:ascii="Arial" w:cs="Arial" w:eastAsia="Arial" w:hAnsi="Arial"/>
                <w:sz w:val="12"/>
                <w:szCs w:val="12"/>
                <w:color w:val="auto"/>
              </w:rPr>
              <w:t>4,173,981</w:t>
            </w:r>
          </w:p>
        </w:tc>
      </w:tr>
      <w:tr>
        <w:trPr>
          <w:trHeight w:val="135"/>
        </w:trPr>
        <w:tc>
          <w:tcPr>
            <w:tcW w:w="1920" w:type="dxa"/>
            <w:vAlign w:val="bottom"/>
            <w:shd w:val="clear" w:color="auto" w:fill="EDEDED"/>
          </w:tcPr>
          <w:p>
            <w:pPr>
              <w:ind w:left="20"/>
              <w:spacing w:after="0" w:line="135" w:lineRule="exact"/>
              <w:rPr>
                <w:sz w:val="20"/>
                <w:szCs w:val="20"/>
                <w:color w:val="auto"/>
              </w:rPr>
            </w:pPr>
            <w:r>
              <w:rPr>
                <w:rFonts w:ascii="Arial" w:cs="Arial" w:eastAsia="Arial" w:hAnsi="Arial"/>
                <w:sz w:val="12"/>
                <w:szCs w:val="12"/>
                <w:color w:val="auto"/>
              </w:rPr>
              <w:t>President, Behavioral Health</w:t>
            </w:r>
          </w:p>
        </w:tc>
        <w:tc>
          <w:tcPr>
            <w:tcW w:w="580" w:type="dxa"/>
            <w:vAlign w:val="bottom"/>
            <w:shd w:val="clear" w:color="auto" w:fill="EDEDED"/>
          </w:tcPr>
          <w:p>
            <w:pPr>
              <w:ind w:left="160"/>
              <w:spacing w:after="0" w:line="135" w:lineRule="exact"/>
              <w:rPr>
                <w:sz w:val="20"/>
                <w:szCs w:val="20"/>
                <w:color w:val="auto"/>
              </w:rPr>
            </w:pPr>
            <w:r>
              <w:rPr>
                <w:rFonts w:ascii="Arial" w:cs="Arial" w:eastAsia="Arial" w:hAnsi="Arial"/>
                <w:sz w:val="12"/>
                <w:szCs w:val="12"/>
                <w:color w:val="auto"/>
              </w:rPr>
              <w:t>2023</w:t>
            </w:r>
          </w:p>
        </w:tc>
        <w:tc>
          <w:tcPr>
            <w:tcW w:w="12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697,527</w:t>
            </w:r>
          </w:p>
        </w:tc>
        <w:tc>
          <w:tcPr>
            <w:tcW w:w="240" w:type="dxa"/>
            <w:vAlign w:val="bottom"/>
            <w:shd w:val="clear" w:color="auto" w:fill="EDEDED"/>
          </w:tcPr>
          <w:p>
            <w:pPr>
              <w:spacing w:after="0"/>
              <w:rPr>
                <w:sz w:val="11"/>
                <w:szCs w:val="11"/>
                <w:color w:val="auto"/>
              </w:rPr>
            </w:pPr>
          </w:p>
        </w:tc>
        <w:tc>
          <w:tcPr>
            <w:tcW w:w="80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8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860" w:type="dxa"/>
            <w:vAlign w:val="bottom"/>
            <w:shd w:val="clear" w:color="auto" w:fill="EDEDED"/>
          </w:tcPr>
          <w:p>
            <w:pPr>
              <w:ind w:left="280"/>
              <w:spacing w:after="0" w:line="135" w:lineRule="exact"/>
              <w:rPr>
                <w:sz w:val="20"/>
                <w:szCs w:val="20"/>
                <w:color w:val="auto"/>
              </w:rPr>
            </w:pPr>
            <w:r>
              <w:rPr>
                <w:rFonts w:ascii="Arial" w:cs="Arial" w:eastAsia="Arial" w:hAnsi="Arial"/>
                <w:sz w:val="12"/>
                <w:szCs w:val="12"/>
                <w:color w:val="auto"/>
              </w:rPr>
              <w:t>1,033,791</w:t>
            </w:r>
          </w:p>
        </w:tc>
        <w:tc>
          <w:tcPr>
            <w:tcW w:w="160" w:type="dxa"/>
            <w:vAlign w:val="bottom"/>
            <w:shd w:val="clear" w:color="auto" w:fill="EDEDED"/>
          </w:tcPr>
          <w:p>
            <w:pPr>
              <w:spacing w:after="0"/>
              <w:rPr>
                <w:sz w:val="11"/>
                <w:szCs w:val="11"/>
                <w:color w:val="auto"/>
              </w:rPr>
            </w:pPr>
          </w:p>
        </w:tc>
        <w:tc>
          <w:tcPr>
            <w:tcW w:w="840" w:type="dxa"/>
            <w:vAlign w:val="bottom"/>
            <w:shd w:val="clear" w:color="auto" w:fill="EDEDED"/>
          </w:tcPr>
          <w:p>
            <w:pPr>
              <w:jc w:val="right"/>
              <w:ind w:right="22"/>
              <w:spacing w:after="0" w:line="135" w:lineRule="exact"/>
              <w:rPr>
                <w:sz w:val="20"/>
                <w:szCs w:val="20"/>
                <w:color w:val="auto"/>
              </w:rPr>
            </w:pPr>
            <w:r>
              <w:rPr>
                <w:rFonts w:ascii="Arial" w:cs="Arial" w:eastAsia="Arial" w:hAnsi="Arial"/>
                <w:sz w:val="12"/>
                <w:szCs w:val="12"/>
                <w:color w:val="auto"/>
              </w:rPr>
              <w:t>1,033,818</w:t>
            </w:r>
          </w:p>
        </w:tc>
        <w:tc>
          <w:tcPr>
            <w:tcW w:w="120" w:type="dxa"/>
            <w:vAlign w:val="bottom"/>
            <w:shd w:val="clear" w:color="auto" w:fill="EDEDED"/>
          </w:tcPr>
          <w:p>
            <w:pPr>
              <w:spacing w:after="0"/>
              <w:rPr>
                <w:sz w:val="11"/>
                <w:szCs w:val="11"/>
                <w:color w:val="auto"/>
              </w:rPr>
            </w:pPr>
          </w:p>
        </w:tc>
        <w:tc>
          <w:tcPr>
            <w:tcW w:w="10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1,224,160</w:t>
            </w:r>
          </w:p>
        </w:tc>
        <w:tc>
          <w:tcPr>
            <w:tcW w:w="14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40,015</w:t>
            </w:r>
          </w:p>
        </w:tc>
        <w:tc>
          <w:tcPr>
            <w:tcW w:w="140" w:type="dxa"/>
            <w:vAlign w:val="bottom"/>
            <w:shd w:val="clear" w:color="auto" w:fill="EDEDED"/>
          </w:tcPr>
          <w:p>
            <w:pPr>
              <w:spacing w:after="0"/>
              <w:rPr>
                <w:sz w:val="11"/>
                <w:szCs w:val="11"/>
                <w:color w:val="auto"/>
              </w:rPr>
            </w:pPr>
          </w:p>
        </w:tc>
        <w:tc>
          <w:tcPr>
            <w:tcW w:w="1140" w:type="dxa"/>
            <w:vAlign w:val="bottom"/>
            <w:shd w:val="clear" w:color="auto" w:fill="EDEDED"/>
          </w:tcPr>
          <w:p>
            <w:pPr>
              <w:jc w:val="right"/>
              <w:ind w:right="2"/>
              <w:spacing w:after="0" w:line="135" w:lineRule="exact"/>
              <w:rPr>
                <w:sz w:val="20"/>
                <w:szCs w:val="20"/>
                <w:color w:val="auto"/>
              </w:rPr>
            </w:pPr>
            <w:r>
              <w:rPr>
                <w:rFonts w:ascii="Arial" w:cs="Arial" w:eastAsia="Arial" w:hAnsi="Arial"/>
                <w:sz w:val="12"/>
                <w:szCs w:val="12"/>
                <w:color w:val="auto"/>
              </w:rPr>
              <w:t>20,293</w:t>
            </w:r>
          </w:p>
        </w:tc>
        <w:tc>
          <w:tcPr>
            <w:tcW w:w="220" w:type="dxa"/>
            <w:vAlign w:val="bottom"/>
            <w:shd w:val="clear" w:color="auto" w:fill="EDEDED"/>
          </w:tcPr>
          <w:p>
            <w:pPr>
              <w:spacing w:after="0"/>
              <w:rPr>
                <w:sz w:val="11"/>
                <w:szCs w:val="11"/>
                <w:color w:val="auto"/>
              </w:rPr>
            </w:pPr>
          </w:p>
        </w:tc>
        <w:tc>
          <w:tcPr>
            <w:tcW w:w="780" w:type="dxa"/>
            <w:vAlign w:val="bottom"/>
            <w:shd w:val="clear" w:color="auto" w:fill="EDEDED"/>
          </w:tcPr>
          <w:p>
            <w:pPr>
              <w:jc w:val="right"/>
              <w:ind w:right="62"/>
              <w:spacing w:after="0" w:line="135" w:lineRule="exact"/>
              <w:rPr>
                <w:sz w:val="20"/>
                <w:szCs w:val="20"/>
                <w:color w:val="auto"/>
              </w:rPr>
            </w:pPr>
            <w:r>
              <w:rPr>
                <w:rFonts w:ascii="Arial" w:cs="Arial" w:eastAsia="Arial" w:hAnsi="Arial"/>
                <w:sz w:val="12"/>
                <w:szCs w:val="12"/>
                <w:color w:val="auto"/>
              </w:rPr>
              <w:t>4,049,604</w:t>
            </w:r>
          </w:p>
        </w:tc>
      </w:tr>
      <w:tr>
        <w:trPr>
          <w:trHeight w:val="135"/>
        </w:trPr>
        <w:tc>
          <w:tcPr>
            <w:tcW w:w="1920" w:type="dxa"/>
            <w:vAlign w:val="bottom"/>
            <w:tcBorders>
              <w:bottom w:val="single" w:sz="8" w:color="7F7F7F"/>
            </w:tcBorders>
            <w:shd w:val="clear" w:color="auto" w:fill="EDEDED"/>
          </w:tcPr>
          <w:p>
            <w:pPr>
              <w:spacing w:after="0"/>
              <w:rPr>
                <w:sz w:val="11"/>
                <w:szCs w:val="11"/>
                <w:color w:val="auto"/>
              </w:rPr>
            </w:pPr>
          </w:p>
        </w:tc>
        <w:tc>
          <w:tcPr>
            <w:tcW w:w="580" w:type="dxa"/>
            <w:vAlign w:val="bottom"/>
            <w:tcBorders>
              <w:bottom w:val="single" w:sz="8" w:color="7F7F7F"/>
            </w:tcBorders>
            <w:shd w:val="clear" w:color="auto" w:fill="EDEDED"/>
          </w:tcPr>
          <w:p>
            <w:pPr>
              <w:spacing w:after="0"/>
              <w:rPr>
                <w:sz w:val="11"/>
                <w:szCs w:val="11"/>
                <w:color w:val="auto"/>
              </w:rPr>
            </w:pPr>
          </w:p>
        </w:tc>
        <w:tc>
          <w:tcPr>
            <w:tcW w:w="120" w:type="dxa"/>
            <w:vAlign w:val="bottom"/>
            <w:tcBorders>
              <w:bottom w:val="single" w:sz="8" w:color="7F7F7F"/>
            </w:tcBorders>
            <w:shd w:val="clear" w:color="auto" w:fill="EDEDED"/>
          </w:tcPr>
          <w:p>
            <w:pPr>
              <w:spacing w:after="0"/>
              <w:rPr>
                <w:sz w:val="11"/>
                <w:szCs w:val="11"/>
                <w:color w:val="auto"/>
              </w:rPr>
            </w:pPr>
          </w:p>
        </w:tc>
        <w:tc>
          <w:tcPr>
            <w:tcW w:w="720" w:type="dxa"/>
            <w:vAlign w:val="bottom"/>
            <w:tcBorders>
              <w:bottom w:val="single" w:sz="8" w:color="7F7F7F"/>
            </w:tcBorders>
            <w:shd w:val="clear" w:color="auto" w:fill="EDEDED"/>
          </w:tcPr>
          <w:p>
            <w:pPr>
              <w:spacing w:after="0"/>
              <w:rPr>
                <w:sz w:val="11"/>
                <w:szCs w:val="11"/>
                <w:color w:val="auto"/>
              </w:rPr>
            </w:pPr>
          </w:p>
        </w:tc>
        <w:tc>
          <w:tcPr>
            <w:tcW w:w="240" w:type="dxa"/>
            <w:vAlign w:val="bottom"/>
            <w:tcBorders>
              <w:bottom w:val="single" w:sz="8" w:color="7F7F7F"/>
            </w:tcBorders>
            <w:shd w:val="clear" w:color="auto" w:fill="EDEDED"/>
          </w:tcPr>
          <w:p>
            <w:pPr>
              <w:spacing w:after="0"/>
              <w:rPr>
                <w:sz w:val="11"/>
                <w:szCs w:val="11"/>
                <w:color w:val="auto"/>
              </w:rPr>
            </w:pPr>
          </w:p>
        </w:tc>
        <w:tc>
          <w:tcPr>
            <w:tcW w:w="800" w:type="dxa"/>
            <w:vAlign w:val="bottom"/>
            <w:tcBorders>
              <w:bottom w:val="single" w:sz="8" w:color="7F7F7F"/>
            </w:tcBorders>
            <w:shd w:val="clear" w:color="auto" w:fill="EDEDED"/>
          </w:tcPr>
          <w:p>
            <w:pPr>
              <w:spacing w:after="0"/>
              <w:rPr>
                <w:sz w:val="11"/>
                <w:szCs w:val="11"/>
                <w:color w:val="auto"/>
              </w:rPr>
            </w:pPr>
          </w:p>
        </w:tc>
        <w:tc>
          <w:tcPr>
            <w:tcW w:w="280" w:type="dxa"/>
            <w:vAlign w:val="bottom"/>
            <w:tcBorders>
              <w:bottom w:val="single" w:sz="8" w:color="7F7F7F"/>
            </w:tcBorders>
            <w:shd w:val="clear" w:color="auto" w:fill="EDEDED"/>
          </w:tcPr>
          <w:p>
            <w:pPr>
              <w:spacing w:after="0"/>
              <w:rPr>
                <w:sz w:val="11"/>
                <w:szCs w:val="11"/>
                <w:color w:val="auto"/>
              </w:rPr>
            </w:pPr>
          </w:p>
        </w:tc>
        <w:tc>
          <w:tcPr>
            <w:tcW w:w="120" w:type="dxa"/>
            <w:vAlign w:val="bottom"/>
            <w:tcBorders>
              <w:bottom w:val="single" w:sz="8" w:color="7F7F7F"/>
            </w:tcBorders>
            <w:shd w:val="clear" w:color="auto" w:fill="EDEDED"/>
          </w:tcPr>
          <w:p>
            <w:pPr>
              <w:spacing w:after="0"/>
              <w:rPr>
                <w:sz w:val="11"/>
                <w:szCs w:val="11"/>
                <w:color w:val="auto"/>
              </w:rPr>
            </w:pPr>
          </w:p>
        </w:tc>
        <w:tc>
          <w:tcPr>
            <w:tcW w:w="860" w:type="dxa"/>
            <w:vAlign w:val="bottom"/>
            <w:tcBorders>
              <w:bottom w:val="single" w:sz="8" w:color="7F7F7F"/>
            </w:tcBorders>
            <w:shd w:val="clear" w:color="auto" w:fill="EDEDED"/>
          </w:tcPr>
          <w:p>
            <w:pPr>
              <w:spacing w:after="0"/>
              <w:rPr>
                <w:sz w:val="11"/>
                <w:szCs w:val="11"/>
                <w:color w:val="auto"/>
              </w:rPr>
            </w:pPr>
          </w:p>
        </w:tc>
        <w:tc>
          <w:tcPr>
            <w:tcW w:w="160" w:type="dxa"/>
            <w:vAlign w:val="bottom"/>
            <w:tcBorders>
              <w:bottom w:val="single" w:sz="8" w:color="7F7F7F"/>
            </w:tcBorders>
            <w:shd w:val="clear" w:color="auto" w:fill="EDEDED"/>
          </w:tcPr>
          <w:p>
            <w:pPr>
              <w:spacing w:after="0"/>
              <w:rPr>
                <w:sz w:val="11"/>
                <w:szCs w:val="11"/>
                <w:color w:val="auto"/>
              </w:rPr>
            </w:pPr>
          </w:p>
        </w:tc>
        <w:tc>
          <w:tcPr>
            <w:tcW w:w="840" w:type="dxa"/>
            <w:vAlign w:val="bottom"/>
            <w:tcBorders>
              <w:bottom w:val="single" w:sz="8" w:color="7F7F7F"/>
            </w:tcBorders>
            <w:shd w:val="clear" w:color="auto" w:fill="EDEDED"/>
          </w:tcPr>
          <w:p>
            <w:pPr>
              <w:spacing w:after="0"/>
              <w:rPr>
                <w:sz w:val="11"/>
                <w:szCs w:val="11"/>
                <w:color w:val="auto"/>
              </w:rPr>
            </w:pPr>
          </w:p>
        </w:tc>
        <w:tc>
          <w:tcPr>
            <w:tcW w:w="120" w:type="dxa"/>
            <w:vAlign w:val="bottom"/>
            <w:tcBorders>
              <w:bottom w:val="single" w:sz="8" w:color="7F7F7F"/>
            </w:tcBorders>
            <w:shd w:val="clear" w:color="auto" w:fill="EDEDED"/>
          </w:tcPr>
          <w:p>
            <w:pPr>
              <w:spacing w:after="0"/>
              <w:rPr>
                <w:sz w:val="11"/>
                <w:szCs w:val="11"/>
                <w:color w:val="auto"/>
              </w:rPr>
            </w:pPr>
          </w:p>
        </w:tc>
        <w:tc>
          <w:tcPr>
            <w:tcW w:w="1080" w:type="dxa"/>
            <w:vAlign w:val="bottom"/>
            <w:tcBorders>
              <w:bottom w:val="single" w:sz="8" w:color="7F7F7F"/>
            </w:tcBorders>
            <w:shd w:val="clear" w:color="auto" w:fill="EDEDED"/>
          </w:tcPr>
          <w:p>
            <w:pPr>
              <w:spacing w:after="0"/>
              <w:rPr>
                <w:sz w:val="11"/>
                <w:szCs w:val="11"/>
                <w:color w:val="auto"/>
              </w:rPr>
            </w:pPr>
          </w:p>
        </w:tc>
        <w:tc>
          <w:tcPr>
            <w:tcW w:w="140" w:type="dxa"/>
            <w:vAlign w:val="bottom"/>
            <w:tcBorders>
              <w:bottom w:val="single" w:sz="8" w:color="7F7F7F"/>
            </w:tcBorders>
            <w:shd w:val="clear" w:color="auto" w:fill="EDEDED"/>
          </w:tcPr>
          <w:p>
            <w:pPr>
              <w:spacing w:after="0"/>
              <w:rPr>
                <w:sz w:val="11"/>
                <w:szCs w:val="11"/>
                <w:color w:val="auto"/>
              </w:rPr>
            </w:pPr>
          </w:p>
        </w:tc>
        <w:tc>
          <w:tcPr>
            <w:tcW w:w="980" w:type="dxa"/>
            <w:vAlign w:val="bottom"/>
            <w:tcBorders>
              <w:bottom w:val="single" w:sz="8" w:color="7F7F7F"/>
            </w:tcBorders>
            <w:shd w:val="clear" w:color="auto" w:fill="EDEDED"/>
          </w:tcPr>
          <w:p>
            <w:pPr>
              <w:spacing w:after="0"/>
              <w:rPr>
                <w:sz w:val="11"/>
                <w:szCs w:val="11"/>
                <w:color w:val="auto"/>
              </w:rPr>
            </w:pPr>
          </w:p>
        </w:tc>
        <w:tc>
          <w:tcPr>
            <w:tcW w:w="140" w:type="dxa"/>
            <w:vAlign w:val="bottom"/>
            <w:tcBorders>
              <w:bottom w:val="single" w:sz="8" w:color="7F7F7F"/>
            </w:tcBorders>
            <w:shd w:val="clear" w:color="auto" w:fill="EDEDED"/>
          </w:tcPr>
          <w:p>
            <w:pPr>
              <w:spacing w:after="0"/>
              <w:rPr>
                <w:sz w:val="11"/>
                <w:szCs w:val="11"/>
                <w:color w:val="auto"/>
              </w:rPr>
            </w:pPr>
          </w:p>
        </w:tc>
        <w:tc>
          <w:tcPr>
            <w:tcW w:w="1140" w:type="dxa"/>
            <w:vAlign w:val="bottom"/>
            <w:tcBorders>
              <w:bottom w:val="single" w:sz="8" w:color="7F7F7F"/>
            </w:tcBorders>
            <w:shd w:val="clear" w:color="auto" w:fill="EDEDED"/>
          </w:tcPr>
          <w:p>
            <w:pPr>
              <w:spacing w:after="0"/>
              <w:rPr>
                <w:sz w:val="11"/>
                <w:szCs w:val="11"/>
                <w:color w:val="auto"/>
              </w:rPr>
            </w:pPr>
          </w:p>
        </w:tc>
        <w:tc>
          <w:tcPr>
            <w:tcW w:w="220" w:type="dxa"/>
            <w:vAlign w:val="bottom"/>
            <w:tcBorders>
              <w:bottom w:val="single" w:sz="8" w:color="7F7F7F"/>
            </w:tcBorders>
            <w:shd w:val="clear" w:color="auto" w:fill="EDEDED"/>
          </w:tcPr>
          <w:p>
            <w:pPr>
              <w:spacing w:after="0"/>
              <w:rPr>
                <w:sz w:val="11"/>
                <w:szCs w:val="11"/>
                <w:color w:val="auto"/>
              </w:rPr>
            </w:pPr>
          </w:p>
        </w:tc>
        <w:tc>
          <w:tcPr>
            <w:tcW w:w="780" w:type="dxa"/>
            <w:vAlign w:val="bottom"/>
            <w:tcBorders>
              <w:bottom w:val="single" w:sz="8" w:color="7F7F7F"/>
            </w:tcBorders>
            <w:shd w:val="clear" w:color="auto" w:fill="EDEDED"/>
          </w:tcPr>
          <w:p>
            <w:pPr>
              <w:spacing w:after="0"/>
              <w:rPr>
                <w:sz w:val="11"/>
                <w:szCs w:val="11"/>
                <w:color w:val="auto"/>
              </w:rPr>
            </w:pPr>
          </w:p>
        </w:tc>
      </w:tr>
    </w:tbl>
    <w:p>
      <w:pPr>
        <w:spacing w:after="0" w:line="103" w:lineRule="exact"/>
        <w:rPr>
          <w:sz w:val="20"/>
          <w:szCs w:val="20"/>
          <w:color w:val="auto"/>
        </w:rPr>
      </w:pPr>
    </w:p>
    <w:p>
      <w:pPr>
        <w:jc w:val="both"/>
        <w:ind w:left="500" w:hanging="37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March, 2025, and March, 2024, our CEO and other NEOs each received their annual target stock-based compensation awards in the form of performance-based RSUs and time-based RSUs. The March, 2025 values represent 100% of the target, with a grant date value of $178.08 per unit. The March, 2024 values represent 100% of the target, with a grant date value of $180.77 per unit. The performance-based RSUs for our CEO and other NEOs will be based upon achievement of a pre-established specified range of target levels based on the three-year growth in our earnings before interest, taxes, depreciation and amortization, and the impacts of other income/expenses and net income attributable to noncontrolling interests. The time-based RSUs granted to our CEO and other NEOs are scheduled to vest in four equal installments on the first, second, third and fourth anniversaries of the grant date.</w:t>
      </w:r>
    </w:p>
    <w:p>
      <w:pPr>
        <w:spacing w:after="0" w:line="36" w:lineRule="exact"/>
        <w:rPr>
          <w:rFonts w:ascii="Arial" w:cs="Arial" w:eastAsia="Arial" w:hAnsi="Arial"/>
          <w:sz w:val="18"/>
          <w:szCs w:val="18"/>
          <w:color w:val="auto"/>
        </w:rPr>
      </w:pPr>
    </w:p>
    <w:p>
      <w:pPr>
        <w:jc w:val="both"/>
        <w:ind w:left="500" w:hanging="372"/>
        <w:spacing w:after="0" w:line="239"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March, 2023, our CEO and other NEOs with the exception of Mr. Edward H. Sim, each received 50% of their annual target stock-based compensation awards in the form of options to purchase shares of our Class B Common Stock at the grant date market value. Amounts in 2023 represent the aggregate fair value of options granted at the market price on the date of grant (grant date fair value of $41.47). In connection with Mr. Sim’s commencement of employment in December, 2022, he was awarded options to purchase shares of our Class B Common Stock in January, 2023, at the grant date market value. Mr. Sim’s amount in 2023 represents the aggregate fair value of options granted on the market price on the date of grant (grant date fair value of $51.57). Options granted during 2023 were awarded pursuant to our 2020 Omnibus Stock and Incentive Plan. There were no options granted to our CEO and other NEOs during 2024 or 2025, as discussed above in Equity Grant Practices and Annual Stock-Based Compensation. For the assumptions used for the fair value valuations, please refer to Note 5—Common Stock, to the Consolidated Financial Statements included in our Annual Report on Form 10-K for the year ended December 31, 2023.</w:t>
      </w:r>
    </w:p>
    <w:p>
      <w:pPr>
        <w:spacing w:after="0" w:line="44" w:lineRule="exact"/>
        <w:rPr>
          <w:rFonts w:ascii="Arial" w:cs="Arial" w:eastAsia="Arial" w:hAnsi="Arial"/>
          <w:sz w:val="18"/>
          <w:szCs w:val="18"/>
          <w:color w:val="auto"/>
        </w:rPr>
      </w:pPr>
    </w:p>
    <w:p>
      <w:pPr>
        <w:jc w:val="both"/>
        <w:ind w:left="500" w:hanging="372"/>
        <w:spacing w:after="0" w:line="239"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dollar value of annual bonuses earned during each of the last three years pursuant to the terms of our Executive Incentive Plan. In March, 2026 (for 2025) our Compensation Committee approved annual cash incentive bonuses pursuant to the Executive Incentive Plan. For 2025 as a percentage of each individual’s annual base salary, the bonus amounts earned were as follows: Marc D. Miller 300%; Steve G. Filton 200%; Edward H. Sim 200%, and; Matthew J. Peterson 188%. In March, 2025 (for 2024) our Compensation Committee approved annual cash incentive bonuses pursuant to the Executive Incentive Plan. For 2024 as a percentage of each individual’s annual base salary, the bonus amounts earned were as follows: Marc D. Miller 300%; Steve G. Filton 200%; Edward H. Sim 200%, and; Matthew J. Peterson 200%. In March, 2024 (for 2023) our Compensation Committee approved annual cash incentive bonuses pursuant to the Executive Incentive Plan. For 2023 as a percentage of each individual’s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49" w:name="page50"/>
    <w:bookmarkEnd w:id="49"/>
    <w:p>
      <w:pPr>
        <w:ind w:left="8740"/>
        <w:spacing w:after="0"/>
        <w:rPr>
          <w:sz w:val="20"/>
          <w:szCs w:val="20"/>
          <w:color w:val="auto"/>
        </w:rPr>
      </w:pPr>
      <w:r>
        <w:rPr>
          <w:rFonts w:ascii="Arial" w:cs="Arial" w:eastAsia="Arial" w:hAnsi="Arial"/>
          <w:sz w:val="16"/>
          <w:szCs w:val="16"/>
          <w:b w:val="1"/>
          <w:bCs w:val="1"/>
          <w:color w:val="000052"/>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380"/>
        <w:spacing w:after="0" w:line="247" w:lineRule="auto"/>
        <w:rPr>
          <w:sz w:val="20"/>
          <w:szCs w:val="20"/>
          <w:color w:val="auto"/>
        </w:rPr>
      </w:pPr>
      <w:r>
        <w:rPr>
          <w:rFonts w:ascii="Arial" w:cs="Arial" w:eastAsia="Arial" w:hAnsi="Arial"/>
          <w:sz w:val="18"/>
          <w:szCs w:val="18"/>
          <w:color w:val="auto"/>
        </w:rPr>
        <w:t>the bonus amounts earned were as follows: Marc D. Miller 225%; Steve G. Filton 150%; Edward H. Sim 48%, and; Matthew J. Peterson 176%. Mr. Alan B. Miller was not eligible for annual incentive bonuses during each of the last three years pursuant to the Executive Incentive Plan, however, in March, 2026, March, 2025 and March, 2024, our Board of Directors awarded Mr. Alan B. Miller discretionary bonuses of approximately $1.07 million ( for 2025), $1.08 million (for 2024) and $1.04 million (for 2023), respectively.</w:t>
      </w:r>
    </w:p>
    <w:p>
      <w:pPr>
        <w:spacing w:after="0" w:line="39" w:lineRule="exact"/>
        <w:rPr>
          <w:sz w:val="20"/>
          <w:szCs w:val="20"/>
          <w:color w:val="auto"/>
        </w:rPr>
      </w:pPr>
    </w:p>
    <w:p>
      <w:pPr>
        <w:jc w:val="both"/>
        <w:ind w:left="380" w:hanging="372"/>
        <w:spacing w:after="0" w:line="244"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amounts represent the aggregate change in pension value for each named executive in 2025, 2024 and 2023 pursuant to the Executive Retirement Income Plan or the Supplemental Executive Retirement Income Plan, as disclosed herein. Edward H. Sim was hired in December of 2022 and was not eligible for the Plan in 2022 or 2023. These amounts are considered service costs. The amounts in this column do not reflect compensation deferrals pursuant to our Nonqualified Deferred Compensation Plan since there are no contributions or benefits provided by us in connection with the plan.</w:t>
      </w:r>
    </w:p>
    <w:p>
      <w:pPr>
        <w:spacing w:after="0" w:line="27" w:lineRule="exact"/>
        <w:rPr>
          <w:rFonts w:ascii="Arial" w:cs="Arial" w:eastAsia="Arial" w:hAnsi="Arial"/>
          <w:sz w:val="18"/>
          <w:szCs w:val="18"/>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discretionary bonuses awarded to Mr. Alan B. Miller for 2025, 2024 and 2023, as discussed in (3) above.</w:t>
      </w:r>
    </w:p>
    <w:p>
      <w:pPr>
        <w:spacing w:after="0" w:line="63" w:lineRule="exact"/>
        <w:rPr>
          <w:rFonts w:ascii="Arial" w:cs="Arial" w:eastAsia="Arial" w:hAnsi="Arial"/>
          <w:sz w:val="18"/>
          <w:szCs w:val="18"/>
          <w:color w:val="auto"/>
        </w:rPr>
      </w:pPr>
    </w:p>
    <w:p>
      <w:pPr>
        <w:ind w:left="380" w:right="20" w:hanging="372"/>
        <w:spacing w:after="0" w:line="271"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$550,000 cash bonus was paid to Mr. Sim in 2023 as a sign-on bonus in connection with commencement of employment which began in December, 2022.</w:t>
      </w:r>
    </w:p>
    <w:p>
      <w:pPr>
        <w:spacing w:after="0" w:line="18" w:lineRule="exact"/>
        <w:rPr>
          <w:rFonts w:ascii="Arial" w:cs="Arial" w:eastAsia="Arial" w:hAnsi="Arial"/>
          <w:sz w:val="18"/>
          <w:szCs w:val="18"/>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Components of All Other Compensation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8890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47</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616585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73" w:right="339" w:bottom="1440" w:gutter="0" w:footer="0" w:header="0"/>
        </w:sectPr>
      </w:pPr>
    </w:p>
    <w:bookmarkStart w:id="50" w:name="page51"/>
    <w:bookmarkEnd w:id="50"/>
    <w:p>
      <w:pPr>
        <w:spacing w:after="0"/>
        <w:rPr>
          <w:sz w:val="20"/>
          <w:szCs w:val="20"/>
          <w:color w:val="auto"/>
        </w:rPr>
      </w:pPr>
      <w:r>
        <w:rPr>
          <w:rFonts w:ascii="Arial" w:cs="Arial" w:eastAsia="Arial" w:hAnsi="Arial"/>
          <w:sz w:val="40"/>
          <w:szCs w:val="40"/>
          <w:b w:val="1"/>
          <w:bCs w:val="1"/>
          <w:color w:val="052666"/>
        </w:rPr>
        <w:t>ALL OTHER COMPENSATION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95"/>
              <w:spacing w:after="0"/>
              <w:rPr>
                <w:sz w:val="20"/>
                <w:szCs w:val="20"/>
                <w:color w:val="auto"/>
              </w:rPr>
            </w:pPr>
            <w:r>
              <w:rPr>
                <w:rFonts w:ascii="Arial" w:cs="Arial" w:eastAsia="Arial" w:hAnsi="Arial"/>
                <w:sz w:val="13"/>
                <w:szCs w:val="13"/>
                <w:b w:val="1"/>
                <w:bCs w:val="1"/>
                <w:color w:val="052666"/>
                <w:w w:val="96"/>
              </w:rPr>
              <w:t>Perquisites</w:t>
            </w: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4"/>
              <w:spacing w:after="0"/>
              <w:rPr>
                <w:sz w:val="20"/>
                <w:szCs w:val="20"/>
                <w:color w:val="auto"/>
              </w:rPr>
            </w:pPr>
            <w:r>
              <w:rPr>
                <w:rFonts w:ascii="Arial" w:cs="Arial" w:eastAsia="Arial" w:hAnsi="Arial"/>
                <w:sz w:val="13"/>
                <w:szCs w:val="13"/>
                <w:b w:val="1"/>
                <w:bCs w:val="1"/>
                <w:color w:val="052666"/>
                <w:w w:val="94"/>
              </w:rPr>
              <w:t>Company</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052666"/>
                <w:w w:val="94"/>
              </w:rPr>
              <w:t>and Other</w:t>
            </w:r>
          </w:p>
        </w:tc>
        <w:tc>
          <w:tcPr>
            <w:tcW w:w="320" w:type="dxa"/>
            <w:vAlign w:val="bottom"/>
          </w:tcPr>
          <w:p>
            <w:pPr>
              <w:spacing w:after="0"/>
              <w:rPr>
                <w:sz w:val="11"/>
                <w:szCs w:val="11"/>
                <w:color w:val="auto"/>
              </w:rPr>
            </w:pPr>
          </w:p>
        </w:tc>
        <w:tc>
          <w:tcPr>
            <w:tcW w:w="1280" w:type="dxa"/>
            <w:vAlign w:val="bottom"/>
            <w:vMerge w:val="restart"/>
          </w:tcPr>
          <w:p>
            <w:pPr>
              <w:jc w:val="center"/>
              <w:ind w:right="153"/>
              <w:spacing w:after="0"/>
              <w:rPr>
                <w:sz w:val="20"/>
                <w:szCs w:val="20"/>
                <w:color w:val="auto"/>
              </w:rPr>
            </w:pPr>
            <w:r>
              <w:rPr>
                <w:rFonts w:ascii="Arial" w:cs="Arial" w:eastAsia="Arial" w:hAnsi="Arial"/>
                <w:sz w:val="13"/>
                <w:szCs w:val="13"/>
                <w:b w:val="1"/>
                <w:bCs w:val="1"/>
                <w:color w:val="052666"/>
                <w:w w:val="97"/>
              </w:rPr>
              <w:t>Tax</w:t>
            </w:r>
          </w:p>
        </w:tc>
        <w:tc>
          <w:tcPr>
            <w:tcW w:w="280" w:type="dxa"/>
            <w:vAlign w:val="bottom"/>
          </w:tcPr>
          <w:p>
            <w:pPr>
              <w:spacing w:after="0"/>
              <w:rPr>
                <w:sz w:val="11"/>
                <w:szCs w:val="11"/>
                <w:color w:val="auto"/>
              </w:rPr>
            </w:pPr>
          </w:p>
        </w:tc>
        <w:tc>
          <w:tcPr>
            <w:tcW w:w="1080" w:type="dxa"/>
            <w:vAlign w:val="bottom"/>
            <w:vMerge w:val="restart"/>
          </w:tcPr>
          <w:p>
            <w:pPr>
              <w:jc w:val="center"/>
              <w:ind w:right="215"/>
              <w:spacing w:after="0"/>
              <w:rPr>
                <w:sz w:val="20"/>
                <w:szCs w:val="20"/>
                <w:color w:val="auto"/>
              </w:rPr>
            </w:pPr>
            <w:r>
              <w:rPr>
                <w:rFonts w:ascii="Arial" w:cs="Arial" w:eastAsia="Arial" w:hAnsi="Arial"/>
                <w:sz w:val="13"/>
                <w:szCs w:val="13"/>
                <w:b w:val="1"/>
                <w:bCs w:val="1"/>
                <w:color w:val="052666"/>
                <w:w w:val="97"/>
              </w:rPr>
              <w:t>Insurance</w:t>
            </w:r>
          </w:p>
        </w:tc>
        <w:tc>
          <w:tcPr>
            <w:tcW w:w="240" w:type="dxa"/>
            <w:vAlign w:val="bottom"/>
          </w:tcPr>
          <w:p>
            <w:pPr>
              <w:spacing w:after="0"/>
              <w:rPr>
                <w:sz w:val="11"/>
                <w:szCs w:val="11"/>
                <w:color w:val="auto"/>
              </w:rPr>
            </w:pPr>
          </w:p>
        </w:tc>
        <w:tc>
          <w:tcPr>
            <w:tcW w:w="1140" w:type="dxa"/>
            <w:vAlign w:val="bottom"/>
          </w:tcPr>
          <w:p>
            <w:pPr>
              <w:jc w:val="center"/>
              <w:ind w:right="174"/>
              <w:spacing w:after="0" w:line="135" w:lineRule="exact"/>
              <w:rPr>
                <w:sz w:val="20"/>
                <w:szCs w:val="20"/>
                <w:color w:val="auto"/>
              </w:rPr>
            </w:pPr>
            <w:r>
              <w:rPr>
                <w:rFonts w:ascii="Arial" w:cs="Arial" w:eastAsia="Arial" w:hAnsi="Arial"/>
                <w:sz w:val="13"/>
                <w:szCs w:val="13"/>
                <w:b w:val="1"/>
                <w:bCs w:val="1"/>
                <w:color w:val="052666"/>
                <w:w w:val="96"/>
              </w:rPr>
              <w:t>Contributions</w:t>
            </w:r>
          </w:p>
        </w:tc>
        <w:tc>
          <w:tcPr>
            <w:tcW w:w="240" w:type="dxa"/>
            <w:vAlign w:val="bottom"/>
          </w:tcPr>
          <w:p>
            <w:pPr>
              <w:spacing w:after="0"/>
              <w:rPr>
                <w:sz w:val="11"/>
                <w:szCs w:val="11"/>
                <w:color w:val="auto"/>
              </w:rPr>
            </w:pPr>
          </w:p>
        </w:tc>
        <w:tc>
          <w:tcPr>
            <w:tcW w:w="920" w:type="dxa"/>
            <w:vAlign w:val="bottom"/>
            <w:vMerge w:val="restart"/>
          </w:tcPr>
          <w:p>
            <w:pPr>
              <w:jc w:val="center"/>
              <w:ind w:right="173"/>
              <w:spacing w:after="0"/>
              <w:rPr>
                <w:sz w:val="20"/>
                <w:szCs w:val="20"/>
                <w:color w:val="auto"/>
              </w:rPr>
            </w:pPr>
            <w:r>
              <w:rPr>
                <w:rFonts w:ascii="Arial" w:cs="Arial" w:eastAsia="Arial" w:hAnsi="Arial"/>
                <w:sz w:val="13"/>
                <w:szCs w:val="13"/>
                <w:b w:val="1"/>
                <w:bCs w:val="1"/>
                <w:color w:val="052666"/>
                <w:w w:val="96"/>
              </w:rPr>
              <w:t>Dividends</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052666"/>
                <w:w w:val="98"/>
              </w:rPr>
              <w:t>Personal</w:t>
            </w:r>
          </w:p>
        </w:tc>
        <w:tc>
          <w:tcPr>
            <w:tcW w:w="3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ind w:right="154"/>
              <w:spacing w:after="0" w:line="135" w:lineRule="exact"/>
              <w:rPr>
                <w:sz w:val="20"/>
                <w:szCs w:val="20"/>
                <w:color w:val="auto"/>
              </w:rPr>
            </w:pPr>
            <w:r>
              <w:rPr>
                <w:rFonts w:ascii="Arial" w:cs="Arial" w:eastAsia="Arial" w:hAnsi="Arial"/>
                <w:sz w:val="13"/>
                <w:szCs w:val="13"/>
                <w:b w:val="1"/>
                <w:bCs w:val="1"/>
                <w:color w:val="052666"/>
                <w:w w:val="95"/>
              </w:rPr>
              <w:t>to Retirement</w:t>
            </w: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052666"/>
              </w:rPr>
              <w:t>Total</w:t>
            </w:r>
          </w:p>
        </w:tc>
        <w:tc>
          <w:tcPr>
            <w:tcW w:w="0" w:type="dxa"/>
            <w:vAlign w:val="bottom"/>
          </w:tcPr>
          <w:p>
            <w:pPr>
              <w:spacing w:after="0"/>
              <w:rPr>
                <w:sz w:val="1"/>
                <w:szCs w:val="1"/>
                <w:color w:val="auto"/>
              </w:rPr>
            </w:pPr>
          </w:p>
        </w:tc>
      </w:tr>
      <w:tr>
        <w:trPr>
          <w:trHeight w:val="126"/>
        </w:trPr>
        <w:tc>
          <w:tcPr>
            <w:tcW w:w="2460" w:type="dxa"/>
            <w:vAlign w:val="bottom"/>
            <w:vMerge w:val="restart"/>
          </w:tcPr>
          <w:p>
            <w:pPr>
              <w:ind w:left="40"/>
              <w:spacing w:after="0"/>
              <w:rPr>
                <w:sz w:val="20"/>
                <w:szCs w:val="20"/>
                <w:color w:val="auto"/>
              </w:rPr>
            </w:pPr>
            <w:r>
              <w:rPr>
                <w:rFonts w:ascii="Arial" w:cs="Arial" w:eastAsia="Arial" w:hAnsi="Arial"/>
                <w:sz w:val="13"/>
                <w:szCs w:val="13"/>
                <w:b w:val="1"/>
                <w:bCs w:val="1"/>
                <w:color w:val="052666"/>
              </w:rPr>
              <w:t>Name</w:t>
            </w:r>
          </w:p>
        </w:tc>
        <w:tc>
          <w:tcPr>
            <w:tcW w:w="120" w:type="dxa"/>
            <w:vAlign w:val="bottom"/>
          </w:tcPr>
          <w:p>
            <w:pPr>
              <w:spacing w:after="0"/>
              <w:rPr>
                <w:sz w:val="10"/>
                <w:szCs w:val="10"/>
                <w:color w:val="auto"/>
              </w:rPr>
            </w:pPr>
          </w:p>
        </w:tc>
        <w:tc>
          <w:tcPr>
            <w:tcW w:w="720" w:type="dxa"/>
            <w:vAlign w:val="bottom"/>
            <w:vMerge w:val="restart"/>
          </w:tcPr>
          <w:p>
            <w:pPr>
              <w:ind w:left="220"/>
              <w:spacing w:after="0"/>
              <w:rPr>
                <w:sz w:val="20"/>
                <w:szCs w:val="20"/>
                <w:color w:val="auto"/>
              </w:rPr>
            </w:pPr>
            <w:r>
              <w:rPr>
                <w:rFonts w:ascii="Arial" w:cs="Arial" w:eastAsia="Arial" w:hAnsi="Arial"/>
                <w:sz w:val="13"/>
                <w:szCs w:val="13"/>
                <w:b w:val="1"/>
                <w:bCs w:val="1"/>
                <w:color w:val="052666"/>
              </w:rPr>
              <w:t>Year</w:t>
            </w:r>
          </w:p>
        </w:tc>
        <w:tc>
          <w:tcPr>
            <w:tcW w:w="280" w:type="dxa"/>
            <w:vAlign w:val="bottom"/>
          </w:tcPr>
          <w:p>
            <w:pPr>
              <w:spacing w:after="0"/>
              <w:rPr>
                <w:sz w:val="10"/>
                <w:szCs w:val="10"/>
                <w:color w:val="auto"/>
              </w:rPr>
            </w:pPr>
          </w:p>
        </w:tc>
        <w:tc>
          <w:tcPr>
            <w:tcW w:w="1040" w:type="dxa"/>
            <w:vAlign w:val="bottom"/>
          </w:tcPr>
          <w:p>
            <w:pPr>
              <w:jc w:val="center"/>
              <w:ind w:right="115"/>
              <w:spacing w:after="0" w:line="126" w:lineRule="exact"/>
              <w:rPr>
                <w:sz w:val="20"/>
                <w:szCs w:val="20"/>
                <w:color w:val="auto"/>
              </w:rPr>
            </w:pPr>
            <w:r>
              <w:rPr>
                <w:rFonts w:ascii="Arial" w:cs="Arial" w:eastAsia="Arial" w:hAnsi="Arial"/>
                <w:sz w:val="13"/>
                <w:szCs w:val="13"/>
                <w:b w:val="1"/>
                <w:bCs w:val="1"/>
                <w:color w:val="052666"/>
                <w:w w:val="97"/>
              </w:rPr>
              <w:t>Benefits</w:t>
            </w:r>
          </w:p>
        </w:tc>
        <w:tc>
          <w:tcPr>
            <w:tcW w:w="320" w:type="dxa"/>
            <w:vAlign w:val="bottom"/>
          </w:tcPr>
          <w:p>
            <w:pPr>
              <w:spacing w:after="0"/>
              <w:rPr>
                <w:sz w:val="10"/>
                <w:szCs w:val="10"/>
                <w:color w:val="auto"/>
              </w:rPr>
            </w:pPr>
          </w:p>
        </w:tc>
        <w:tc>
          <w:tcPr>
            <w:tcW w:w="1280" w:type="dxa"/>
            <w:vAlign w:val="bottom"/>
          </w:tcPr>
          <w:p>
            <w:pPr>
              <w:jc w:val="center"/>
              <w:ind w:right="153"/>
              <w:spacing w:after="0" w:line="126" w:lineRule="exact"/>
              <w:rPr>
                <w:sz w:val="20"/>
                <w:szCs w:val="20"/>
                <w:color w:val="auto"/>
              </w:rPr>
            </w:pPr>
            <w:r>
              <w:rPr>
                <w:rFonts w:ascii="Arial" w:cs="Arial" w:eastAsia="Arial" w:hAnsi="Arial"/>
                <w:sz w:val="13"/>
                <w:szCs w:val="13"/>
                <w:b w:val="1"/>
                <w:bCs w:val="1"/>
                <w:color w:val="052666"/>
                <w:w w:val="96"/>
              </w:rPr>
              <w:t>Reimbursements</w:t>
            </w:r>
          </w:p>
        </w:tc>
        <w:tc>
          <w:tcPr>
            <w:tcW w:w="280" w:type="dxa"/>
            <w:vAlign w:val="bottom"/>
          </w:tcPr>
          <w:p>
            <w:pPr>
              <w:spacing w:after="0"/>
              <w:rPr>
                <w:sz w:val="10"/>
                <w:szCs w:val="10"/>
                <w:color w:val="auto"/>
              </w:rPr>
            </w:pPr>
          </w:p>
        </w:tc>
        <w:tc>
          <w:tcPr>
            <w:tcW w:w="1080" w:type="dxa"/>
            <w:vAlign w:val="bottom"/>
          </w:tcPr>
          <w:p>
            <w:pPr>
              <w:jc w:val="center"/>
              <w:ind w:right="215"/>
              <w:spacing w:after="0" w:line="126" w:lineRule="exact"/>
              <w:rPr>
                <w:sz w:val="20"/>
                <w:szCs w:val="20"/>
                <w:color w:val="auto"/>
              </w:rPr>
            </w:pPr>
            <w:r>
              <w:rPr>
                <w:rFonts w:ascii="Arial" w:cs="Arial" w:eastAsia="Arial" w:hAnsi="Arial"/>
                <w:sz w:val="13"/>
                <w:szCs w:val="13"/>
                <w:b w:val="1"/>
                <w:bCs w:val="1"/>
                <w:color w:val="052666"/>
                <w:w w:val="95"/>
              </w:rPr>
              <w:t>Premiums</w:t>
            </w:r>
          </w:p>
        </w:tc>
        <w:tc>
          <w:tcPr>
            <w:tcW w:w="240" w:type="dxa"/>
            <w:vAlign w:val="bottom"/>
          </w:tcPr>
          <w:p>
            <w:pPr>
              <w:spacing w:after="0"/>
              <w:rPr>
                <w:sz w:val="10"/>
                <w:szCs w:val="10"/>
                <w:color w:val="auto"/>
              </w:rPr>
            </w:pPr>
          </w:p>
        </w:tc>
        <w:tc>
          <w:tcPr>
            <w:tcW w:w="1140" w:type="dxa"/>
            <w:vAlign w:val="bottom"/>
          </w:tcPr>
          <w:p>
            <w:pPr>
              <w:jc w:val="center"/>
              <w:ind w:right="174"/>
              <w:spacing w:after="0" w:line="126" w:lineRule="exact"/>
              <w:rPr>
                <w:sz w:val="20"/>
                <w:szCs w:val="20"/>
                <w:color w:val="auto"/>
              </w:rPr>
            </w:pPr>
            <w:r>
              <w:rPr>
                <w:rFonts w:ascii="Arial" w:cs="Arial" w:eastAsia="Arial" w:hAnsi="Arial"/>
                <w:sz w:val="13"/>
                <w:szCs w:val="13"/>
                <w:b w:val="1"/>
                <w:bCs w:val="1"/>
                <w:color w:val="052666"/>
                <w:w w:val="96"/>
              </w:rPr>
              <w:t>and 401(k)</w:t>
            </w:r>
          </w:p>
        </w:tc>
        <w:tc>
          <w:tcPr>
            <w:tcW w:w="240" w:type="dxa"/>
            <w:vAlign w:val="bottom"/>
          </w:tcPr>
          <w:p>
            <w:pPr>
              <w:spacing w:after="0"/>
              <w:rPr>
                <w:sz w:val="10"/>
                <w:szCs w:val="10"/>
                <w:color w:val="auto"/>
              </w:rPr>
            </w:pPr>
          </w:p>
        </w:tc>
        <w:tc>
          <w:tcPr>
            <w:tcW w:w="920" w:type="dxa"/>
            <w:vAlign w:val="bottom"/>
          </w:tcPr>
          <w:p>
            <w:pPr>
              <w:jc w:val="center"/>
              <w:ind w:right="153"/>
              <w:spacing w:after="0" w:line="126" w:lineRule="exact"/>
              <w:rPr>
                <w:sz w:val="20"/>
                <w:szCs w:val="20"/>
                <w:color w:val="auto"/>
              </w:rPr>
            </w:pPr>
            <w:r>
              <w:rPr>
                <w:rFonts w:ascii="Arial" w:cs="Arial" w:eastAsia="Arial" w:hAnsi="Arial"/>
                <w:sz w:val="13"/>
                <w:szCs w:val="13"/>
                <w:b w:val="1"/>
                <w:bCs w:val="1"/>
                <w:color w:val="052666"/>
                <w:w w:val="97"/>
              </w:rPr>
              <w:t>Paid on</w:t>
            </w: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60" w:type="dxa"/>
            <w:vAlign w:val="bottom"/>
            <w:tcBorders>
              <w:bottom w:val="single" w:sz="8" w:color="052666"/>
            </w:tcBorders>
            <w:vMerge w:val="continue"/>
          </w:tcPr>
          <w:p>
            <w:pPr>
              <w:spacing w:after="0"/>
              <w:rPr>
                <w:sz w:val="14"/>
                <w:szCs w:val="14"/>
                <w:color w:val="auto"/>
              </w:rPr>
            </w:pPr>
          </w:p>
        </w:tc>
        <w:tc>
          <w:tcPr>
            <w:tcW w:w="120" w:type="dxa"/>
            <w:vAlign w:val="bottom"/>
            <w:tcBorders>
              <w:bottom w:val="single" w:sz="8" w:color="052666"/>
            </w:tcBorders>
          </w:tcPr>
          <w:p>
            <w:pPr>
              <w:spacing w:after="0"/>
              <w:rPr>
                <w:sz w:val="14"/>
                <w:szCs w:val="14"/>
                <w:color w:val="auto"/>
              </w:rPr>
            </w:pPr>
          </w:p>
        </w:tc>
        <w:tc>
          <w:tcPr>
            <w:tcW w:w="720" w:type="dxa"/>
            <w:vAlign w:val="bottom"/>
            <w:tcBorders>
              <w:bottom w:val="single" w:sz="8" w:color="052666"/>
            </w:tcBorders>
            <w:vMerge w:val="continue"/>
          </w:tcPr>
          <w:p>
            <w:pPr>
              <w:spacing w:after="0"/>
              <w:rPr>
                <w:sz w:val="14"/>
                <w:szCs w:val="14"/>
                <w:color w:val="auto"/>
              </w:rPr>
            </w:pPr>
          </w:p>
        </w:tc>
        <w:tc>
          <w:tcPr>
            <w:tcW w:w="280" w:type="dxa"/>
            <w:vAlign w:val="bottom"/>
            <w:tcBorders>
              <w:bottom w:val="single" w:sz="8" w:color="052666"/>
            </w:tcBorders>
          </w:tcPr>
          <w:p>
            <w:pPr>
              <w:spacing w:after="0"/>
              <w:rPr>
                <w:sz w:val="14"/>
                <w:szCs w:val="14"/>
                <w:color w:val="auto"/>
              </w:rPr>
            </w:pPr>
          </w:p>
        </w:tc>
        <w:tc>
          <w:tcPr>
            <w:tcW w:w="1040" w:type="dxa"/>
            <w:vAlign w:val="bottom"/>
            <w:tcBorders>
              <w:bottom w:val="single" w:sz="8" w:color="052666"/>
            </w:tcBorders>
          </w:tcPr>
          <w:p>
            <w:pPr>
              <w:jc w:val="center"/>
              <w:ind w:right="95"/>
              <w:spacing w:after="0" w:line="162" w:lineRule="exact"/>
              <w:rPr>
                <w:sz w:val="20"/>
                <w:szCs w:val="20"/>
                <w:color w:val="auto"/>
              </w:rPr>
            </w:pPr>
            <w:r>
              <w:rPr>
                <w:rFonts w:ascii="Arial" w:cs="Arial" w:eastAsia="Arial" w:hAnsi="Arial"/>
                <w:sz w:val="18"/>
                <w:szCs w:val="18"/>
                <w:b w:val="1"/>
                <w:bCs w:val="1"/>
                <w:color w:val="052666"/>
                <w:vertAlign w:val="subscript"/>
              </w:rPr>
              <w:t>($)</w:t>
            </w:r>
            <w:r>
              <w:rPr>
                <w:rFonts w:ascii="Arial" w:cs="Arial" w:eastAsia="Arial" w:hAnsi="Arial"/>
                <w:sz w:val="7"/>
                <w:szCs w:val="7"/>
                <w:b w:val="1"/>
                <w:bCs w:val="1"/>
                <w:color w:val="052666"/>
              </w:rPr>
              <w:t>(1.)</w:t>
            </w:r>
          </w:p>
        </w:tc>
        <w:tc>
          <w:tcPr>
            <w:tcW w:w="320" w:type="dxa"/>
            <w:vAlign w:val="bottom"/>
            <w:tcBorders>
              <w:bottom w:val="single" w:sz="8" w:color="052666"/>
            </w:tcBorders>
          </w:tcPr>
          <w:p>
            <w:pPr>
              <w:spacing w:after="0"/>
              <w:rPr>
                <w:sz w:val="14"/>
                <w:szCs w:val="14"/>
                <w:color w:val="auto"/>
              </w:rPr>
            </w:pPr>
          </w:p>
        </w:tc>
        <w:tc>
          <w:tcPr>
            <w:tcW w:w="1280" w:type="dxa"/>
            <w:vAlign w:val="bottom"/>
            <w:tcBorders>
              <w:bottom w:val="single" w:sz="8" w:color="052666"/>
            </w:tcBorders>
          </w:tcPr>
          <w:p>
            <w:pPr>
              <w:jc w:val="center"/>
              <w:ind w:right="133"/>
              <w:spacing w:after="0"/>
              <w:rPr>
                <w:sz w:val="20"/>
                <w:szCs w:val="20"/>
                <w:color w:val="auto"/>
              </w:rPr>
            </w:pPr>
            <w:r>
              <w:rPr>
                <w:rFonts w:ascii="Arial" w:cs="Arial" w:eastAsia="Arial" w:hAnsi="Arial"/>
                <w:sz w:val="13"/>
                <w:szCs w:val="13"/>
                <w:b w:val="1"/>
                <w:bCs w:val="1"/>
                <w:color w:val="052666"/>
              </w:rPr>
              <w:t>($)</w:t>
            </w:r>
          </w:p>
        </w:tc>
        <w:tc>
          <w:tcPr>
            <w:tcW w:w="280" w:type="dxa"/>
            <w:vAlign w:val="bottom"/>
            <w:tcBorders>
              <w:bottom w:val="single" w:sz="8" w:color="052666"/>
            </w:tcBorders>
          </w:tcPr>
          <w:p>
            <w:pPr>
              <w:spacing w:after="0"/>
              <w:rPr>
                <w:sz w:val="14"/>
                <w:szCs w:val="14"/>
                <w:color w:val="auto"/>
              </w:rPr>
            </w:pPr>
          </w:p>
        </w:tc>
        <w:tc>
          <w:tcPr>
            <w:tcW w:w="1080" w:type="dxa"/>
            <w:vAlign w:val="bottom"/>
            <w:tcBorders>
              <w:bottom w:val="single" w:sz="8" w:color="052666"/>
            </w:tcBorders>
          </w:tcPr>
          <w:p>
            <w:pPr>
              <w:jc w:val="center"/>
              <w:ind w:right="215"/>
              <w:spacing w:after="0" w:line="162" w:lineRule="exact"/>
              <w:rPr>
                <w:sz w:val="20"/>
                <w:szCs w:val="20"/>
                <w:color w:val="auto"/>
              </w:rPr>
            </w:pPr>
            <w:r>
              <w:rPr>
                <w:rFonts w:ascii="Arial" w:cs="Arial" w:eastAsia="Arial" w:hAnsi="Arial"/>
                <w:sz w:val="18"/>
                <w:szCs w:val="18"/>
                <w:b w:val="1"/>
                <w:bCs w:val="1"/>
                <w:color w:val="052666"/>
                <w:vertAlign w:val="subscript"/>
              </w:rPr>
              <w:t>($)</w:t>
            </w:r>
            <w:r>
              <w:rPr>
                <w:rFonts w:ascii="Arial" w:cs="Arial" w:eastAsia="Arial" w:hAnsi="Arial"/>
                <w:sz w:val="7"/>
                <w:szCs w:val="7"/>
                <w:b w:val="1"/>
                <w:bCs w:val="1"/>
                <w:color w:val="052666"/>
              </w:rPr>
              <w:t>(2.)</w:t>
            </w:r>
          </w:p>
        </w:tc>
        <w:tc>
          <w:tcPr>
            <w:tcW w:w="240" w:type="dxa"/>
            <w:vAlign w:val="bottom"/>
            <w:tcBorders>
              <w:bottom w:val="single" w:sz="8" w:color="052666"/>
            </w:tcBorders>
          </w:tcPr>
          <w:p>
            <w:pPr>
              <w:spacing w:after="0"/>
              <w:rPr>
                <w:sz w:val="14"/>
                <w:szCs w:val="14"/>
                <w:color w:val="auto"/>
              </w:rPr>
            </w:pPr>
          </w:p>
        </w:tc>
        <w:tc>
          <w:tcPr>
            <w:tcW w:w="1140" w:type="dxa"/>
            <w:vAlign w:val="bottom"/>
            <w:tcBorders>
              <w:bottom w:val="single" w:sz="8" w:color="052666"/>
            </w:tcBorders>
          </w:tcPr>
          <w:p>
            <w:pPr>
              <w:jc w:val="center"/>
              <w:ind w:right="154"/>
              <w:spacing w:after="0"/>
              <w:rPr>
                <w:sz w:val="20"/>
                <w:szCs w:val="20"/>
                <w:color w:val="auto"/>
              </w:rPr>
            </w:pPr>
            <w:r>
              <w:rPr>
                <w:rFonts w:ascii="Arial" w:cs="Arial" w:eastAsia="Arial" w:hAnsi="Arial"/>
                <w:sz w:val="13"/>
                <w:szCs w:val="13"/>
                <w:b w:val="1"/>
                <w:bCs w:val="1"/>
                <w:color w:val="052666"/>
              </w:rPr>
              <w:t>Plans ($)</w:t>
            </w:r>
          </w:p>
        </w:tc>
        <w:tc>
          <w:tcPr>
            <w:tcW w:w="1160" w:type="dxa"/>
            <w:vAlign w:val="bottom"/>
            <w:tcBorders>
              <w:bottom w:val="single" w:sz="8" w:color="052666"/>
            </w:tcBorders>
            <w:gridSpan w:val="2"/>
          </w:tcPr>
          <w:p>
            <w:pPr>
              <w:jc w:val="center"/>
              <w:spacing w:after="0"/>
              <w:rPr>
                <w:sz w:val="20"/>
                <w:szCs w:val="20"/>
                <w:color w:val="auto"/>
              </w:rPr>
            </w:pPr>
            <w:r>
              <w:rPr>
                <w:rFonts w:ascii="Arial" w:cs="Arial" w:eastAsia="Arial" w:hAnsi="Arial"/>
                <w:sz w:val="13"/>
                <w:szCs w:val="13"/>
                <w:b w:val="1"/>
                <w:bCs w:val="1"/>
                <w:color w:val="052666"/>
                <w:w w:val="95"/>
              </w:rPr>
              <w:t>Vested Stock</w:t>
            </w:r>
          </w:p>
        </w:tc>
        <w:tc>
          <w:tcPr>
            <w:tcW w:w="300" w:type="dxa"/>
            <w:vAlign w:val="bottom"/>
            <w:tcBorders>
              <w:bottom w:val="single" w:sz="8" w:color="052666"/>
            </w:tcBorders>
          </w:tcPr>
          <w:p>
            <w:pPr>
              <w:spacing w:after="0"/>
              <w:rPr>
                <w:sz w:val="14"/>
                <w:szCs w:val="14"/>
                <w:color w:val="auto"/>
              </w:rPr>
            </w:pPr>
          </w:p>
        </w:tc>
        <w:tc>
          <w:tcPr>
            <w:tcW w:w="820" w:type="dxa"/>
            <w:vAlign w:val="bottom"/>
            <w:tcBorders>
              <w:bottom w:val="single" w:sz="8" w:color="052666"/>
            </w:tcBorders>
          </w:tcPr>
          <w:p>
            <w:pPr>
              <w:jc w:val="right"/>
              <w:ind w:right="413"/>
              <w:spacing w:after="0"/>
              <w:rPr>
                <w:sz w:val="20"/>
                <w:szCs w:val="20"/>
                <w:color w:val="auto"/>
              </w:rPr>
            </w:pPr>
            <w:r>
              <w:rPr>
                <w:rFonts w:ascii="Arial" w:cs="Arial" w:eastAsia="Arial" w:hAnsi="Arial"/>
                <w:sz w:val="13"/>
                <w:szCs w:val="13"/>
                <w:b w:val="1"/>
                <w:bCs w:val="1"/>
                <w:color w:val="052666"/>
              </w:rPr>
              <w:t>($)</w:t>
            </w:r>
          </w:p>
        </w:tc>
        <w:tc>
          <w:tcPr>
            <w:tcW w:w="0" w:type="dxa"/>
            <w:vAlign w:val="bottom"/>
          </w:tcPr>
          <w:p>
            <w:pPr>
              <w:spacing w:after="0"/>
              <w:rPr>
                <w:sz w:val="1"/>
                <w:szCs w:val="1"/>
                <w:color w:val="auto"/>
              </w:rPr>
            </w:pPr>
          </w:p>
        </w:tc>
      </w:tr>
      <w:tr>
        <w:trPr>
          <w:trHeight w:val="183"/>
        </w:trPr>
        <w:tc>
          <w:tcPr>
            <w:tcW w:w="2460" w:type="dxa"/>
            <w:vAlign w:val="bottom"/>
            <w:shd w:val="clear" w:color="auto" w:fill="EDEDED"/>
          </w:tcPr>
          <w:p>
            <w:pPr>
              <w:ind w:left="40"/>
              <w:spacing w:after="0"/>
              <w:rPr>
                <w:sz w:val="20"/>
                <w:szCs w:val="20"/>
                <w:color w:val="auto"/>
              </w:rPr>
            </w:pPr>
            <w:r>
              <w:rPr>
                <w:rFonts w:ascii="Arial" w:cs="Arial" w:eastAsia="Arial" w:hAnsi="Arial"/>
                <w:sz w:val="13"/>
                <w:szCs w:val="13"/>
                <w:color w:val="auto"/>
              </w:rPr>
              <w:t>Marc D. Miller</w:t>
            </w:r>
          </w:p>
        </w:tc>
        <w:tc>
          <w:tcPr>
            <w:tcW w:w="120" w:type="dxa"/>
            <w:vAlign w:val="bottom"/>
            <w:shd w:val="clear" w:color="auto" w:fill="EDEDED"/>
          </w:tcPr>
          <w:p>
            <w:pPr>
              <w:spacing w:after="0"/>
              <w:rPr>
                <w:sz w:val="15"/>
                <w:szCs w:val="15"/>
                <w:color w:val="auto"/>
              </w:rPr>
            </w:pPr>
          </w:p>
        </w:tc>
        <w:tc>
          <w:tcPr>
            <w:tcW w:w="720" w:type="dxa"/>
            <w:vAlign w:val="bottom"/>
            <w:shd w:val="clear" w:color="auto" w:fill="EDEDED"/>
          </w:tcPr>
          <w:p>
            <w:pPr>
              <w:ind w:left="200"/>
              <w:spacing w:after="0"/>
              <w:rPr>
                <w:sz w:val="20"/>
                <w:szCs w:val="20"/>
                <w:color w:val="auto"/>
              </w:rPr>
            </w:pPr>
            <w:r>
              <w:rPr>
                <w:rFonts w:ascii="Arial" w:cs="Arial" w:eastAsia="Arial" w:hAnsi="Arial"/>
                <w:sz w:val="13"/>
                <w:szCs w:val="13"/>
                <w:color w:val="auto"/>
              </w:rPr>
              <w:t>2025</w:t>
            </w:r>
          </w:p>
        </w:tc>
        <w:tc>
          <w:tcPr>
            <w:tcW w:w="280" w:type="dxa"/>
            <w:vAlign w:val="bottom"/>
            <w:shd w:val="clear" w:color="auto" w:fill="EDEDED"/>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202,050</w:t>
            </w:r>
          </w:p>
        </w:tc>
        <w:tc>
          <w:tcPr>
            <w:tcW w:w="3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DEDED"/>
          </w:tcPr>
          <w:p>
            <w:pPr>
              <w:ind w:left="1020"/>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1080" w:type="dxa"/>
            <w:vAlign w:val="bottom"/>
            <w:shd w:val="clear" w:color="auto" w:fill="EDEDED"/>
          </w:tcPr>
          <w:p>
            <w:pPr>
              <w:jc w:val="right"/>
              <w:ind w:right="35"/>
              <w:spacing w:after="0"/>
              <w:rPr>
                <w:sz w:val="20"/>
                <w:szCs w:val="20"/>
                <w:color w:val="auto"/>
              </w:rPr>
            </w:pPr>
            <w:r>
              <w:rPr>
                <w:rFonts w:ascii="Arial" w:cs="Arial" w:eastAsia="Arial" w:hAnsi="Arial"/>
                <w:sz w:val="13"/>
                <w:szCs w:val="13"/>
                <w:color w:val="auto"/>
              </w:rPr>
              <w:t>5,478</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DEDED"/>
          </w:tcPr>
          <w:p>
            <w:pPr>
              <w:jc w:val="right"/>
              <w:ind w:right="34"/>
              <w:spacing w:after="0"/>
              <w:rPr>
                <w:sz w:val="20"/>
                <w:szCs w:val="20"/>
                <w:color w:val="auto"/>
              </w:rPr>
            </w:pPr>
            <w:r>
              <w:rPr>
                <w:rFonts w:ascii="Arial" w:cs="Arial" w:eastAsia="Arial" w:hAnsi="Arial"/>
                <w:sz w:val="13"/>
                <w:szCs w:val="13"/>
                <w:color w:val="auto"/>
              </w:rPr>
              <w:t>10,500</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123,560</w:t>
            </w:r>
          </w:p>
        </w:tc>
        <w:tc>
          <w:tcPr>
            <w:tcW w:w="3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341,588</w:t>
            </w:r>
          </w:p>
        </w:tc>
        <w:tc>
          <w:tcPr>
            <w:tcW w:w="0" w:type="dxa"/>
            <w:vAlign w:val="bottom"/>
          </w:tcPr>
          <w:p>
            <w:pPr>
              <w:spacing w:after="0"/>
              <w:rPr>
                <w:sz w:val="1"/>
                <w:szCs w:val="1"/>
                <w:color w:val="auto"/>
              </w:rPr>
            </w:pPr>
          </w:p>
        </w:tc>
      </w:tr>
      <w:tr>
        <w:trPr>
          <w:trHeight w:val="189"/>
        </w:trPr>
        <w:tc>
          <w:tcPr>
            <w:tcW w:w="24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720" w:type="dxa"/>
            <w:vAlign w:val="bottom"/>
            <w:shd w:val="clear" w:color="auto" w:fill="EDEDED"/>
          </w:tcPr>
          <w:p>
            <w:pPr>
              <w:ind w:left="200"/>
              <w:spacing w:after="0"/>
              <w:rPr>
                <w:sz w:val="20"/>
                <w:szCs w:val="20"/>
                <w:color w:val="auto"/>
              </w:rPr>
            </w:pPr>
            <w:r>
              <w:rPr>
                <w:rFonts w:ascii="Arial" w:cs="Arial" w:eastAsia="Arial" w:hAnsi="Arial"/>
                <w:sz w:val="13"/>
                <w:szCs w:val="13"/>
                <w:color w:val="auto"/>
              </w:rPr>
              <w:t>2024</w:t>
            </w:r>
          </w:p>
        </w:tc>
        <w:tc>
          <w:tcPr>
            <w:tcW w:w="280" w:type="dxa"/>
            <w:vAlign w:val="bottom"/>
            <w:shd w:val="clear" w:color="auto" w:fill="EDEDED"/>
          </w:tcPr>
          <w:p>
            <w:pPr>
              <w:spacing w:after="0"/>
              <w:rPr>
                <w:sz w:val="16"/>
                <w:szCs w:val="16"/>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44,664</w:t>
            </w:r>
          </w:p>
        </w:tc>
        <w:tc>
          <w:tcPr>
            <w:tcW w:w="320" w:type="dxa"/>
            <w:vAlign w:val="bottom"/>
            <w:shd w:val="clear" w:color="auto" w:fill="EDEDED"/>
          </w:tcPr>
          <w:p>
            <w:pPr>
              <w:spacing w:after="0"/>
              <w:rPr>
                <w:sz w:val="16"/>
                <w:szCs w:val="16"/>
                <w:color w:val="auto"/>
              </w:rPr>
            </w:pPr>
          </w:p>
        </w:tc>
        <w:tc>
          <w:tcPr>
            <w:tcW w:w="1280" w:type="dxa"/>
            <w:vAlign w:val="bottom"/>
            <w:shd w:val="clear" w:color="auto" w:fill="EDEDED"/>
          </w:tcPr>
          <w:p>
            <w:pPr>
              <w:ind w:left="1020"/>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spacing w:after="0"/>
              <w:rPr>
                <w:sz w:val="16"/>
                <w:szCs w:val="16"/>
                <w:color w:val="auto"/>
              </w:rPr>
            </w:pPr>
          </w:p>
        </w:tc>
        <w:tc>
          <w:tcPr>
            <w:tcW w:w="1080" w:type="dxa"/>
            <w:vAlign w:val="bottom"/>
            <w:shd w:val="clear" w:color="auto" w:fill="EDEDED"/>
          </w:tcPr>
          <w:p>
            <w:pPr>
              <w:jc w:val="right"/>
              <w:ind w:right="35"/>
              <w:spacing w:after="0"/>
              <w:rPr>
                <w:sz w:val="20"/>
                <w:szCs w:val="20"/>
                <w:color w:val="auto"/>
              </w:rPr>
            </w:pPr>
            <w:r>
              <w:rPr>
                <w:rFonts w:ascii="Arial" w:cs="Arial" w:eastAsia="Arial" w:hAnsi="Arial"/>
                <w:sz w:val="13"/>
                <w:szCs w:val="13"/>
                <w:color w:val="auto"/>
              </w:rPr>
              <w:t>5,478</w:t>
            </w:r>
          </w:p>
        </w:tc>
        <w:tc>
          <w:tcPr>
            <w:tcW w:w="240" w:type="dxa"/>
            <w:vAlign w:val="bottom"/>
            <w:shd w:val="clear" w:color="auto" w:fill="EDEDED"/>
          </w:tcPr>
          <w:p>
            <w:pPr>
              <w:spacing w:after="0"/>
              <w:rPr>
                <w:sz w:val="16"/>
                <w:szCs w:val="16"/>
                <w:color w:val="auto"/>
              </w:rPr>
            </w:pPr>
          </w:p>
        </w:tc>
        <w:tc>
          <w:tcPr>
            <w:tcW w:w="1140" w:type="dxa"/>
            <w:vAlign w:val="bottom"/>
            <w:shd w:val="clear" w:color="auto" w:fill="EDEDED"/>
          </w:tcPr>
          <w:p>
            <w:pPr>
              <w:jc w:val="right"/>
              <w:ind w:right="34"/>
              <w:spacing w:after="0"/>
              <w:rPr>
                <w:sz w:val="20"/>
                <w:szCs w:val="20"/>
                <w:color w:val="auto"/>
              </w:rPr>
            </w:pPr>
            <w:r>
              <w:rPr>
                <w:rFonts w:ascii="Arial" w:cs="Arial" w:eastAsia="Arial" w:hAnsi="Arial"/>
                <w:sz w:val="13"/>
                <w:szCs w:val="13"/>
                <w:color w:val="auto"/>
              </w:rPr>
              <w:t>10,350</w:t>
            </w:r>
          </w:p>
        </w:tc>
        <w:tc>
          <w:tcPr>
            <w:tcW w:w="240" w:type="dxa"/>
            <w:vAlign w:val="bottom"/>
            <w:shd w:val="clear" w:color="auto" w:fill="EDEDED"/>
          </w:tcPr>
          <w:p>
            <w:pPr>
              <w:spacing w:after="0"/>
              <w:rPr>
                <w:sz w:val="16"/>
                <w:szCs w:val="16"/>
                <w:color w:val="auto"/>
              </w:rPr>
            </w:pPr>
          </w:p>
        </w:tc>
        <w:tc>
          <w:tcPr>
            <w:tcW w:w="9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shd w:val="clear" w:color="auto" w:fill="EDEDED"/>
          </w:tcPr>
          <w:p>
            <w:pPr>
              <w:spacing w:after="0"/>
              <w:rPr>
                <w:sz w:val="16"/>
                <w:szCs w:val="16"/>
                <w:color w:val="auto"/>
              </w:rPr>
            </w:pP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60,492</w:t>
            </w:r>
          </w:p>
        </w:tc>
        <w:tc>
          <w:tcPr>
            <w:tcW w:w="0" w:type="dxa"/>
            <w:vAlign w:val="bottom"/>
          </w:tcPr>
          <w:p>
            <w:pPr>
              <w:spacing w:after="0"/>
              <w:rPr>
                <w:sz w:val="1"/>
                <w:szCs w:val="1"/>
                <w:color w:val="auto"/>
              </w:rPr>
            </w:pPr>
          </w:p>
        </w:tc>
      </w:tr>
      <w:tr>
        <w:trPr>
          <w:trHeight w:val="189"/>
        </w:trPr>
        <w:tc>
          <w:tcPr>
            <w:tcW w:w="24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720" w:type="dxa"/>
            <w:vAlign w:val="bottom"/>
            <w:shd w:val="clear" w:color="auto" w:fill="EDEDED"/>
          </w:tcPr>
          <w:p>
            <w:pPr>
              <w:ind w:left="200"/>
              <w:spacing w:after="0"/>
              <w:rPr>
                <w:sz w:val="20"/>
                <w:szCs w:val="20"/>
                <w:color w:val="auto"/>
              </w:rPr>
            </w:pPr>
            <w:r>
              <w:rPr>
                <w:rFonts w:ascii="Arial" w:cs="Arial" w:eastAsia="Arial" w:hAnsi="Arial"/>
                <w:sz w:val="13"/>
                <w:szCs w:val="13"/>
                <w:color w:val="auto"/>
              </w:rPr>
              <w:t>2023</w:t>
            </w:r>
          </w:p>
        </w:tc>
        <w:tc>
          <w:tcPr>
            <w:tcW w:w="280" w:type="dxa"/>
            <w:vAlign w:val="bottom"/>
            <w:shd w:val="clear" w:color="auto" w:fill="EDEDED"/>
          </w:tcPr>
          <w:p>
            <w:pPr>
              <w:spacing w:after="0"/>
              <w:rPr>
                <w:sz w:val="16"/>
                <w:szCs w:val="16"/>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31,641</w:t>
            </w:r>
          </w:p>
        </w:tc>
        <w:tc>
          <w:tcPr>
            <w:tcW w:w="320" w:type="dxa"/>
            <w:vAlign w:val="bottom"/>
            <w:shd w:val="clear" w:color="auto" w:fill="EDEDED"/>
          </w:tcPr>
          <w:p>
            <w:pPr>
              <w:spacing w:after="0"/>
              <w:rPr>
                <w:sz w:val="16"/>
                <w:szCs w:val="16"/>
                <w:color w:val="auto"/>
              </w:rPr>
            </w:pPr>
          </w:p>
        </w:tc>
        <w:tc>
          <w:tcPr>
            <w:tcW w:w="1280" w:type="dxa"/>
            <w:vAlign w:val="bottom"/>
            <w:shd w:val="clear" w:color="auto" w:fill="EDEDED"/>
          </w:tcPr>
          <w:p>
            <w:pPr>
              <w:ind w:left="1020"/>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spacing w:after="0"/>
              <w:rPr>
                <w:sz w:val="16"/>
                <w:szCs w:val="16"/>
                <w:color w:val="auto"/>
              </w:rPr>
            </w:pPr>
          </w:p>
        </w:tc>
        <w:tc>
          <w:tcPr>
            <w:tcW w:w="1080" w:type="dxa"/>
            <w:vAlign w:val="bottom"/>
            <w:shd w:val="clear" w:color="auto" w:fill="EDEDED"/>
          </w:tcPr>
          <w:p>
            <w:pPr>
              <w:jc w:val="right"/>
              <w:ind w:right="35"/>
              <w:spacing w:after="0"/>
              <w:rPr>
                <w:sz w:val="20"/>
                <w:szCs w:val="20"/>
                <w:color w:val="auto"/>
              </w:rPr>
            </w:pPr>
            <w:r>
              <w:rPr>
                <w:rFonts w:ascii="Arial" w:cs="Arial" w:eastAsia="Arial" w:hAnsi="Arial"/>
                <w:sz w:val="13"/>
                <w:szCs w:val="13"/>
                <w:color w:val="auto"/>
              </w:rPr>
              <w:t>5,666</w:t>
            </w:r>
          </w:p>
        </w:tc>
        <w:tc>
          <w:tcPr>
            <w:tcW w:w="240" w:type="dxa"/>
            <w:vAlign w:val="bottom"/>
            <w:shd w:val="clear" w:color="auto" w:fill="EDEDED"/>
          </w:tcPr>
          <w:p>
            <w:pPr>
              <w:spacing w:after="0"/>
              <w:rPr>
                <w:sz w:val="16"/>
                <w:szCs w:val="16"/>
                <w:color w:val="auto"/>
              </w:rPr>
            </w:pPr>
          </w:p>
        </w:tc>
        <w:tc>
          <w:tcPr>
            <w:tcW w:w="1140" w:type="dxa"/>
            <w:vAlign w:val="bottom"/>
            <w:shd w:val="clear" w:color="auto" w:fill="EDEDED"/>
          </w:tcPr>
          <w:p>
            <w:pPr>
              <w:jc w:val="right"/>
              <w:ind w:right="34"/>
              <w:spacing w:after="0"/>
              <w:rPr>
                <w:sz w:val="20"/>
                <w:szCs w:val="20"/>
                <w:color w:val="auto"/>
              </w:rPr>
            </w:pPr>
            <w:r>
              <w:rPr>
                <w:rFonts w:ascii="Arial" w:cs="Arial" w:eastAsia="Arial" w:hAnsi="Arial"/>
                <w:sz w:val="13"/>
                <w:szCs w:val="13"/>
                <w:color w:val="auto"/>
              </w:rPr>
              <w:t>9,900</w:t>
            </w:r>
          </w:p>
        </w:tc>
        <w:tc>
          <w:tcPr>
            <w:tcW w:w="240" w:type="dxa"/>
            <w:vAlign w:val="bottom"/>
            <w:shd w:val="clear" w:color="auto" w:fill="EDEDED"/>
          </w:tcPr>
          <w:p>
            <w:pPr>
              <w:spacing w:after="0"/>
              <w:rPr>
                <w:sz w:val="16"/>
                <w:szCs w:val="16"/>
                <w:color w:val="auto"/>
              </w:rPr>
            </w:pPr>
          </w:p>
        </w:tc>
        <w:tc>
          <w:tcPr>
            <w:tcW w:w="9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shd w:val="clear" w:color="auto" w:fill="EDEDED"/>
          </w:tcPr>
          <w:p>
            <w:pPr>
              <w:spacing w:after="0"/>
              <w:rPr>
                <w:sz w:val="16"/>
                <w:szCs w:val="16"/>
                <w:color w:val="auto"/>
              </w:rPr>
            </w:pP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47,207</w:t>
            </w:r>
          </w:p>
        </w:tc>
        <w:tc>
          <w:tcPr>
            <w:tcW w:w="0" w:type="dxa"/>
            <w:vAlign w:val="bottom"/>
          </w:tcPr>
          <w:p>
            <w:pPr>
              <w:spacing w:after="0"/>
              <w:rPr>
                <w:sz w:val="1"/>
                <w:szCs w:val="1"/>
                <w:color w:val="auto"/>
              </w:rPr>
            </w:pPr>
          </w:p>
        </w:tc>
      </w:tr>
      <w:tr>
        <w:trPr>
          <w:trHeight w:val="204"/>
        </w:trPr>
        <w:tc>
          <w:tcPr>
            <w:tcW w:w="2460" w:type="dxa"/>
            <w:vAlign w:val="bottom"/>
          </w:tcPr>
          <w:p>
            <w:pPr>
              <w:ind w:left="40"/>
              <w:spacing w:after="0"/>
              <w:rPr>
                <w:sz w:val="20"/>
                <w:szCs w:val="20"/>
                <w:color w:val="auto"/>
              </w:rPr>
            </w:pPr>
            <w:r>
              <w:rPr>
                <w:rFonts w:ascii="Arial" w:cs="Arial" w:eastAsia="Arial" w:hAnsi="Arial"/>
                <w:sz w:val="13"/>
                <w:szCs w:val="13"/>
                <w:color w:val="auto"/>
              </w:rPr>
              <w:t>Alan B. Miller</w:t>
            </w: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2025</w:t>
            </w:r>
          </w:p>
        </w:tc>
        <w:tc>
          <w:tcPr>
            <w:tcW w:w="2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101,103</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ind w:left="10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688,360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4"/>
              <w:spacing w:after="0"/>
              <w:rPr>
                <w:sz w:val="20"/>
                <w:szCs w:val="20"/>
                <w:color w:val="auto"/>
              </w:rPr>
            </w:pPr>
            <w:r>
              <w:rPr>
                <w:rFonts w:ascii="Arial" w:cs="Arial" w:eastAsia="Arial" w:hAnsi="Arial"/>
                <w:sz w:val="13"/>
                <w:szCs w:val="13"/>
                <w:color w:val="auto"/>
              </w:rPr>
              <w:t>10,500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64,976</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864,939</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119,284</w:t>
            </w:r>
          </w:p>
        </w:tc>
        <w:tc>
          <w:tcPr>
            <w:tcW w:w="320" w:type="dxa"/>
            <w:vAlign w:val="bottom"/>
          </w:tcPr>
          <w:p>
            <w:pPr>
              <w:spacing w:after="0"/>
              <w:rPr>
                <w:sz w:val="16"/>
                <w:szCs w:val="16"/>
                <w:color w:val="auto"/>
              </w:rPr>
            </w:pPr>
          </w:p>
        </w:tc>
        <w:tc>
          <w:tcPr>
            <w:tcW w:w="1280" w:type="dxa"/>
            <w:vAlign w:val="bottom"/>
          </w:tcPr>
          <w:p>
            <w:pPr>
              <w:ind w:left="10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771,796</w:t>
            </w:r>
          </w:p>
        </w:tc>
        <w:tc>
          <w:tcPr>
            <w:tcW w:w="24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Arial" w:cs="Arial" w:eastAsia="Arial" w:hAnsi="Arial"/>
                <w:sz w:val="13"/>
                <w:szCs w:val="13"/>
                <w:color w:val="auto"/>
              </w:rPr>
              <w:t>10,350</w:t>
            </w:r>
          </w:p>
        </w:tc>
        <w:tc>
          <w:tcPr>
            <w:tcW w:w="24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901,430</w:t>
            </w: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2023</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189,757</w:t>
            </w:r>
          </w:p>
        </w:tc>
        <w:tc>
          <w:tcPr>
            <w:tcW w:w="320" w:type="dxa"/>
            <w:vAlign w:val="bottom"/>
          </w:tcPr>
          <w:p>
            <w:pPr>
              <w:spacing w:after="0"/>
              <w:rPr>
                <w:sz w:val="15"/>
                <w:szCs w:val="15"/>
                <w:color w:val="auto"/>
              </w:rPr>
            </w:pPr>
          </w:p>
        </w:tc>
        <w:tc>
          <w:tcPr>
            <w:tcW w:w="1280" w:type="dxa"/>
            <w:vAlign w:val="bottom"/>
          </w:tcPr>
          <w:p>
            <w:pPr>
              <w:ind w:left="10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889,909</w:t>
            </w:r>
          </w:p>
        </w:tc>
        <w:tc>
          <w:tcPr>
            <w:tcW w:w="240" w:type="dxa"/>
            <w:vAlign w:val="bottom"/>
          </w:tcPr>
          <w:p>
            <w:pPr>
              <w:spacing w:after="0"/>
              <w:rPr>
                <w:sz w:val="15"/>
                <w:szCs w:val="15"/>
                <w:color w:val="auto"/>
              </w:rPr>
            </w:pPr>
          </w:p>
        </w:tc>
        <w:tc>
          <w:tcPr>
            <w:tcW w:w="1140" w:type="dxa"/>
            <w:vAlign w:val="bottom"/>
          </w:tcPr>
          <w:p>
            <w:pPr>
              <w:jc w:val="right"/>
              <w:ind w:right="34"/>
              <w:spacing w:after="0"/>
              <w:rPr>
                <w:sz w:val="20"/>
                <w:szCs w:val="20"/>
                <w:color w:val="auto"/>
              </w:rPr>
            </w:pPr>
            <w:r>
              <w:rPr>
                <w:rFonts w:ascii="Arial" w:cs="Arial" w:eastAsia="Arial" w:hAnsi="Arial"/>
                <w:sz w:val="13"/>
                <w:szCs w:val="13"/>
                <w:color w:val="auto"/>
              </w:rPr>
              <w:t>9,900</w:t>
            </w:r>
          </w:p>
        </w:tc>
        <w:tc>
          <w:tcPr>
            <w:tcW w:w="24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1,089,566</w:t>
            </w:r>
          </w:p>
        </w:tc>
        <w:tc>
          <w:tcPr>
            <w:tcW w:w="0" w:type="dxa"/>
            <w:vAlign w:val="bottom"/>
          </w:tcPr>
          <w:p>
            <w:pPr>
              <w:spacing w:after="0"/>
              <w:rPr>
                <w:sz w:val="1"/>
                <w:szCs w:val="1"/>
                <w:color w:val="auto"/>
              </w:rPr>
            </w:pPr>
          </w:p>
        </w:tc>
      </w:tr>
      <w:tr>
        <w:trPr>
          <w:trHeight w:val="189"/>
        </w:trPr>
        <w:tc>
          <w:tcPr>
            <w:tcW w:w="2460" w:type="dxa"/>
            <w:vAlign w:val="bottom"/>
            <w:shd w:val="clear" w:color="auto" w:fill="EDEDED"/>
          </w:tcPr>
          <w:p>
            <w:pPr>
              <w:ind w:left="40"/>
              <w:spacing w:after="0"/>
              <w:rPr>
                <w:sz w:val="20"/>
                <w:szCs w:val="20"/>
                <w:color w:val="auto"/>
              </w:rPr>
            </w:pPr>
            <w:r>
              <w:rPr>
                <w:rFonts w:ascii="Arial" w:cs="Arial" w:eastAsia="Arial" w:hAnsi="Arial"/>
                <w:sz w:val="13"/>
                <w:szCs w:val="13"/>
                <w:color w:val="auto"/>
              </w:rPr>
              <w:t>Steve G. Filton</w:t>
            </w:r>
          </w:p>
        </w:tc>
        <w:tc>
          <w:tcPr>
            <w:tcW w:w="120" w:type="dxa"/>
            <w:vAlign w:val="bottom"/>
            <w:shd w:val="clear" w:color="auto" w:fill="EDEDED"/>
          </w:tcPr>
          <w:p>
            <w:pPr>
              <w:spacing w:after="0"/>
              <w:rPr>
                <w:sz w:val="16"/>
                <w:szCs w:val="16"/>
                <w:color w:val="auto"/>
              </w:rPr>
            </w:pPr>
          </w:p>
        </w:tc>
        <w:tc>
          <w:tcPr>
            <w:tcW w:w="720" w:type="dxa"/>
            <w:vAlign w:val="bottom"/>
            <w:shd w:val="clear" w:color="auto" w:fill="EDEDED"/>
          </w:tcPr>
          <w:p>
            <w:pPr>
              <w:ind w:left="200"/>
              <w:spacing w:after="0"/>
              <w:rPr>
                <w:sz w:val="20"/>
                <w:szCs w:val="20"/>
                <w:color w:val="auto"/>
              </w:rPr>
            </w:pPr>
            <w:r>
              <w:rPr>
                <w:rFonts w:ascii="Arial" w:cs="Arial" w:eastAsia="Arial" w:hAnsi="Arial"/>
                <w:sz w:val="13"/>
                <w:szCs w:val="13"/>
                <w:color w:val="auto"/>
              </w:rPr>
              <w:t>2025</w:t>
            </w:r>
          </w:p>
        </w:tc>
        <w:tc>
          <w:tcPr>
            <w:tcW w:w="280" w:type="dxa"/>
            <w:vAlign w:val="bottom"/>
            <w:shd w:val="clear" w:color="auto" w:fill="EDEDED"/>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DEDED"/>
          </w:tcPr>
          <w:p>
            <w:pPr>
              <w:ind w:left="1020"/>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1080" w:type="dxa"/>
            <w:vAlign w:val="bottom"/>
            <w:shd w:val="clear" w:color="auto" w:fill="EDEDED"/>
          </w:tcPr>
          <w:p>
            <w:pPr>
              <w:jc w:val="right"/>
              <w:ind w:right="35"/>
              <w:spacing w:after="0"/>
              <w:rPr>
                <w:sz w:val="20"/>
                <w:szCs w:val="20"/>
                <w:color w:val="auto"/>
              </w:rPr>
            </w:pPr>
            <w:r>
              <w:rPr>
                <w:rFonts w:ascii="Arial" w:cs="Arial" w:eastAsia="Arial" w:hAnsi="Arial"/>
                <w:sz w:val="13"/>
                <w:szCs w:val="13"/>
                <w:color w:val="auto"/>
              </w:rPr>
              <w:t>5,238</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DEDED"/>
          </w:tcPr>
          <w:p>
            <w:pPr>
              <w:jc w:val="right"/>
              <w:ind w:right="34"/>
              <w:spacing w:after="0"/>
              <w:rPr>
                <w:sz w:val="20"/>
                <w:szCs w:val="20"/>
                <w:color w:val="auto"/>
              </w:rPr>
            </w:pPr>
            <w:r>
              <w:rPr>
                <w:rFonts w:ascii="Arial" w:cs="Arial" w:eastAsia="Arial" w:hAnsi="Arial"/>
                <w:sz w:val="13"/>
                <w:szCs w:val="13"/>
                <w:color w:val="auto"/>
              </w:rPr>
              <w:t>10,500</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31,449</w:t>
            </w:r>
          </w:p>
        </w:tc>
        <w:tc>
          <w:tcPr>
            <w:tcW w:w="3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47,187</w:t>
            </w:r>
          </w:p>
        </w:tc>
        <w:tc>
          <w:tcPr>
            <w:tcW w:w="0" w:type="dxa"/>
            <w:vAlign w:val="bottom"/>
          </w:tcPr>
          <w:p>
            <w:pPr>
              <w:spacing w:after="0"/>
              <w:rPr>
                <w:sz w:val="1"/>
                <w:szCs w:val="1"/>
                <w:color w:val="auto"/>
              </w:rPr>
            </w:pPr>
          </w:p>
        </w:tc>
      </w:tr>
      <w:tr>
        <w:trPr>
          <w:trHeight w:val="189"/>
        </w:trPr>
        <w:tc>
          <w:tcPr>
            <w:tcW w:w="24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720" w:type="dxa"/>
            <w:vAlign w:val="bottom"/>
            <w:shd w:val="clear" w:color="auto" w:fill="EDEDED"/>
          </w:tcPr>
          <w:p>
            <w:pPr>
              <w:ind w:left="200"/>
              <w:spacing w:after="0"/>
              <w:rPr>
                <w:sz w:val="20"/>
                <w:szCs w:val="20"/>
                <w:color w:val="auto"/>
              </w:rPr>
            </w:pPr>
            <w:r>
              <w:rPr>
                <w:rFonts w:ascii="Arial" w:cs="Arial" w:eastAsia="Arial" w:hAnsi="Arial"/>
                <w:sz w:val="13"/>
                <w:szCs w:val="13"/>
                <w:color w:val="auto"/>
              </w:rPr>
              <w:t>2024</w:t>
            </w:r>
          </w:p>
        </w:tc>
        <w:tc>
          <w:tcPr>
            <w:tcW w:w="280" w:type="dxa"/>
            <w:vAlign w:val="bottom"/>
            <w:shd w:val="clear" w:color="auto" w:fill="EDEDED"/>
          </w:tcPr>
          <w:p>
            <w:pPr>
              <w:spacing w:after="0"/>
              <w:rPr>
                <w:sz w:val="16"/>
                <w:szCs w:val="16"/>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EDEDED"/>
          </w:tcPr>
          <w:p>
            <w:pPr>
              <w:spacing w:after="0"/>
              <w:rPr>
                <w:sz w:val="16"/>
                <w:szCs w:val="16"/>
                <w:color w:val="auto"/>
              </w:rPr>
            </w:pPr>
          </w:p>
        </w:tc>
        <w:tc>
          <w:tcPr>
            <w:tcW w:w="1280" w:type="dxa"/>
            <w:vAlign w:val="bottom"/>
            <w:shd w:val="clear" w:color="auto" w:fill="EDEDED"/>
          </w:tcPr>
          <w:p>
            <w:pPr>
              <w:ind w:left="1020"/>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spacing w:after="0"/>
              <w:rPr>
                <w:sz w:val="16"/>
                <w:szCs w:val="16"/>
                <w:color w:val="auto"/>
              </w:rPr>
            </w:pPr>
          </w:p>
        </w:tc>
        <w:tc>
          <w:tcPr>
            <w:tcW w:w="1080" w:type="dxa"/>
            <w:vAlign w:val="bottom"/>
            <w:shd w:val="clear" w:color="auto" w:fill="EDEDED"/>
          </w:tcPr>
          <w:p>
            <w:pPr>
              <w:jc w:val="right"/>
              <w:ind w:right="35"/>
              <w:spacing w:after="0"/>
              <w:rPr>
                <w:sz w:val="20"/>
                <w:szCs w:val="20"/>
                <w:color w:val="auto"/>
              </w:rPr>
            </w:pPr>
            <w:r>
              <w:rPr>
                <w:rFonts w:ascii="Arial" w:cs="Arial" w:eastAsia="Arial" w:hAnsi="Arial"/>
                <w:sz w:val="13"/>
                <w:szCs w:val="13"/>
                <w:color w:val="auto"/>
              </w:rPr>
              <w:t>7,088</w:t>
            </w:r>
          </w:p>
        </w:tc>
        <w:tc>
          <w:tcPr>
            <w:tcW w:w="240" w:type="dxa"/>
            <w:vAlign w:val="bottom"/>
            <w:shd w:val="clear" w:color="auto" w:fill="EDEDED"/>
          </w:tcPr>
          <w:p>
            <w:pPr>
              <w:spacing w:after="0"/>
              <w:rPr>
                <w:sz w:val="16"/>
                <w:szCs w:val="16"/>
                <w:color w:val="auto"/>
              </w:rPr>
            </w:pPr>
          </w:p>
        </w:tc>
        <w:tc>
          <w:tcPr>
            <w:tcW w:w="1140" w:type="dxa"/>
            <w:vAlign w:val="bottom"/>
            <w:shd w:val="clear" w:color="auto" w:fill="EDEDED"/>
          </w:tcPr>
          <w:p>
            <w:pPr>
              <w:jc w:val="right"/>
              <w:ind w:right="34"/>
              <w:spacing w:after="0"/>
              <w:rPr>
                <w:sz w:val="20"/>
                <w:szCs w:val="20"/>
                <w:color w:val="auto"/>
              </w:rPr>
            </w:pPr>
            <w:r>
              <w:rPr>
                <w:rFonts w:ascii="Arial" w:cs="Arial" w:eastAsia="Arial" w:hAnsi="Arial"/>
                <w:sz w:val="13"/>
                <w:szCs w:val="13"/>
                <w:color w:val="auto"/>
              </w:rPr>
              <w:t>10,350</w:t>
            </w:r>
          </w:p>
        </w:tc>
        <w:tc>
          <w:tcPr>
            <w:tcW w:w="240" w:type="dxa"/>
            <w:vAlign w:val="bottom"/>
            <w:shd w:val="clear" w:color="auto" w:fill="EDEDED"/>
          </w:tcPr>
          <w:p>
            <w:pPr>
              <w:spacing w:after="0"/>
              <w:rPr>
                <w:sz w:val="16"/>
                <w:szCs w:val="16"/>
                <w:color w:val="auto"/>
              </w:rPr>
            </w:pPr>
          </w:p>
        </w:tc>
        <w:tc>
          <w:tcPr>
            <w:tcW w:w="9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shd w:val="clear" w:color="auto" w:fill="EDEDED"/>
          </w:tcPr>
          <w:p>
            <w:pPr>
              <w:spacing w:after="0"/>
              <w:rPr>
                <w:sz w:val="16"/>
                <w:szCs w:val="16"/>
                <w:color w:val="auto"/>
              </w:rPr>
            </w:pP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17,438</w:t>
            </w:r>
          </w:p>
        </w:tc>
        <w:tc>
          <w:tcPr>
            <w:tcW w:w="0" w:type="dxa"/>
            <w:vAlign w:val="bottom"/>
          </w:tcPr>
          <w:p>
            <w:pPr>
              <w:spacing w:after="0"/>
              <w:rPr>
                <w:sz w:val="1"/>
                <w:szCs w:val="1"/>
                <w:color w:val="auto"/>
              </w:rPr>
            </w:pPr>
          </w:p>
        </w:tc>
      </w:tr>
      <w:tr>
        <w:trPr>
          <w:trHeight w:val="189"/>
        </w:trPr>
        <w:tc>
          <w:tcPr>
            <w:tcW w:w="24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720" w:type="dxa"/>
            <w:vAlign w:val="bottom"/>
            <w:shd w:val="clear" w:color="auto" w:fill="EDEDED"/>
          </w:tcPr>
          <w:p>
            <w:pPr>
              <w:ind w:left="200"/>
              <w:spacing w:after="0"/>
              <w:rPr>
                <w:sz w:val="20"/>
                <w:szCs w:val="20"/>
                <w:color w:val="auto"/>
              </w:rPr>
            </w:pPr>
            <w:r>
              <w:rPr>
                <w:rFonts w:ascii="Arial" w:cs="Arial" w:eastAsia="Arial" w:hAnsi="Arial"/>
                <w:sz w:val="13"/>
                <w:szCs w:val="13"/>
                <w:color w:val="auto"/>
              </w:rPr>
              <w:t>2023</w:t>
            </w:r>
          </w:p>
        </w:tc>
        <w:tc>
          <w:tcPr>
            <w:tcW w:w="280" w:type="dxa"/>
            <w:vAlign w:val="bottom"/>
            <w:shd w:val="clear" w:color="auto" w:fill="EDEDED"/>
          </w:tcPr>
          <w:p>
            <w:pPr>
              <w:spacing w:after="0"/>
              <w:rPr>
                <w:sz w:val="16"/>
                <w:szCs w:val="16"/>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EDEDED"/>
          </w:tcPr>
          <w:p>
            <w:pPr>
              <w:spacing w:after="0"/>
              <w:rPr>
                <w:sz w:val="16"/>
                <w:szCs w:val="16"/>
                <w:color w:val="auto"/>
              </w:rPr>
            </w:pPr>
          </w:p>
        </w:tc>
        <w:tc>
          <w:tcPr>
            <w:tcW w:w="1280" w:type="dxa"/>
            <w:vAlign w:val="bottom"/>
            <w:shd w:val="clear" w:color="auto" w:fill="EDEDED"/>
          </w:tcPr>
          <w:p>
            <w:pPr>
              <w:ind w:left="1020"/>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spacing w:after="0"/>
              <w:rPr>
                <w:sz w:val="16"/>
                <w:szCs w:val="16"/>
                <w:color w:val="auto"/>
              </w:rPr>
            </w:pPr>
          </w:p>
        </w:tc>
        <w:tc>
          <w:tcPr>
            <w:tcW w:w="1080" w:type="dxa"/>
            <w:vAlign w:val="bottom"/>
            <w:shd w:val="clear" w:color="auto" w:fill="EDEDED"/>
          </w:tcPr>
          <w:p>
            <w:pPr>
              <w:jc w:val="right"/>
              <w:ind w:right="35"/>
              <w:spacing w:after="0"/>
              <w:rPr>
                <w:sz w:val="20"/>
                <w:szCs w:val="20"/>
                <w:color w:val="auto"/>
              </w:rPr>
            </w:pPr>
            <w:r>
              <w:rPr>
                <w:rFonts w:ascii="Arial" w:cs="Arial" w:eastAsia="Arial" w:hAnsi="Arial"/>
                <w:sz w:val="13"/>
                <w:szCs w:val="13"/>
                <w:color w:val="auto"/>
              </w:rPr>
              <w:t>9,462</w:t>
            </w:r>
          </w:p>
        </w:tc>
        <w:tc>
          <w:tcPr>
            <w:tcW w:w="240" w:type="dxa"/>
            <w:vAlign w:val="bottom"/>
            <w:shd w:val="clear" w:color="auto" w:fill="EDEDED"/>
          </w:tcPr>
          <w:p>
            <w:pPr>
              <w:spacing w:after="0"/>
              <w:rPr>
                <w:sz w:val="16"/>
                <w:szCs w:val="16"/>
                <w:color w:val="auto"/>
              </w:rPr>
            </w:pPr>
          </w:p>
        </w:tc>
        <w:tc>
          <w:tcPr>
            <w:tcW w:w="1140" w:type="dxa"/>
            <w:vAlign w:val="bottom"/>
            <w:shd w:val="clear" w:color="auto" w:fill="EDEDED"/>
          </w:tcPr>
          <w:p>
            <w:pPr>
              <w:jc w:val="right"/>
              <w:ind w:right="34"/>
              <w:spacing w:after="0"/>
              <w:rPr>
                <w:sz w:val="20"/>
                <w:szCs w:val="20"/>
                <w:color w:val="auto"/>
              </w:rPr>
            </w:pPr>
            <w:r>
              <w:rPr>
                <w:rFonts w:ascii="Arial" w:cs="Arial" w:eastAsia="Arial" w:hAnsi="Arial"/>
                <w:sz w:val="13"/>
                <w:szCs w:val="13"/>
                <w:color w:val="auto"/>
              </w:rPr>
              <w:t>9,900</w:t>
            </w:r>
          </w:p>
        </w:tc>
        <w:tc>
          <w:tcPr>
            <w:tcW w:w="240" w:type="dxa"/>
            <w:vAlign w:val="bottom"/>
            <w:shd w:val="clear" w:color="auto" w:fill="EDEDED"/>
          </w:tcPr>
          <w:p>
            <w:pPr>
              <w:spacing w:after="0"/>
              <w:rPr>
                <w:sz w:val="16"/>
                <w:szCs w:val="16"/>
                <w:color w:val="auto"/>
              </w:rPr>
            </w:pPr>
          </w:p>
        </w:tc>
        <w:tc>
          <w:tcPr>
            <w:tcW w:w="9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shd w:val="clear" w:color="auto" w:fill="EDEDED"/>
          </w:tcPr>
          <w:p>
            <w:pPr>
              <w:spacing w:after="0"/>
              <w:rPr>
                <w:sz w:val="16"/>
                <w:szCs w:val="16"/>
                <w:color w:val="auto"/>
              </w:rPr>
            </w:pP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19,362</w:t>
            </w:r>
          </w:p>
        </w:tc>
        <w:tc>
          <w:tcPr>
            <w:tcW w:w="0" w:type="dxa"/>
            <w:vAlign w:val="bottom"/>
          </w:tcPr>
          <w:p>
            <w:pPr>
              <w:spacing w:after="0"/>
              <w:rPr>
                <w:sz w:val="1"/>
                <w:szCs w:val="1"/>
                <w:color w:val="auto"/>
              </w:rPr>
            </w:pPr>
          </w:p>
        </w:tc>
      </w:tr>
      <w:tr>
        <w:trPr>
          <w:trHeight w:val="204"/>
        </w:trPr>
        <w:tc>
          <w:tcPr>
            <w:tcW w:w="2460" w:type="dxa"/>
            <w:vAlign w:val="bottom"/>
          </w:tcPr>
          <w:p>
            <w:pPr>
              <w:ind w:left="40"/>
              <w:spacing w:after="0"/>
              <w:rPr>
                <w:sz w:val="20"/>
                <w:szCs w:val="20"/>
                <w:color w:val="auto"/>
              </w:rPr>
            </w:pPr>
            <w:r>
              <w:rPr>
                <w:rFonts w:ascii="Arial" w:cs="Arial" w:eastAsia="Arial" w:hAnsi="Arial"/>
                <w:sz w:val="13"/>
                <w:szCs w:val="13"/>
                <w:color w:val="auto"/>
              </w:rPr>
              <w:t>Edward H. Sim</w:t>
            </w: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2025</w:t>
            </w:r>
          </w:p>
        </w:tc>
        <w:tc>
          <w:tcPr>
            <w:tcW w:w="2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1,065</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ind w:left="10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7,388</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4"/>
              <w:spacing w:after="0"/>
              <w:rPr>
                <w:sz w:val="20"/>
                <w:szCs w:val="20"/>
                <w:color w:val="auto"/>
              </w:rPr>
            </w:pPr>
            <w:r>
              <w:rPr>
                <w:rFonts w:ascii="Arial" w:cs="Arial" w:eastAsia="Arial" w:hAnsi="Arial"/>
                <w:sz w:val="13"/>
                <w:szCs w:val="13"/>
                <w:color w:val="auto"/>
              </w:rPr>
              <w:t>10,500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1,083</w:t>
            </w:r>
          </w:p>
        </w:tc>
        <w:tc>
          <w:tcPr>
            <w:tcW w:w="3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20,036</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900</w:t>
            </w:r>
          </w:p>
        </w:tc>
        <w:tc>
          <w:tcPr>
            <w:tcW w:w="320" w:type="dxa"/>
            <w:vAlign w:val="bottom"/>
          </w:tcPr>
          <w:p>
            <w:pPr>
              <w:spacing w:after="0"/>
              <w:rPr>
                <w:sz w:val="16"/>
                <w:szCs w:val="16"/>
                <w:color w:val="auto"/>
              </w:rPr>
            </w:pPr>
          </w:p>
        </w:tc>
        <w:tc>
          <w:tcPr>
            <w:tcW w:w="1280" w:type="dxa"/>
            <w:vAlign w:val="bottom"/>
          </w:tcPr>
          <w:p>
            <w:pPr>
              <w:ind w:left="10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7,388</w:t>
            </w:r>
          </w:p>
        </w:tc>
        <w:tc>
          <w:tcPr>
            <w:tcW w:w="24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Arial" w:cs="Arial" w:eastAsia="Arial" w:hAnsi="Arial"/>
                <w:sz w:val="13"/>
                <w:szCs w:val="13"/>
                <w:color w:val="auto"/>
              </w:rPr>
              <w:t>10,350</w:t>
            </w:r>
          </w:p>
        </w:tc>
        <w:tc>
          <w:tcPr>
            <w:tcW w:w="240" w:type="dxa"/>
            <w:vAlign w:val="bottom"/>
          </w:tcPr>
          <w:p>
            <w:pPr>
              <w:spacing w:after="0"/>
              <w:rPr>
                <w:sz w:val="16"/>
                <w:szCs w:val="16"/>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18,638</w:t>
            </w: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840" w:type="dxa"/>
            <w:vAlign w:val="bottom"/>
            <w:gridSpan w:val="2"/>
          </w:tcPr>
          <w:p>
            <w:pPr>
              <w:ind w:left="320"/>
              <w:spacing w:after="0"/>
              <w:rPr>
                <w:sz w:val="20"/>
                <w:szCs w:val="20"/>
                <w:color w:val="auto"/>
              </w:rPr>
            </w:pPr>
            <w:r>
              <w:rPr>
                <w:rFonts w:ascii="Arial" w:cs="Arial" w:eastAsia="Arial" w:hAnsi="Arial"/>
                <w:sz w:val="13"/>
                <w:szCs w:val="13"/>
                <w:color w:val="auto"/>
              </w:rPr>
              <w:t>2023</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900</w:t>
            </w:r>
          </w:p>
        </w:tc>
        <w:tc>
          <w:tcPr>
            <w:tcW w:w="320" w:type="dxa"/>
            <w:vAlign w:val="bottom"/>
          </w:tcPr>
          <w:p>
            <w:pPr>
              <w:spacing w:after="0"/>
              <w:rPr>
                <w:sz w:val="15"/>
                <w:szCs w:val="15"/>
                <w:color w:val="auto"/>
              </w:rPr>
            </w:pPr>
          </w:p>
        </w:tc>
        <w:tc>
          <w:tcPr>
            <w:tcW w:w="1280" w:type="dxa"/>
            <w:vAlign w:val="bottom"/>
          </w:tcPr>
          <w:p>
            <w:pPr>
              <w:ind w:left="10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6,435</w:t>
            </w:r>
          </w:p>
        </w:tc>
        <w:tc>
          <w:tcPr>
            <w:tcW w:w="240" w:type="dxa"/>
            <w:vAlign w:val="bottom"/>
          </w:tcPr>
          <w:p>
            <w:pPr>
              <w:spacing w:after="0"/>
              <w:rPr>
                <w:sz w:val="15"/>
                <w:szCs w:val="15"/>
                <w:color w:val="auto"/>
              </w:rPr>
            </w:pPr>
          </w:p>
        </w:tc>
        <w:tc>
          <w:tcPr>
            <w:tcW w:w="1140" w:type="dxa"/>
            <w:vAlign w:val="bottom"/>
          </w:tcPr>
          <w:p>
            <w:pPr>
              <w:jc w:val="right"/>
              <w:ind w:right="34"/>
              <w:spacing w:after="0"/>
              <w:rPr>
                <w:sz w:val="20"/>
                <w:szCs w:val="20"/>
                <w:color w:val="auto"/>
              </w:rPr>
            </w:pPr>
            <w:r>
              <w:rPr>
                <w:rFonts w:ascii="Arial" w:cs="Arial" w:eastAsia="Arial" w:hAnsi="Arial"/>
                <w:sz w:val="13"/>
                <w:szCs w:val="13"/>
                <w:color w:val="auto"/>
              </w:rPr>
              <w:t>9,900</w:t>
            </w:r>
          </w:p>
        </w:tc>
        <w:tc>
          <w:tcPr>
            <w:tcW w:w="24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17,235</w:t>
            </w:r>
          </w:p>
        </w:tc>
        <w:tc>
          <w:tcPr>
            <w:tcW w:w="0" w:type="dxa"/>
            <w:vAlign w:val="bottom"/>
          </w:tcPr>
          <w:p>
            <w:pPr>
              <w:spacing w:after="0"/>
              <w:rPr>
                <w:sz w:val="1"/>
                <w:szCs w:val="1"/>
                <w:color w:val="auto"/>
              </w:rPr>
            </w:pPr>
          </w:p>
        </w:tc>
      </w:tr>
      <w:tr>
        <w:trPr>
          <w:trHeight w:val="189"/>
        </w:trPr>
        <w:tc>
          <w:tcPr>
            <w:tcW w:w="2460" w:type="dxa"/>
            <w:vAlign w:val="bottom"/>
            <w:shd w:val="clear" w:color="auto" w:fill="EDEDED"/>
          </w:tcPr>
          <w:p>
            <w:pPr>
              <w:ind w:left="40"/>
              <w:spacing w:after="0"/>
              <w:rPr>
                <w:sz w:val="20"/>
                <w:szCs w:val="20"/>
                <w:color w:val="auto"/>
              </w:rPr>
            </w:pPr>
            <w:r>
              <w:rPr>
                <w:rFonts w:ascii="Arial" w:cs="Arial" w:eastAsia="Arial" w:hAnsi="Arial"/>
                <w:sz w:val="13"/>
                <w:szCs w:val="13"/>
                <w:color w:val="auto"/>
              </w:rPr>
              <w:t>Matthew J. Peterson</w:t>
            </w:r>
          </w:p>
        </w:tc>
        <w:tc>
          <w:tcPr>
            <w:tcW w:w="120" w:type="dxa"/>
            <w:vAlign w:val="bottom"/>
            <w:shd w:val="clear" w:color="auto" w:fill="EDEDED"/>
          </w:tcPr>
          <w:p>
            <w:pPr>
              <w:spacing w:after="0"/>
              <w:rPr>
                <w:sz w:val="16"/>
                <w:szCs w:val="16"/>
                <w:color w:val="auto"/>
              </w:rPr>
            </w:pPr>
          </w:p>
        </w:tc>
        <w:tc>
          <w:tcPr>
            <w:tcW w:w="720" w:type="dxa"/>
            <w:vAlign w:val="bottom"/>
            <w:shd w:val="clear" w:color="auto" w:fill="EDEDED"/>
          </w:tcPr>
          <w:p>
            <w:pPr>
              <w:ind w:left="200"/>
              <w:spacing w:after="0"/>
              <w:rPr>
                <w:sz w:val="20"/>
                <w:szCs w:val="20"/>
                <w:color w:val="auto"/>
              </w:rPr>
            </w:pPr>
            <w:r>
              <w:rPr>
                <w:rFonts w:ascii="Arial" w:cs="Arial" w:eastAsia="Arial" w:hAnsi="Arial"/>
                <w:sz w:val="13"/>
                <w:szCs w:val="13"/>
                <w:color w:val="auto"/>
              </w:rPr>
              <w:t>2025</w:t>
            </w:r>
          </w:p>
        </w:tc>
        <w:tc>
          <w:tcPr>
            <w:tcW w:w="280" w:type="dxa"/>
            <w:vAlign w:val="bottom"/>
            <w:shd w:val="clear" w:color="auto" w:fill="EDEDED"/>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3,501</w:t>
            </w:r>
          </w:p>
        </w:tc>
        <w:tc>
          <w:tcPr>
            <w:tcW w:w="3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DEDED"/>
          </w:tcPr>
          <w:p>
            <w:pPr>
              <w:ind w:left="1020"/>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1080" w:type="dxa"/>
            <w:vAlign w:val="bottom"/>
            <w:shd w:val="clear" w:color="auto" w:fill="EDEDED"/>
          </w:tcPr>
          <w:p>
            <w:pPr>
              <w:jc w:val="right"/>
              <w:ind w:right="35"/>
              <w:spacing w:after="0"/>
              <w:rPr>
                <w:sz w:val="20"/>
                <w:szCs w:val="20"/>
                <w:color w:val="auto"/>
              </w:rPr>
            </w:pPr>
            <w:r>
              <w:rPr>
                <w:rFonts w:ascii="Arial" w:cs="Arial" w:eastAsia="Arial" w:hAnsi="Arial"/>
                <w:sz w:val="13"/>
                <w:szCs w:val="13"/>
                <w:color w:val="auto"/>
              </w:rPr>
              <w:t>6,899</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EDEDED"/>
          </w:tcPr>
          <w:p>
            <w:pPr>
              <w:jc w:val="right"/>
              <w:ind w:right="34"/>
              <w:spacing w:after="0"/>
              <w:rPr>
                <w:sz w:val="20"/>
                <w:szCs w:val="20"/>
                <w:color w:val="auto"/>
              </w:rPr>
            </w:pPr>
            <w:r>
              <w:rPr>
                <w:rFonts w:ascii="Arial" w:cs="Arial" w:eastAsia="Arial" w:hAnsi="Arial"/>
                <w:sz w:val="13"/>
                <w:szCs w:val="13"/>
                <w:color w:val="auto"/>
              </w:rPr>
              <w:t>10,500</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25,835</w:t>
            </w:r>
          </w:p>
        </w:tc>
        <w:tc>
          <w:tcPr>
            <w:tcW w:w="3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46,735</w:t>
            </w:r>
          </w:p>
        </w:tc>
        <w:tc>
          <w:tcPr>
            <w:tcW w:w="0" w:type="dxa"/>
            <w:vAlign w:val="bottom"/>
          </w:tcPr>
          <w:p>
            <w:pPr>
              <w:spacing w:after="0"/>
              <w:rPr>
                <w:sz w:val="1"/>
                <w:szCs w:val="1"/>
                <w:color w:val="auto"/>
              </w:rPr>
            </w:pPr>
          </w:p>
        </w:tc>
      </w:tr>
      <w:tr>
        <w:trPr>
          <w:trHeight w:val="189"/>
        </w:trPr>
        <w:tc>
          <w:tcPr>
            <w:tcW w:w="24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720" w:type="dxa"/>
            <w:vAlign w:val="bottom"/>
            <w:shd w:val="clear" w:color="auto" w:fill="EDEDED"/>
          </w:tcPr>
          <w:p>
            <w:pPr>
              <w:ind w:left="200"/>
              <w:spacing w:after="0"/>
              <w:rPr>
                <w:sz w:val="20"/>
                <w:szCs w:val="20"/>
                <w:color w:val="auto"/>
              </w:rPr>
            </w:pPr>
            <w:r>
              <w:rPr>
                <w:rFonts w:ascii="Arial" w:cs="Arial" w:eastAsia="Arial" w:hAnsi="Arial"/>
                <w:sz w:val="13"/>
                <w:szCs w:val="13"/>
                <w:color w:val="auto"/>
              </w:rPr>
              <w:t>2024</w:t>
            </w:r>
          </w:p>
        </w:tc>
        <w:tc>
          <w:tcPr>
            <w:tcW w:w="280" w:type="dxa"/>
            <w:vAlign w:val="bottom"/>
            <w:shd w:val="clear" w:color="auto" w:fill="EDEDED"/>
          </w:tcPr>
          <w:p>
            <w:pPr>
              <w:spacing w:after="0"/>
              <w:rPr>
                <w:sz w:val="16"/>
                <w:szCs w:val="16"/>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3,272</w:t>
            </w:r>
          </w:p>
        </w:tc>
        <w:tc>
          <w:tcPr>
            <w:tcW w:w="320" w:type="dxa"/>
            <w:vAlign w:val="bottom"/>
            <w:shd w:val="clear" w:color="auto" w:fill="EDEDED"/>
          </w:tcPr>
          <w:p>
            <w:pPr>
              <w:spacing w:after="0"/>
              <w:rPr>
                <w:sz w:val="16"/>
                <w:szCs w:val="16"/>
                <w:color w:val="auto"/>
              </w:rPr>
            </w:pPr>
          </w:p>
        </w:tc>
        <w:tc>
          <w:tcPr>
            <w:tcW w:w="1280" w:type="dxa"/>
            <w:vAlign w:val="bottom"/>
            <w:shd w:val="clear" w:color="auto" w:fill="EDEDED"/>
          </w:tcPr>
          <w:p>
            <w:pPr>
              <w:ind w:left="1020"/>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spacing w:after="0"/>
              <w:rPr>
                <w:sz w:val="16"/>
                <w:szCs w:val="16"/>
                <w:color w:val="auto"/>
              </w:rPr>
            </w:pPr>
          </w:p>
        </w:tc>
        <w:tc>
          <w:tcPr>
            <w:tcW w:w="1080" w:type="dxa"/>
            <w:vAlign w:val="bottom"/>
            <w:shd w:val="clear" w:color="auto" w:fill="EDEDED"/>
          </w:tcPr>
          <w:p>
            <w:pPr>
              <w:jc w:val="right"/>
              <w:ind w:right="35"/>
              <w:spacing w:after="0"/>
              <w:rPr>
                <w:sz w:val="20"/>
                <w:szCs w:val="20"/>
                <w:color w:val="auto"/>
              </w:rPr>
            </w:pPr>
            <w:r>
              <w:rPr>
                <w:rFonts w:ascii="Arial" w:cs="Arial" w:eastAsia="Arial" w:hAnsi="Arial"/>
                <w:sz w:val="13"/>
                <w:szCs w:val="13"/>
                <w:color w:val="auto"/>
              </w:rPr>
              <w:t>6,899</w:t>
            </w:r>
          </w:p>
        </w:tc>
        <w:tc>
          <w:tcPr>
            <w:tcW w:w="240" w:type="dxa"/>
            <w:vAlign w:val="bottom"/>
            <w:shd w:val="clear" w:color="auto" w:fill="EDEDED"/>
          </w:tcPr>
          <w:p>
            <w:pPr>
              <w:spacing w:after="0"/>
              <w:rPr>
                <w:sz w:val="16"/>
                <w:szCs w:val="16"/>
                <w:color w:val="auto"/>
              </w:rPr>
            </w:pPr>
          </w:p>
        </w:tc>
        <w:tc>
          <w:tcPr>
            <w:tcW w:w="1140" w:type="dxa"/>
            <w:vAlign w:val="bottom"/>
            <w:shd w:val="clear" w:color="auto" w:fill="EDEDED"/>
          </w:tcPr>
          <w:p>
            <w:pPr>
              <w:jc w:val="right"/>
              <w:ind w:right="34"/>
              <w:spacing w:after="0"/>
              <w:rPr>
                <w:sz w:val="20"/>
                <w:szCs w:val="20"/>
                <w:color w:val="auto"/>
              </w:rPr>
            </w:pPr>
            <w:r>
              <w:rPr>
                <w:rFonts w:ascii="Arial" w:cs="Arial" w:eastAsia="Arial" w:hAnsi="Arial"/>
                <w:sz w:val="13"/>
                <w:szCs w:val="13"/>
                <w:color w:val="auto"/>
              </w:rPr>
              <w:t>10,350</w:t>
            </w:r>
          </w:p>
        </w:tc>
        <w:tc>
          <w:tcPr>
            <w:tcW w:w="240" w:type="dxa"/>
            <w:vAlign w:val="bottom"/>
            <w:shd w:val="clear" w:color="auto" w:fill="EDEDED"/>
          </w:tcPr>
          <w:p>
            <w:pPr>
              <w:spacing w:after="0"/>
              <w:rPr>
                <w:sz w:val="16"/>
                <w:szCs w:val="16"/>
                <w:color w:val="auto"/>
              </w:rPr>
            </w:pPr>
          </w:p>
        </w:tc>
        <w:tc>
          <w:tcPr>
            <w:tcW w:w="9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shd w:val="clear" w:color="auto" w:fill="EDEDED"/>
          </w:tcPr>
          <w:p>
            <w:pPr>
              <w:spacing w:after="0"/>
              <w:rPr>
                <w:sz w:val="16"/>
                <w:szCs w:val="16"/>
                <w:color w:val="auto"/>
              </w:rPr>
            </w:pP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20,521</w:t>
            </w:r>
          </w:p>
        </w:tc>
        <w:tc>
          <w:tcPr>
            <w:tcW w:w="0" w:type="dxa"/>
            <w:vAlign w:val="bottom"/>
          </w:tcPr>
          <w:p>
            <w:pPr>
              <w:spacing w:after="0"/>
              <w:rPr>
                <w:sz w:val="1"/>
                <w:szCs w:val="1"/>
                <w:color w:val="auto"/>
              </w:rPr>
            </w:pPr>
          </w:p>
        </w:tc>
      </w:tr>
      <w:tr>
        <w:trPr>
          <w:trHeight w:val="210"/>
        </w:trPr>
        <w:tc>
          <w:tcPr>
            <w:tcW w:w="2460" w:type="dxa"/>
            <w:vAlign w:val="bottom"/>
            <w:tcBorders>
              <w:bottom w:val="single" w:sz="8" w:color="EDEDED"/>
            </w:tcBorders>
            <w:shd w:val="clear" w:color="auto" w:fill="EDEDED"/>
          </w:tcPr>
          <w:p>
            <w:pPr>
              <w:spacing w:after="0"/>
              <w:rPr>
                <w:sz w:val="18"/>
                <w:szCs w:val="18"/>
                <w:color w:val="auto"/>
              </w:rPr>
            </w:pPr>
          </w:p>
        </w:tc>
        <w:tc>
          <w:tcPr>
            <w:tcW w:w="120" w:type="dxa"/>
            <w:vAlign w:val="bottom"/>
            <w:tcBorders>
              <w:bottom w:val="single" w:sz="8" w:color="EDEDED"/>
            </w:tcBorders>
            <w:shd w:val="clear" w:color="auto" w:fill="EDEDED"/>
          </w:tcPr>
          <w:p>
            <w:pPr>
              <w:spacing w:after="0"/>
              <w:rPr>
                <w:sz w:val="18"/>
                <w:szCs w:val="18"/>
                <w:color w:val="auto"/>
              </w:rPr>
            </w:pPr>
          </w:p>
        </w:tc>
        <w:tc>
          <w:tcPr>
            <w:tcW w:w="720" w:type="dxa"/>
            <w:vAlign w:val="bottom"/>
            <w:tcBorders>
              <w:bottom w:val="single" w:sz="8" w:color="EDEDED"/>
            </w:tcBorders>
            <w:shd w:val="clear" w:color="auto" w:fill="EDEDED"/>
          </w:tcPr>
          <w:p>
            <w:pPr>
              <w:ind w:left="200"/>
              <w:spacing w:after="0"/>
              <w:rPr>
                <w:sz w:val="20"/>
                <w:szCs w:val="20"/>
                <w:color w:val="auto"/>
              </w:rPr>
            </w:pPr>
            <w:r>
              <w:rPr>
                <w:rFonts w:ascii="Arial" w:cs="Arial" w:eastAsia="Arial" w:hAnsi="Arial"/>
                <w:sz w:val="13"/>
                <w:szCs w:val="13"/>
                <w:color w:val="auto"/>
              </w:rPr>
              <w:t>2023</w:t>
            </w:r>
          </w:p>
        </w:tc>
        <w:tc>
          <w:tcPr>
            <w:tcW w:w="280" w:type="dxa"/>
            <w:vAlign w:val="bottom"/>
            <w:tcBorders>
              <w:bottom w:val="single" w:sz="8" w:color="EDEDED"/>
            </w:tcBorders>
            <w:shd w:val="clear" w:color="auto" w:fill="EDEDED"/>
          </w:tcPr>
          <w:p>
            <w:pPr>
              <w:spacing w:after="0"/>
              <w:rPr>
                <w:sz w:val="18"/>
                <w:szCs w:val="18"/>
                <w:color w:val="auto"/>
              </w:rPr>
            </w:pPr>
          </w:p>
        </w:tc>
        <w:tc>
          <w:tcPr>
            <w:tcW w:w="10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3"/>
                <w:szCs w:val="13"/>
                <w:color w:val="auto"/>
              </w:rPr>
              <w:t>3,306</w:t>
            </w:r>
          </w:p>
        </w:tc>
        <w:tc>
          <w:tcPr>
            <w:tcW w:w="320" w:type="dxa"/>
            <w:vAlign w:val="bottom"/>
            <w:tcBorders>
              <w:bottom w:val="single" w:sz="8" w:color="EDEDED"/>
            </w:tcBorders>
            <w:shd w:val="clear" w:color="auto" w:fill="EDEDED"/>
          </w:tcPr>
          <w:p>
            <w:pPr>
              <w:spacing w:after="0"/>
              <w:rPr>
                <w:sz w:val="18"/>
                <w:szCs w:val="18"/>
                <w:color w:val="auto"/>
              </w:rPr>
            </w:pPr>
          </w:p>
        </w:tc>
        <w:tc>
          <w:tcPr>
            <w:tcW w:w="1280" w:type="dxa"/>
            <w:vAlign w:val="bottom"/>
            <w:tcBorders>
              <w:bottom w:val="single" w:sz="8" w:color="EDEDED"/>
            </w:tcBorders>
            <w:shd w:val="clear" w:color="auto" w:fill="EDEDED"/>
          </w:tcPr>
          <w:p>
            <w:pPr>
              <w:ind w:left="10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EDEDED"/>
            </w:tcBorders>
            <w:shd w:val="clear" w:color="auto" w:fill="EDEDED"/>
          </w:tcPr>
          <w:p>
            <w:pPr>
              <w:spacing w:after="0"/>
              <w:rPr>
                <w:sz w:val="18"/>
                <w:szCs w:val="18"/>
                <w:color w:val="auto"/>
              </w:rPr>
            </w:pPr>
          </w:p>
        </w:tc>
        <w:tc>
          <w:tcPr>
            <w:tcW w:w="1080" w:type="dxa"/>
            <w:vAlign w:val="bottom"/>
            <w:tcBorders>
              <w:bottom w:val="single" w:sz="8" w:color="EDEDED"/>
            </w:tcBorders>
            <w:shd w:val="clear" w:color="auto" w:fill="EDEDED"/>
          </w:tcPr>
          <w:p>
            <w:pPr>
              <w:jc w:val="right"/>
              <w:ind w:right="35"/>
              <w:spacing w:after="0"/>
              <w:rPr>
                <w:sz w:val="20"/>
                <w:szCs w:val="20"/>
                <w:color w:val="auto"/>
              </w:rPr>
            </w:pPr>
            <w:r>
              <w:rPr>
                <w:rFonts w:ascii="Arial" w:cs="Arial" w:eastAsia="Arial" w:hAnsi="Arial"/>
                <w:sz w:val="13"/>
                <w:szCs w:val="13"/>
                <w:color w:val="auto"/>
              </w:rPr>
              <w:t>7,087</w:t>
            </w:r>
          </w:p>
        </w:tc>
        <w:tc>
          <w:tcPr>
            <w:tcW w:w="240" w:type="dxa"/>
            <w:vAlign w:val="bottom"/>
            <w:tcBorders>
              <w:bottom w:val="single" w:sz="8" w:color="EDEDED"/>
            </w:tcBorders>
            <w:shd w:val="clear" w:color="auto" w:fill="EDEDED"/>
          </w:tcPr>
          <w:p>
            <w:pPr>
              <w:spacing w:after="0"/>
              <w:rPr>
                <w:sz w:val="18"/>
                <w:szCs w:val="18"/>
                <w:color w:val="auto"/>
              </w:rPr>
            </w:pPr>
          </w:p>
        </w:tc>
        <w:tc>
          <w:tcPr>
            <w:tcW w:w="1140" w:type="dxa"/>
            <w:vAlign w:val="bottom"/>
            <w:tcBorders>
              <w:bottom w:val="single" w:sz="8" w:color="EDEDED"/>
            </w:tcBorders>
            <w:shd w:val="clear" w:color="auto" w:fill="EDEDED"/>
          </w:tcPr>
          <w:p>
            <w:pPr>
              <w:jc w:val="right"/>
              <w:ind w:right="34"/>
              <w:spacing w:after="0"/>
              <w:rPr>
                <w:sz w:val="20"/>
                <w:szCs w:val="20"/>
                <w:color w:val="auto"/>
              </w:rPr>
            </w:pPr>
            <w:r>
              <w:rPr>
                <w:rFonts w:ascii="Arial" w:cs="Arial" w:eastAsia="Arial" w:hAnsi="Arial"/>
                <w:sz w:val="13"/>
                <w:szCs w:val="13"/>
                <w:color w:val="auto"/>
              </w:rPr>
              <w:t>9,900</w:t>
            </w:r>
          </w:p>
        </w:tc>
        <w:tc>
          <w:tcPr>
            <w:tcW w:w="240" w:type="dxa"/>
            <w:vAlign w:val="bottom"/>
            <w:tcBorders>
              <w:bottom w:val="single" w:sz="8" w:color="EDEDED"/>
            </w:tcBorders>
            <w:shd w:val="clear" w:color="auto" w:fill="EDEDED"/>
          </w:tcPr>
          <w:p>
            <w:pPr>
              <w:spacing w:after="0"/>
              <w:rPr>
                <w:sz w:val="18"/>
                <w:szCs w:val="18"/>
                <w:color w:val="auto"/>
              </w:rPr>
            </w:pPr>
          </w:p>
        </w:tc>
        <w:tc>
          <w:tcPr>
            <w:tcW w:w="920" w:type="dxa"/>
            <w:vAlign w:val="bottom"/>
            <w:tcBorders>
              <w:bottom w:val="single" w:sz="8" w:color="EDEDED"/>
            </w:tcBorders>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EDEDED"/>
            </w:tcBorders>
            <w:shd w:val="clear" w:color="auto" w:fill="EDEDED"/>
          </w:tcPr>
          <w:p>
            <w:pPr>
              <w:spacing w:after="0"/>
              <w:rPr>
                <w:sz w:val="18"/>
                <w:szCs w:val="18"/>
                <w:color w:val="auto"/>
              </w:rPr>
            </w:pPr>
          </w:p>
        </w:tc>
        <w:tc>
          <w:tcPr>
            <w:tcW w:w="820" w:type="dxa"/>
            <w:vAlign w:val="bottom"/>
            <w:tcBorders>
              <w:bottom w:val="single" w:sz="8" w:color="EDEDED"/>
            </w:tcBorders>
            <w:shd w:val="clear" w:color="auto" w:fill="EDEDED"/>
          </w:tcPr>
          <w:p>
            <w:pPr>
              <w:jc w:val="right"/>
              <w:ind w:right="53"/>
              <w:spacing w:after="0"/>
              <w:rPr>
                <w:sz w:val="20"/>
                <w:szCs w:val="20"/>
                <w:color w:val="auto"/>
              </w:rPr>
            </w:pPr>
            <w:r>
              <w:rPr>
                <w:rFonts w:ascii="Arial" w:cs="Arial" w:eastAsia="Arial" w:hAnsi="Arial"/>
                <w:sz w:val="13"/>
                <w:szCs w:val="13"/>
                <w:color w:val="auto"/>
              </w:rPr>
              <w:t>20,293</w:t>
            </w:r>
          </w:p>
        </w:tc>
        <w:tc>
          <w:tcPr>
            <w:tcW w:w="0" w:type="dxa"/>
            <w:vAlign w:val="bottom"/>
          </w:tcPr>
          <w:p>
            <w:pPr>
              <w:spacing w:after="0"/>
              <w:rPr>
                <w:sz w:val="1"/>
                <w:szCs w:val="1"/>
                <w:color w:val="auto"/>
              </w:rPr>
            </w:pPr>
          </w:p>
        </w:tc>
      </w:tr>
      <w:tr>
        <w:trPr>
          <w:trHeight w:val="20"/>
        </w:trPr>
        <w:tc>
          <w:tcPr>
            <w:tcW w:w="246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72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040" w:type="dxa"/>
            <w:vAlign w:val="bottom"/>
            <w:shd w:val="clear" w:color="auto" w:fill="7F7F7F"/>
          </w:tcPr>
          <w:p>
            <w:pPr>
              <w:spacing w:after="0" w:line="20" w:lineRule="exact"/>
              <w:rPr>
                <w:sz w:val="1"/>
                <w:szCs w:val="1"/>
                <w:color w:val="auto"/>
              </w:rPr>
            </w:pPr>
          </w:p>
        </w:tc>
        <w:tc>
          <w:tcPr>
            <w:tcW w:w="320" w:type="dxa"/>
            <w:vAlign w:val="bottom"/>
            <w:shd w:val="clear" w:color="auto" w:fill="7F7F7F"/>
          </w:tcPr>
          <w:p>
            <w:pPr>
              <w:spacing w:after="0" w:line="20" w:lineRule="exact"/>
              <w:rPr>
                <w:sz w:val="1"/>
                <w:szCs w:val="1"/>
                <w:color w:val="auto"/>
              </w:rPr>
            </w:pPr>
          </w:p>
        </w:tc>
        <w:tc>
          <w:tcPr>
            <w:tcW w:w="12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08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14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500" w:hanging="372"/>
        <w:spacing w:after="0"/>
        <w:tabs>
          <w:tab w:leader="none" w:pos="50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2025:</w:t>
      </w:r>
    </w:p>
    <w:p>
      <w:pPr>
        <w:spacing w:after="0" w:line="94" w:lineRule="exact"/>
        <w:rPr>
          <w:rFonts w:ascii="Arial" w:cs="Arial" w:eastAsia="Arial" w:hAnsi="Arial"/>
          <w:sz w:val="20"/>
          <w:szCs w:val="20"/>
          <w:color w:val="auto"/>
        </w:rPr>
      </w:pPr>
    </w:p>
    <w:p>
      <w:pPr>
        <w:jc w:val="both"/>
        <w:ind w:left="520"/>
        <w:spacing w:after="0" w:line="237" w:lineRule="auto"/>
        <w:rPr>
          <w:rFonts w:ascii="Arial" w:cs="Arial" w:eastAsia="Arial" w:hAnsi="Arial"/>
          <w:sz w:val="20"/>
          <w:szCs w:val="20"/>
          <w:color w:val="auto"/>
        </w:rPr>
      </w:pPr>
      <w:r>
        <w:rPr>
          <w:rFonts w:ascii="Arial" w:cs="Arial" w:eastAsia="Arial" w:hAnsi="Arial"/>
          <w:sz w:val="20"/>
          <w:szCs w:val="20"/>
          <w:color w:val="auto"/>
        </w:rPr>
        <w:t>Amounts for Mr. Marc Miller consists of the following: (i) $27,310 for payment of country club dues and expenses; (ii) $41,539 for the lease value, fuel and maintenance charges incurred in connection with his company-owned vehicle; (iii) $129,952 for the use of a private plane for personal purposes; (iv) $753 for cell phone bill reimbursement, and; (v) $2,496 for sporting event tickets paid for by us.</w:t>
      </w:r>
    </w:p>
    <w:p>
      <w:pPr>
        <w:spacing w:after="0" w:line="63" w:lineRule="exact"/>
        <w:rPr>
          <w:rFonts w:ascii="Arial" w:cs="Arial" w:eastAsia="Arial" w:hAnsi="Arial"/>
          <w:sz w:val="20"/>
          <w:szCs w:val="20"/>
          <w:color w:val="auto"/>
        </w:rPr>
      </w:pPr>
    </w:p>
    <w:p>
      <w:pPr>
        <w:jc w:val="both"/>
        <w:ind w:left="520"/>
        <w:spacing w:after="0" w:line="241" w:lineRule="auto"/>
        <w:rPr>
          <w:rFonts w:ascii="Arial" w:cs="Arial" w:eastAsia="Arial" w:hAnsi="Arial"/>
          <w:sz w:val="20"/>
          <w:szCs w:val="20"/>
          <w:color w:val="auto"/>
        </w:rPr>
      </w:pPr>
      <w:r>
        <w:rPr>
          <w:rFonts w:ascii="Arial" w:cs="Arial" w:eastAsia="Arial" w:hAnsi="Arial"/>
          <w:sz w:val="20"/>
          <w:szCs w:val="20"/>
          <w:color w:val="auto"/>
        </w:rPr>
        <w:t>Amounts for Mr. Alan Miller consists of the following: (i) $50,000 for professional tax services; (ii) $2,379 for accounting services; (iii) $3,475 for maintenance on personal residence, and (iv) $45,249 for the lease value, fuel and maintenance charges incurred in connection with his company-owned vehicle.</w:t>
      </w:r>
    </w:p>
    <w:p>
      <w:pPr>
        <w:spacing w:after="0" w:line="63" w:lineRule="exact"/>
        <w:rPr>
          <w:rFonts w:ascii="Arial" w:cs="Arial" w:eastAsia="Arial" w:hAnsi="Arial"/>
          <w:sz w:val="20"/>
          <w:szCs w:val="20"/>
          <w:color w:val="auto"/>
        </w:rPr>
      </w:pPr>
    </w:p>
    <w:p>
      <w:pPr>
        <w:ind w:left="520"/>
        <w:spacing w:after="0" w:line="257" w:lineRule="auto"/>
        <w:rPr>
          <w:rFonts w:ascii="Arial" w:cs="Arial" w:eastAsia="Arial" w:hAnsi="Arial"/>
          <w:sz w:val="20"/>
          <w:szCs w:val="20"/>
          <w:color w:val="auto"/>
        </w:rPr>
      </w:pPr>
      <w:r>
        <w:rPr>
          <w:rFonts w:ascii="Arial" w:cs="Arial" w:eastAsia="Arial" w:hAnsi="Arial"/>
          <w:sz w:val="20"/>
          <w:szCs w:val="20"/>
          <w:color w:val="auto"/>
        </w:rPr>
        <w:t>Amounts for Mr. Edward H. Sim consists of the following: (i) $911 for cell phone stipend, and (ii) $154 for sporting event tickets paid for by us.</w:t>
      </w:r>
    </w:p>
    <w:p>
      <w:pPr>
        <w:spacing w:after="0" w:line="47" w:lineRule="exact"/>
        <w:rPr>
          <w:rFonts w:ascii="Arial" w:cs="Arial" w:eastAsia="Arial" w:hAnsi="Arial"/>
          <w:sz w:val="20"/>
          <w:szCs w:val="20"/>
          <w:color w:val="auto"/>
        </w:rPr>
      </w:pPr>
    </w:p>
    <w:p>
      <w:pPr>
        <w:ind w:left="520"/>
        <w:spacing w:after="0" w:line="257" w:lineRule="auto"/>
        <w:rPr>
          <w:rFonts w:ascii="Arial" w:cs="Arial" w:eastAsia="Arial" w:hAnsi="Arial"/>
          <w:sz w:val="20"/>
          <w:szCs w:val="20"/>
          <w:color w:val="auto"/>
        </w:rPr>
      </w:pPr>
      <w:r>
        <w:rPr>
          <w:rFonts w:ascii="Arial" w:cs="Arial" w:eastAsia="Arial" w:hAnsi="Arial"/>
          <w:sz w:val="20"/>
          <w:szCs w:val="20"/>
          <w:color w:val="auto"/>
        </w:rPr>
        <w:t>Amounts for Mr. Matthew J. Peterson consists of the following: (i) $911 for cell phone stipend; (ii) $1,389 related to the Employee Stock Purchase Plan discount, and; (iii) $1,201 for sporting event tickets paid for by us.</w:t>
      </w:r>
    </w:p>
    <w:p>
      <w:pPr>
        <w:spacing w:after="0" w:line="47" w:lineRule="exact"/>
        <w:rPr>
          <w:rFonts w:ascii="Arial" w:cs="Arial" w:eastAsia="Arial" w:hAnsi="Arial"/>
          <w:sz w:val="20"/>
          <w:szCs w:val="20"/>
          <w:color w:val="auto"/>
        </w:rPr>
      </w:pPr>
    </w:p>
    <w:p>
      <w:pPr>
        <w:ind w:left="520"/>
        <w:spacing w:after="0"/>
        <w:rPr>
          <w:rFonts w:ascii="Arial" w:cs="Arial" w:eastAsia="Arial" w:hAnsi="Arial"/>
          <w:sz w:val="20"/>
          <w:szCs w:val="20"/>
          <w:color w:val="auto"/>
        </w:rPr>
      </w:pPr>
      <w:r>
        <w:rPr>
          <w:rFonts w:ascii="Arial" w:cs="Arial" w:eastAsia="Arial" w:hAnsi="Arial"/>
          <w:sz w:val="20"/>
          <w:szCs w:val="20"/>
          <w:u w:val="single" w:color="auto"/>
          <w:color w:val="auto"/>
        </w:rPr>
        <w:t>2024:</w:t>
      </w:r>
    </w:p>
    <w:p>
      <w:pPr>
        <w:spacing w:after="0" w:line="94" w:lineRule="exact"/>
        <w:rPr>
          <w:rFonts w:ascii="Arial" w:cs="Arial" w:eastAsia="Arial" w:hAnsi="Arial"/>
          <w:sz w:val="20"/>
          <w:szCs w:val="20"/>
          <w:color w:val="auto"/>
        </w:rPr>
      </w:pPr>
    </w:p>
    <w:p>
      <w:pPr>
        <w:jc w:val="both"/>
        <w:ind w:left="520"/>
        <w:spacing w:after="0" w:line="241" w:lineRule="auto"/>
        <w:rPr>
          <w:rFonts w:ascii="Arial" w:cs="Arial" w:eastAsia="Arial" w:hAnsi="Arial"/>
          <w:sz w:val="20"/>
          <w:szCs w:val="20"/>
          <w:color w:val="auto"/>
        </w:rPr>
      </w:pPr>
      <w:r>
        <w:rPr>
          <w:rFonts w:ascii="Arial" w:cs="Arial" w:eastAsia="Arial" w:hAnsi="Arial"/>
          <w:sz w:val="20"/>
          <w:szCs w:val="20"/>
          <w:color w:val="auto"/>
        </w:rPr>
        <w:t>Amounts for Mr. Marc Miller consists of the following: (i) $18,205 for payment of country club dues and expenses; (ii) $7,468 auto allowance for part of the year and $17,274 for the lease value incurred in connection with his company-owned vehicle for part of the year, and; (iii) $1,717 for sporting event tickets paid for by us.</w:t>
      </w:r>
    </w:p>
    <w:p>
      <w:pPr>
        <w:spacing w:after="0" w:line="63" w:lineRule="exact"/>
        <w:rPr>
          <w:rFonts w:ascii="Arial" w:cs="Arial" w:eastAsia="Arial" w:hAnsi="Arial"/>
          <w:sz w:val="20"/>
          <w:szCs w:val="20"/>
          <w:color w:val="auto"/>
        </w:rPr>
      </w:pPr>
    </w:p>
    <w:p>
      <w:pPr>
        <w:jc w:val="both"/>
        <w:ind w:left="520"/>
        <w:spacing w:after="0" w:line="237" w:lineRule="auto"/>
        <w:rPr>
          <w:rFonts w:ascii="Arial" w:cs="Arial" w:eastAsia="Arial" w:hAnsi="Arial"/>
          <w:sz w:val="20"/>
          <w:szCs w:val="20"/>
          <w:color w:val="auto"/>
        </w:rPr>
      </w:pPr>
      <w:r>
        <w:rPr>
          <w:rFonts w:ascii="Arial" w:cs="Arial" w:eastAsia="Arial" w:hAnsi="Arial"/>
          <w:sz w:val="20"/>
          <w:szCs w:val="20"/>
          <w:color w:val="auto"/>
        </w:rPr>
        <w:t>Amounts for Mr. Alan Miller consists of the following: (i) $50,000 for professional tax services; (ii) $3,039 for accounting services; (iii) $3,392 for maintenance on personal residence; (iv) $45,541 for the lease value, fuel and maintenance charges incurred in connection with his company-owned vehicle, and; (v) $17,312 of country club dues and related expenses.</w:t>
      </w:r>
    </w:p>
    <w:p>
      <w:pPr>
        <w:spacing w:after="0" w:line="63" w:lineRule="exact"/>
        <w:rPr>
          <w:rFonts w:ascii="Arial" w:cs="Arial" w:eastAsia="Arial" w:hAnsi="Arial"/>
          <w:sz w:val="20"/>
          <w:szCs w:val="20"/>
          <w:color w:val="auto"/>
        </w:rPr>
      </w:pPr>
    </w:p>
    <w:p>
      <w:pPr>
        <w:ind w:left="520"/>
        <w:spacing w:after="0"/>
        <w:rPr>
          <w:rFonts w:ascii="Arial" w:cs="Arial" w:eastAsia="Arial" w:hAnsi="Arial"/>
          <w:sz w:val="20"/>
          <w:szCs w:val="20"/>
          <w:color w:val="auto"/>
        </w:rPr>
      </w:pPr>
      <w:r>
        <w:rPr>
          <w:rFonts w:ascii="Arial" w:cs="Arial" w:eastAsia="Arial" w:hAnsi="Arial"/>
          <w:sz w:val="20"/>
          <w:szCs w:val="20"/>
          <w:color w:val="auto"/>
        </w:rPr>
        <w:t>Amount for Mr. Edward H. Sim consists of $900 for cell phone stipend.</w:t>
      </w:r>
    </w:p>
    <w:p>
      <w:pPr>
        <w:spacing w:after="0" w:line="94" w:lineRule="exact"/>
        <w:rPr>
          <w:rFonts w:ascii="Arial" w:cs="Arial" w:eastAsia="Arial" w:hAnsi="Arial"/>
          <w:sz w:val="20"/>
          <w:szCs w:val="20"/>
          <w:color w:val="auto"/>
        </w:rPr>
      </w:pPr>
    </w:p>
    <w:p>
      <w:pPr>
        <w:ind w:left="520"/>
        <w:spacing w:after="0" w:line="257" w:lineRule="auto"/>
        <w:rPr>
          <w:rFonts w:ascii="Arial" w:cs="Arial" w:eastAsia="Arial" w:hAnsi="Arial"/>
          <w:sz w:val="20"/>
          <w:szCs w:val="20"/>
          <w:color w:val="auto"/>
        </w:rPr>
      </w:pPr>
      <w:r>
        <w:rPr>
          <w:rFonts w:ascii="Arial" w:cs="Arial" w:eastAsia="Arial" w:hAnsi="Arial"/>
          <w:sz w:val="20"/>
          <w:szCs w:val="20"/>
          <w:color w:val="auto"/>
        </w:rPr>
        <w:t>Amounts for Mr. Matthew J. Peterson consists of the following: (i) $900 for cell phone stipend; (ii) $1,333 related to the Employee Stock Purchase Plan discount, and; (iii) $1,039 for sporting event tickets paid for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51" w:name="page52"/>
    <w:bookmarkEnd w:id="51"/>
    <w:p>
      <w:pPr>
        <w:ind w:left="8780"/>
        <w:spacing w:after="0"/>
        <w:rPr>
          <w:sz w:val="20"/>
          <w:szCs w:val="20"/>
          <w:color w:val="auto"/>
        </w:rPr>
      </w:pPr>
      <w:r>
        <w:rPr>
          <w:rFonts w:ascii="Arial" w:cs="Arial" w:eastAsia="Arial" w:hAnsi="Arial"/>
          <w:sz w:val="16"/>
          <w:szCs w:val="16"/>
          <w:b w:val="1"/>
          <w:bCs w:val="1"/>
          <w:color w:val="000052"/>
        </w:rPr>
        <w:t>All Other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Arial" w:cs="Arial" w:eastAsia="Arial" w:hAnsi="Arial"/>
          <w:sz w:val="20"/>
          <w:szCs w:val="20"/>
          <w:u w:val="single" w:color="auto"/>
          <w:color w:val="auto"/>
        </w:rPr>
        <w:t>2023</w:t>
      </w:r>
      <w:r>
        <w:rPr>
          <w:rFonts w:ascii="Arial" w:cs="Arial" w:eastAsia="Arial" w:hAnsi="Arial"/>
          <w:sz w:val="20"/>
          <w:szCs w:val="20"/>
          <w:color w:val="auto"/>
        </w:rPr>
        <w:t>:</w:t>
      </w:r>
    </w:p>
    <w:p>
      <w:pPr>
        <w:spacing w:after="0" w:line="94" w:lineRule="exact"/>
        <w:rPr>
          <w:sz w:val="20"/>
          <w:szCs w:val="20"/>
          <w:color w:val="auto"/>
        </w:rPr>
      </w:pPr>
    </w:p>
    <w:p>
      <w:pPr>
        <w:jc w:val="both"/>
        <w:ind w:left="400" w:right="20"/>
        <w:spacing w:after="0" w:line="257" w:lineRule="auto"/>
        <w:rPr>
          <w:sz w:val="20"/>
          <w:szCs w:val="20"/>
          <w:color w:val="auto"/>
        </w:rPr>
      </w:pPr>
      <w:r>
        <w:rPr>
          <w:rFonts w:ascii="Arial" w:cs="Arial" w:eastAsia="Arial" w:hAnsi="Arial"/>
          <w:sz w:val="20"/>
          <w:szCs w:val="20"/>
          <w:color w:val="auto"/>
        </w:rPr>
        <w:t>Amounts for Mr. Marc Miller consists of the following: (i) $14,574 for payment of country club dues and expenses; (ii) $13,250 auto allowance, and; (iii) $3,817 for sporting event tickets paid for by us.</w:t>
      </w:r>
    </w:p>
    <w:p>
      <w:pPr>
        <w:spacing w:after="0" w:line="47" w:lineRule="exact"/>
        <w:rPr>
          <w:sz w:val="20"/>
          <w:szCs w:val="20"/>
          <w:color w:val="auto"/>
        </w:rPr>
      </w:pPr>
    </w:p>
    <w:p>
      <w:pPr>
        <w:jc w:val="both"/>
        <w:ind w:left="400"/>
        <w:spacing w:after="0" w:line="237" w:lineRule="auto"/>
        <w:rPr>
          <w:sz w:val="20"/>
          <w:szCs w:val="20"/>
          <w:color w:val="auto"/>
        </w:rPr>
      </w:pPr>
      <w:r>
        <w:rPr>
          <w:rFonts w:ascii="Arial" w:cs="Arial" w:eastAsia="Arial" w:hAnsi="Arial"/>
          <w:sz w:val="20"/>
          <w:szCs w:val="20"/>
          <w:color w:val="auto"/>
        </w:rPr>
        <w:t>Amounts for Mr. Alan Miller consists of the following: (i) $50,000 for professional tax services; (ii) $3,489 for accounting services; (iii) $3,770 for maintenance on personal residence; (iv) $32,046 for the lease value, fuel and maintenance charges incurred in connection with his company-owned vehicle, and; (v) $100,452 of country club dues and related expenses.</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Amount for Mr. Edward H. Sim consists of $900 for cell phone stipend.</w:t>
      </w:r>
    </w:p>
    <w:p>
      <w:pPr>
        <w:spacing w:after="0" w:line="94" w:lineRule="exact"/>
        <w:rPr>
          <w:sz w:val="20"/>
          <w:szCs w:val="20"/>
          <w:color w:val="auto"/>
        </w:rPr>
      </w:pPr>
    </w:p>
    <w:p>
      <w:pPr>
        <w:jc w:val="both"/>
        <w:ind w:left="400"/>
        <w:spacing w:after="0" w:line="257" w:lineRule="auto"/>
        <w:rPr>
          <w:sz w:val="20"/>
          <w:szCs w:val="20"/>
          <w:color w:val="auto"/>
        </w:rPr>
      </w:pPr>
      <w:r>
        <w:rPr>
          <w:rFonts w:ascii="Arial" w:cs="Arial" w:eastAsia="Arial" w:hAnsi="Arial"/>
          <w:sz w:val="20"/>
          <w:szCs w:val="20"/>
          <w:color w:val="auto"/>
        </w:rPr>
        <w:t>Amounts for Mr. Matthew J. Peterson consists of the following: (i) $900 for cell phone stipend; (ii) $1,334 related to the Employee Stock Purchase Plan discount, and; (iii) $1,072 for sporting event tickets paid for by us.</w:t>
      </w:r>
    </w:p>
    <w:p>
      <w:pPr>
        <w:spacing w:after="0" w:line="47" w:lineRule="exact"/>
        <w:rPr>
          <w:sz w:val="20"/>
          <w:szCs w:val="20"/>
          <w:color w:val="auto"/>
        </w:rPr>
      </w:pPr>
    </w:p>
    <w:p>
      <w:pPr>
        <w:ind w:left="380" w:hanging="372"/>
        <w:spacing w:after="0" w:line="257" w:lineRule="auto"/>
        <w:tabs>
          <w:tab w:leader="none" w:pos="3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Amounts for Messrs. Marc. D. Miller, Steve G. Filton, Edward H. Sim and Matthew J. Peterson consist of premiums paid in connection with long term disability coverage.</w:t>
      </w:r>
    </w:p>
    <w:p>
      <w:pPr>
        <w:spacing w:after="0" w:line="47" w:lineRule="exact"/>
        <w:rPr>
          <w:rFonts w:ascii="Arial" w:cs="Arial" w:eastAsia="Arial" w:hAnsi="Arial"/>
          <w:sz w:val="20"/>
          <w:szCs w:val="20"/>
          <w:color w:val="auto"/>
        </w:rPr>
      </w:pPr>
    </w:p>
    <w:p>
      <w:pPr>
        <w:jc w:val="both"/>
        <w:ind w:left="400"/>
        <w:spacing w:after="0" w:line="237" w:lineRule="auto"/>
        <w:rPr>
          <w:rFonts w:ascii="Arial" w:cs="Arial" w:eastAsia="Arial" w:hAnsi="Arial"/>
          <w:sz w:val="20"/>
          <w:szCs w:val="20"/>
          <w:color w:val="auto"/>
        </w:rPr>
      </w:pPr>
      <w:r>
        <w:rPr>
          <w:rFonts w:ascii="Arial" w:cs="Arial" w:eastAsia="Arial" w:hAnsi="Arial"/>
          <w:sz w:val="20"/>
          <w:szCs w:val="20"/>
          <w:color w:val="auto"/>
        </w:rPr>
        <w:t xml:space="preserve">Amounts for Mr. Alan B. Miller consist of: (i) $679,040 in 2025, $762,476 in 2024 and $880,401 in 2023 of premium payments made in connection with split-dollar-life insurance agreements, as discussed in </w:t>
      </w:r>
      <w:r>
        <w:rPr>
          <w:rFonts w:ascii="Arial" w:cs="Arial" w:eastAsia="Arial" w:hAnsi="Arial"/>
          <w:sz w:val="20"/>
          <w:szCs w:val="20"/>
          <w:i w:val="1"/>
          <w:iCs w:val="1"/>
          <w:color w:val="auto"/>
        </w:rPr>
        <w:t>Split Dollar Life Insurance</w:t>
      </w:r>
      <w:r>
        <w:rPr>
          <w:rFonts w:ascii="Arial" w:cs="Arial" w:eastAsia="Arial" w:hAnsi="Arial"/>
          <w:sz w:val="20"/>
          <w:szCs w:val="20"/>
          <w:color w:val="auto"/>
        </w:rPr>
        <w:t xml:space="preserve"> </w:t>
      </w:r>
      <w:r>
        <w:rPr>
          <w:rFonts w:ascii="Arial" w:cs="Arial" w:eastAsia="Arial" w:hAnsi="Arial"/>
          <w:sz w:val="20"/>
          <w:szCs w:val="20"/>
          <w:i w:val="1"/>
          <w:iCs w:val="1"/>
          <w:color w:val="auto"/>
        </w:rPr>
        <w:t>Agreement</w:t>
      </w:r>
      <w:r>
        <w:rPr>
          <w:rFonts w:ascii="Arial" w:cs="Arial" w:eastAsia="Arial" w:hAnsi="Arial"/>
          <w:sz w:val="20"/>
          <w:szCs w:val="20"/>
          <w:color w:val="auto"/>
        </w:rPr>
        <w:t>, included herein, and; (ii) $9,320 in 2025, $9,320 in 2024 and $9,508 in 2023 of premiums paid in connection</w:t>
      </w:r>
      <w:r>
        <w:rPr>
          <w:rFonts w:ascii="Arial" w:cs="Arial" w:eastAsia="Arial" w:hAnsi="Arial"/>
          <w:sz w:val="20"/>
          <w:szCs w:val="20"/>
          <w:i w:val="1"/>
          <w:iCs w:val="1"/>
          <w:color w:val="auto"/>
        </w:rPr>
        <w:t xml:space="preserve"> </w:t>
      </w:r>
      <w:r>
        <w:rPr>
          <w:rFonts w:ascii="Arial" w:cs="Arial" w:eastAsia="Arial" w:hAnsi="Arial"/>
          <w:sz w:val="20"/>
          <w:szCs w:val="20"/>
          <w:color w:val="auto"/>
        </w:rPr>
        <w:t>with long term disability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-13970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49</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616585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73" w:right="339" w:bottom="1440" w:gutter="0" w:footer="0" w:header="0"/>
        </w:sectPr>
      </w:pPr>
    </w:p>
    <w:bookmarkStart w:id="52" w:name="page53"/>
    <w:bookmarkEnd w:id="52"/>
    <w:p>
      <w:pPr>
        <w:spacing w:after="0"/>
        <w:rPr>
          <w:sz w:val="20"/>
          <w:szCs w:val="20"/>
          <w:color w:val="auto"/>
        </w:rPr>
      </w:pPr>
      <w:r>
        <w:rPr>
          <w:rFonts w:ascii="Arial" w:cs="Arial" w:eastAsia="Arial" w:hAnsi="Arial"/>
          <w:sz w:val="40"/>
          <w:szCs w:val="40"/>
          <w:b w:val="1"/>
          <w:bCs w:val="1"/>
          <w:color w:val="052666"/>
        </w:rPr>
        <w:t>GRANTS OF PLAN-BASED AWARDS</w:t>
      </w:r>
    </w:p>
    <w:p>
      <w:pPr>
        <w:spacing w:after="0" w:line="33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provides information regarding plan-based awards granted during fiscal year 2025 to our named executive officers who were employed on the grant date of March 19,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right="27"/>
              <w:spacing w:after="0"/>
              <w:rPr>
                <w:sz w:val="20"/>
                <w:szCs w:val="20"/>
                <w:color w:val="auto"/>
              </w:rPr>
            </w:pPr>
            <w:r>
              <w:rPr>
                <w:rFonts w:ascii="Arial" w:cs="Arial" w:eastAsia="Arial" w:hAnsi="Arial"/>
                <w:sz w:val="11"/>
                <w:szCs w:val="11"/>
                <w:b w:val="1"/>
                <w:bCs w:val="1"/>
                <w:color w:val="052666"/>
                <w:w w:val="99"/>
              </w:rPr>
              <w:t>All</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2"/>
        </w:trPr>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rPr>
              <w:t>Other</w:t>
            </w:r>
          </w:p>
        </w:tc>
        <w:tc>
          <w:tcPr>
            <w:tcW w:w="78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9"/>
              </w:rPr>
              <w:t>All</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2"/>
        </w:trPr>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9"/>
              </w:rPr>
              <w:t>Stock</w:t>
            </w:r>
          </w:p>
        </w:tc>
        <w:tc>
          <w:tcPr>
            <w:tcW w:w="78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rPr>
              <w:t>Other</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052666"/>
                <w:w w:val="95"/>
              </w:rPr>
              <w:t>Grant</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1"/>
        </w:trPr>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6"/>
              </w:rPr>
              <w:t>Awards:</w:t>
            </w:r>
          </w:p>
        </w:tc>
        <w:tc>
          <w:tcPr>
            <w:tcW w:w="78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5"/>
              </w:rPr>
              <w:t>Option</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2666"/>
                <w:w w:val="95"/>
              </w:rPr>
              <w:t>Grant</w:t>
            </w:r>
          </w:p>
        </w:tc>
        <w:tc>
          <w:tcPr>
            <w:tcW w:w="120" w:type="dxa"/>
            <w:vAlign w:val="bottom"/>
          </w:tcPr>
          <w:p>
            <w:pPr>
              <w:spacing w:after="0"/>
              <w:rPr>
                <w:sz w:val="10"/>
                <w:szCs w:val="10"/>
                <w:color w:val="auto"/>
              </w:rPr>
            </w:pPr>
          </w:p>
        </w:tc>
        <w:tc>
          <w:tcPr>
            <w:tcW w:w="640" w:type="dxa"/>
            <w:vAlign w:val="bottom"/>
          </w:tcPr>
          <w:p>
            <w:pPr>
              <w:jc w:val="center"/>
              <w:ind w:right="87"/>
              <w:spacing w:after="0" w:line="122" w:lineRule="exact"/>
              <w:rPr>
                <w:sz w:val="20"/>
                <w:szCs w:val="20"/>
                <w:color w:val="auto"/>
              </w:rPr>
            </w:pPr>
            <w:r>
              <w:rPr>
                <w:rFonts w:ascii="Arial" w:cs="Arial" w:eastAsia="Arial" w:hAnsi="Arial"/>
                <w:sz w:val="11"/>
                <w:szCs w:val="11"/>
                <w:b w:val="1"/>
                <w:bCs w:val="1"/>
                <w:color w:val="052666"/>
                <w:w w:val="97"/>
              </w:rPr>
              <w:t>Date Fair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2"/>
        </w:trPr>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3"/>
          </w:tcPr>
          <w:p>
            <w:pPr>
              <w:jc w:val="center"/>
              <w:ind w:left="469"/>
              <w:spacing w:after="0" w:line="122" w:lineRule="exact"/>
              <w:rPr>
                <w:sz w:val="20"/>
                <w:szCs w:val="20"/>
                <w:color w:val="auto"/>
              </w:rPr>
            </w:pPr>
            <w:r>
              <w:rPr>
                <w:rFonts w:ascii="Arial" w:cs="Arial" w:eastAsia="Arial" w:hAnsi="Arial"/>
                <w:sz w:val="11"/>
                <w:szCs w:val="11"/>
                <w:b w:val="1"/>
                <w:bCs w:val="1"/>
                <w:color w:val="052666"/>
                <w:w w:val="97"/>
              </w:rPr>
              <w:t>Estimated Future</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tcPr>
          <w:p>
            <w:pPr>
              <w:jc w:val="center"/>
              <w:ind w:left="528"/>
              <w:spacing w:after="0" w:line="122" w:lineRule="exact"/>
              <w:rPr>
                <w:sz w:val="20"/>
                <w:szCs w:val="20"/>
                <w:color w:val="auto"/>
              </w:rPr>
            </w:pPr>
            <w:r>
              <w:rPr>
                <w:rFonts w:ascii="Arial" w:cs="Arial" w:eastAsia="Arial" w:hAnsi="Arial"/>
                <w:sz w:val="11"/>
                <w:szCs w:val="11"/>
                <w:b w:val="1"/>
                <w:bCs w:val="1"/>
                <w:color w:val="052666"/>
                <w:w w:val="97"/>
              </w:rPr>
              <w:t>Estimated Future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rPr>
              <w:t>Number</w:t>
            </w:r>
          </w:p>
        </w:tc>
        <w:tc>
          <w:tcPr>
            <w:tcW w:w="78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6"/>
              </w:rPr>
              <w:t>Awards:</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7"/>
              </w:rPr>
              <w:t>Exercise</w:t>
            </w:r>
          </w:p>
        </w:tc>
        <w:tc>
          <w:tcPr>
            <w:tcW w:w="120" w:type="dxa"/>
            <w:vAlign w:val="bottom"/>
          </w:tcPr>
          <w:p>
            <w:pPr>
              <w:spacing w:after="0"/>
              <w:rPr>
                <w:sz w:val="10"/>
                <w:szCs w:val="10"/>
                <w:color w:val="auto"/>
              </w:rPr>
            </w:pPr>
          </w:p>
        </w:tc>
        <w:tc>
          <w:tcPr>
            <w:tcW w:w="62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052666"/>
                <w:w w:val="97"/>
              </w:rPr>
              <w:t>Date Fair</w:t>
            </w:r>
          </w:p>
        </w:tc>
        <w:tc>
          <w:tcPr>
            <w:tcW w:w="120" w:type="dxa"/>
            <w:vAlign w:val="bottom"/>
          </w:tcPr>
          <w:p>
            <w:pPr>
              <w:spacing w:after="0"/>
              <w:rPr>
                <w:sz w:val="10"/>
                <w:szCs w:val="10"/>
                <w:color w:val="auto"/>
              </w:rPr>
            </w:pPr>
          </w:p>
        </w:tc>
        <w:tc>
          <w:tcPr>
            <w:tcW w:w="640" w:type="dxa"/>
            <w:vAlign w:val="bottom"/>
          </w:tcPr>
          <w:p>
            <w:pPr>
              <w:jc w:val="center"/>
              <w:ind w:right="87"/>
              <w:spacing w:after="0" w:line="122" w:lineRule="exact"/>
              <w:rPr>
                <w:sz w:val="20"/>
                <w:szCs w:val="20"/>
                <w:color w:val="auto"/>
              </w:rPr>
            </w:pPr>
            <w:r>
              <w:rPr>
                <w:rFonts w:ascii="Arial" w:cs="Arial" w:eastAsia="Arial" w:hAnsi="Arial"/>
                <w:sz w:val="11"/>
                <w:szCs w:val="11"/>
                <w:b w:val="1"/>
                <w:bCs w:val="1"/>
                <w:color w:val="052666"/>
                <w:w w:val="98"/>
              </w:rPr>
              <w:t>Value of</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2"/>
        </w:trPr>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gridSpan w:val="2"/>
          </w:tcPr>
          <w:p>
            <w:pPr>
              <w:jc w:val="center"/>
              <w:ind w:right="29"/>
              <w:spacing w:after="0" w:line="122" w:lineRule="exact"/>
              <w:rPr>
                <w:sz w:val="20"/>
                <w:szCs w:val="20"/>
                <w:color w:val="auto"/>
              </w:rPr>
            </w:pPr>
            <w:r>
              <w:rPr>
                <w:rFonts w:ascii="Arial" w:cs="Arial" w:eastAsia="Arial" w:hAnsi="Arial"/>
                <w:sz w:val="11"/>
                <w:szCs w:val="11"/>
                <w:b w:val="1"/>
                <w:bCs w:val="1"/>
                <w:color w:val="052666"/>
                <w:w w:val="97"/>
              </w:rPr>
              <w:t>Payouts Under</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jc w:val="center"/>
              <w:ind w:right="29"/>
              <w:spacing w:after="0" w:line="122" w:lineRule="exact"/>
              <w:rPr>
                <w:sz w:val="20"/>
                <w:szCs w:val="20"/>
                <w:color w:val="auto"/>
              </w:rPr>
            </w:pPr>
            <w:r>
              <w:rPr>
                <w:rFonts w:ascii="Arial" w:cs="Arial" w:eastAsia="Arial" w:hAnsi="Arial"/>
                <w:sz w:val="11"/>
                <w:szCs w:val="11"/>
                <w:b w:val="1"/>
                <w:bCs w:val="1"/>
                <w:color w:val="052666"/>
                <w:w w:val="97"/>
              </w:rPr>
              <w:t>Payouts Under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9"/>
              </w:rPr>
              <w:t>of Shares</w:t>
            </w:r>
          </w:p>
        </w:tc>
        <w:tc>
          <w:tcPr>
            <w:tcW w:w="78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8"/>
              </w:rPr>
              <w:t>Number of</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9"/>
              </w:rPr>
              <w:t>or Base</w:t>
            </w:r>
          </w:p>
        </w:tc>
        <w:tc>
          <w:tcPr>
            <w:tcW w:w="120" w:type="dxa"/>
            <w:vAlign w:val="bottom"/>
          </w:tcPr>
          <w:p>
            <w:pPr>
              <w:spacing w:after="0"/>
              <w:rPr>
                <w:sz w:val="10"/>
                <w:szCs w:val="10"/>
                <w:color w:val="auto"/>
              </w:rPr>
            </w:pPr>
          </w:p>
        </w:tc>
        <w:tc>
          <w:tcPr>
            <w:tcW w:w="62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052666"/>
                <w:w w:val="98"/>
              </w:rPr>
              <w:t>Value of</w:t>
            </w:r>
          </w:p>
        </w:tc>
        <w:tc>
          <w:tcPr>
            <w:tcW w:w="120" w:type="dxa"/>
            <w:vAlign w:val="bottom"/>
          </w:tcPr>
          <w:p>
            <w:pPr>
              <w:spacing w:after="0"/>
              <w:rPr>
                <w:sz w:val="10"/>
                <w:szCs w:val="10"/>
                <w:color w:val="auto"/>
              </w:rPr>
            </w:pPr>
          </w:p>
        </w:tc>
        <w:tc>
          <w:tcPr>
            <w:tcW w:w="640" w:type="dxa"/>
            <w:vAlign w:val="bottom"/>
          </w:tcPr>
          <w:p>
            <w:pPr>
              <w:jc w:val="center"/>
              <w:ind w:right="87"/>
              <w:spacing w:after="0" w:line="122" w:lineRule="exact"/>
              <w:rPr>
                <w:sz w:val="20"/>
                <w:szCs w:val="20"/>
                <w:color w:val="auto"/>
              </w:rPr>
            </w:pPr>
            <w:r>
              <w:rPr>
                <w:rFonts w:ascii="Arial" w:cs="Arial" w:eastAsia="Arial" w:hAnsi="Arial"/>
                <w:sz w:val="11"/>
                <w:szCs w:val="11"/>
                <w:b w:val="1"/>
                <w:bCs w:val="1"/>
                <w:color w:val="052666"/>
                <w:w w:val="98"/>
              </w:rPr>
              <w:t>Maximum</w:t>
            </w:r>
          </w:p>
        </w:tc>
        <w:tc>
          <w:tcPr>
            <w:tcW w:w="140" w:type="dxa"/>
            <w:vAlign w:val="bottom"/>
          </w:tcPr>
          <w:p>
            <w:pPr>
              <w:spacing w:after="0"/>
              <w:rPr>
                <w:sz w:val="10"/>
                <w:szCs w:val="10"/>
                <w:color w:val="auto"/>
              </w:rPr>
            </w:pPr>
          </w:p>
        </w:tc>
        <w:tc>
          <w:tcPr>
            <w:tcW w:w="68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052666"/>
                <w:w w:val="99"/>
              </w:rPr>
              <w:t>Closing</w:t>
            </w:r>
          </w:p>
        </w:tc>
      </w:tr>
      <w:tr>
        <w:trPr>
          <w:trHeight w:val="121"/>
        </w:trPr>
        <w:tc>
          <w:tcPr>
            <w:tcW w:w="1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gridSpan w:val="4"/>
          </w:tcPr>
          <w:p>
            <w:pPr>
              <w:jc w:val="center"/>
              <w:ind w:left="29"/>
              <w:spacing w:after="0" w:line="122" w:lineRule="exact"/>
              <w:rPr>
                <w:sz w:val="20"/>
                <w:szCs w:val="20"/>
                <w:color w:val="auto"/>
              </w:rPr>
            </w:pPr>
            <w:r>
              <w:rPr>
                <w:rFonts w:ascii="Arial" w:cs="Arial" w:eastAsia="Arial" w:hAnsi="Arial"/>
                <w:sz w:val="11"/>
                <w:szCs w:val="11"/>
                <w:b w:val="1"/>
                <w:bCs w:val="1"/>
                <w:color w:val="052666"/>
                <w:w w:val="97"/>
              </w:rPr>
              <w:t>Non-Equity Incentive Plan</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jc w:val="center"/>
              <w:ind w:left="428"/>
              <w:spacing w:after="0" w:line="122" w:lineRule="exact"/>
              <w:rPr>
                <w:sz w:val="20"/>
                <w:szCs w:val="20"/>
                <w:color w:val="auto"/>
              </w:rPr>
            </w:pPr>
            <w:r>
              <w:rPr>
                <w:rFonts w:ascii="Arial" w:cs="Arial" w:eastAsia="Arial" w:hAnsi="Arial"/>
                <w:sz w:val="11"/>
                <w:szCs w:val="11"/>
                <w:b w:val="1"/>
                <w:bCs w:val="1"/>
                <w:color w:val="052666"/>
                <w:w w:val="97"/>
              </w:rPr>
              <w:t>Equity Incentive Plan</w:t>
            </w:r>
          </w:p>
        </w:tc>
        <w:tc>
          <w:tcPr>
            <w:tcW w:w="600" w:type="dxa"/>
            <w:vAlign w:val="bottom"/>
          </w:tcPr>
          <w:p>
            <w:pPr>
              <w:spacing w:after="0"/>
              <w:rPr>
                <w:sz w:val="10"/>
                <w:szCs w:val="10"/>
                <w:color w:val="auto"/>
              </w:rPr>
            </w:pPr>
          </w:p>
        </w:tc>
        <w:tc>
          <w:tcPr>
            <w:tcW w:w="70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6"/>
              </w:rPr>
              <w:t>of Stock</w:t>
            </w:r>
          </w:p>
        </w:tc>
        <w:tc>
          <w:tcPr>
            <w:tcW w:w="78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4"/>
              </w:rPr>
              <w:t>Securities</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9"/>
              </w:rPr>
              <w:t>Price of</w:t>
            </w: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2666"/>
                <w:w w:val="98"/>
              </w:rPr>
              <w:t>Stock and</w:t>
            </w:r>
          </w:p>
        </w:tc>
        <w:tc>
          <w:tcPr>
            <w:tcW w:w="7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2666"/>
                <w:w w:val="98"/>
              </w:rPr>
              <w:t>Stock and</w:t>
            </w:r>
          </w:p>
        </w:tc>
        <w:tc>
          <w:tcPr>
            <w:tcW w:w="140" w:type="dxa"/>
            <w:vAlign w:val="bottom"/>
          </w:tcPr>
          <w:p>
            <w:pPr>
              <w:spacing w:after="0"/>
              <w:rPr>
                <w:sz w:val="10"/>
                <w:szCs w:val="10"/>
                <w:color w:val="auto"/>
              </w:rPr>
            </w:pPr>
          </w:p>
        </w:tc>
        <w:tc>
          <w:tcPr>
            <w:tcW w:w="6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6"/>
              </w:rPr>
              <w:t>Price on</w:t>
            </w:r>
          </w:p>
        </w:tc>
      </w:tr>
      <w:tr>
        <w:trPr>
          <w:trHeight w:val="128"/>
        </w:trPr>
        <w:tc>
          <w:tcPr>
            <w:tcW w:w="1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052666"/>
            </w:tcBorders>
          </w:tcPr>
          <w:p>
            <w:pPr>
              <w:spacing w:after="0"/>
              <w:rPr>
                <w:sz w:val="11"/>
                <w:szCs w:val="11"/>
                <w:color w:val="auto"/>
              </w:rPr>
            </w:pPr>
          </w:p>
        </w:tc>
        <w:tc>
          <w:tcPr>
            <w:tcW w:w="600" w:type="dxa"/>
            <w:vAlign w:val="bottom"/>
            <w:tcBorders>
              <w:bottom w:val="single" w:sz="8" w:color="052666"/>
            </w:tcBorders>
          </w:tcPr>
          <w:p>
            <w:pPr>
              <w:spacing w:after="0"/>
              <w:rPr>
                <w:sz w:val="11"/>
                <w:szCs w:val="11"/>
                <w:color w:val="auto"/>
              </w:rPr>
            </w:pPr>
          </w:p>
        </w:tc>
        <w:tc>
          <w:tcPr>
            <w:tcW w:w="880" w:type="dxa"/>
            <w:vAlign w:val="bottom"/>
            <w:tcBorders>
              <w:bottom w:val="single" w:sz="8" w:color="052666"/>
            </w:tcBorders>
            <w:gridSpan w:val="2"/>
          </w:tcPr>
          <w:p>
            <w:pPr>
              <w:jc w:val="center"/>
              <w:ind w:right="9"/>
              <w:spacing w:after="0" w:line="122" w:lineRule="exact"/>
              <w:rPr>
                <w:sz w:val="20"/>
                <w:szCs w:val="20"/>
                <w:color w:val="auto"/>
              </w:rPr>
            </w:pPr>
            <w:r>
              <w:rPr>
                <w:rFonts w:ascii="Arial" w:cs="Arial" w:eastAsia="Arial" w:hAnsi="Arial"/>
                <w:sz w:val="11"/>
                <w:szCs w:val="11"/>
                <w:b w:val="1"/>
                <w:bCs w:val="1"/>
                <w:color w:val="052666"/>
                <w:w w:val="92"/>
              </w:rPr>
              <w:t>Awards</w:t>
            </w:r>
            <w:r>
              <w:rPr>
                <w:rFonts w:ascii="Arial" w:cs="Arial" w:eastAsia="Arial" w:hAnsi="Arial"/>
                <w:sz w:val="14"/>
                <w:szCs w:val="14"/>
                <w:b w:val="1"/>
                <w:bCs w:val="1"/>
                <w:color w:val="052666"/>
                <w:w w:val="92"/>
                <w:vertAlign w:val="superscript"/>
              </w:rPr>
              <w:t>(1.)</w:t>
            </w:r>
          </w:p>
        </w:tc>
        <w:tc>
          <w:tcPr>
            <w:tcW w:w="440" w:type="dxa"/>
            <w:vAlign w:val="bottom"/>
            <w:tcBorders>
              <w:bottom w:val="single" w:sz="8" w:color="052666"/>
            </w:tcBorders>
          </w:tcPr>
          <w:p>
            <w:pPr>
              <w:spacing w:after="0"/>
              <w:rPr>
                <w:sz w:val="11"/>
                <w:szCs w:val="11"/>
                <w:color w:val="auto"/>
              </w:rPr>
            </w:pPr>
          </w:p>
        </w:tc>
        <w:tc>
          <w:tcPr>
            <w:tcW w:w="260" w:type="dxa"/>
            <w:vAlign w:val="bottom"/>
            <w:tcBorders>
              <w:bottom w:val="single" w:sz="8" w:color="052666"/>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bottom w:val="single" w:sz="8" w:color="052666"/>
            </w:tcBorders>
          </w:tcPr>
          <w:p>
            <w:pPr>
              <w:spacing w:after="0"/>
              <w:rPr>
                <w:sz w:val="11"/>
                <w:szCs w:val="11"/>
                <w:color w:val="auto"/>
              </w:rPr>
            </w:pPr>
          </w:p>
        </w:tc>
        <w:tc>
          <w:tcPr>
            <w:tcW w:w="880" w:type="dxa"/>
            <w:vAlign w:val="bottom"/>
            <w:tcBorders>
              <w:bottom w:val="single" w:sz="8" w:color="052666"/>
            </w:tcBorders>
          </w:tcPr>
          <w:p>
            <w:pPr>
              <w:jc w:val="center"/>
              <w:ind w:right="9"/>
              <w:spacing w:after="0" w:line="122" w:lineRule="exact"/>
              <w:rPr>
                <w:sz w:val="20"/>
                <w:szCs w:val="20"/>
                <w:color w:val="auto"/>
              </w:rPr>
            </w:pPr>
            <w:r>
              <w:rPr>
                <w:rFonts w:ascii="Arial" w:cs="Arial" w:eastAsia="Arial" w:hAnsi="Arial"/>
                <w:sz w:val="11"/>
                <w:szCs w:val="11"/>
                <w:b w:val="1"/>
                <w:bCs w:val="1"/>
                <w:color w:val="052666"/>
                <w:w w:val="92"/>
              </w:rPr>
              <w:t>Awards</w:t>
            </w:r>
            <w:r>
              <w:rPr>
                <w:rFonts w:ascii="Arial" w:cs="Arial" w:eastAsia="Arial" w:hAnsi="Arial"/>
                <w:sz w:val="14"/>
                <w:szCs w:val="14"/>
                <w:b w:val="1"/>
                <w:bCs w:val="1"/>
                <w:color w:val="052666"/>
                <w:w w:val="92"/>
                <w:vertAlign w:val="superscript"/>
              </w:rPr>
              <w:t>(3.)</w:t>
            </w:r>
          </w:p>
        </w:tc>
        <w:tc>
          <w:tcPr>
            <w:tcW w:w="100" w:type="dxa"/>
            <w:vAlign w:val="bottom"/>
            <w:tcBorders>
              <w:bottom w:val="single" w:sz="8" w:color="052666"/>
            </w:tcBorders>
          </w:tcPr>
          <w:p>
            <w:pPr>
              <w:spacing w:after="0"/>
              <w:rPr>
                <w:sz w:val="11"/>
                <w:szCs w:val="11"/>
                <w:color w:val="auto"/>
              </w:rPr>
            </w:pPr>
          </w:p>
        </w:tc>
        <w:tc>
          <w:tcPr>
            <w:tcW w:w="600" w:type="dxa"/>
            <w:vAlign w:val="bottom"/>
            <w:tcBorders>
              <w:bottom w:val="single" w:sz="8" w:color="052666"/>
            </w:tcBorders>
          </w:tcPr>
          <w:p>
            <w:pPr>
              <w:spacing w:after="0"/>
              <w:rPr>
                <w:sz w:val="11"/>
                <w:szCs w:val="11"/>
                <w:color w:val="auto"/>
              </w:rPr>
            </w:pPr>
          </w:p>
        </w:tc>
        <w:tc>
          <w:tcPr>
            <w:tcW w:w="70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w w:val="90"/>
              </w:rPr>
              <w:t>or</w:t>
            </w:r>
          </w:p>
        </w:tc>
        <w:tc>
          <w:tcPr>
            <w:tcW w:w="78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2666"/>
              </w:rPr>
              <w:t>Underlying</w:t>
            </w:r>
          </w:p>
        </w:tc>
        <w:tc>
          <w:tcPr>
            <w:tcW w:w="7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5"/>
              </w:rPr>
              <w:t>Option</w:t>
            </w:r>
          </w:p>
        </w:tc>
        <w:tc>
          <w:tcPr>
            <w:tcW w:w="120" w:type="dxa"/>
            <w:vAlign w:val="bottom"/>
          </w:tcPr>
          <w:p>
            <w:pPr>
              <w:spacing w:after="0"/>
              <w:rPr>
                <w:sz w:val="11"/>
                <w:szCs w:val="11"/>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052666"/>
              </w:rPr>
              <w:t>Option</w:t>
            </w:r>
          </w:p>
        </w:tc>
        <w:tc>
          <w:tcPr>
            <w:tcW w:w="120" w:type="dxa"/>
            <w:vAlign w:val="bottom"/>
          </w:tcPr>
          <w:p>
            <w:pPr>
              <w:spacing w:after="0"/>
              <w:rPr>
                <w:sz w:val="11"/>
                <w:szCs w:val="11"/>
                <w:color w:val="auto"/>
              </w:rPr>
            </w:pPr>
          </w:p>
        </w:tc>
        <w:tc>
          <w:tcPr>
            <w:tcW w:w="640" w:type="dxa"/>
            <w:vAlign w:val="bottom"/>
          </w:tcPr>
          <w:p>
            <w:pPr>
              <w:ind w:left="80"/>
              <w:spacing w:after="0" w:line="122" w:lineRule="exact"/>
              <w:rPr>
                <w:sz w:val="20"/>
                <w:szCs w:val="20"/>
                <w:color w:val="auto"/>
              </w:rPr>
            </w:pPr>
            <w:r>
              <w:rPr>
                <w:rFonts w:ascii="Arial" w:cs="Arial" w:eastAsia="Arial" w:hAnsi="Arial"/>
                <w:sz w:val="11"/>
                <w:szCs w:val="11"/>
                <w:b w:val="1"/>
                <w:bCs w:val="1"/>
                <w:color w:val="052666"/>
              </w:rPr>
              <w:t>Option</w:t>
            </w:r>
          </w:p>
        </w:tc>
        <w:tc>
          <w:tcPr>
            <w:tcW w:w="140" w:type="dxa"/>
            <w:vAlign w:val="bottom"/>
          </w:tcPr>
          <w:p>
            <w:pPr>
              <w:spacing w:after="0"/>
              <w:rPr>
                <w:sz w:val="11"/>
                <w:szCs w:val="11"/>
                <w:color w:val="auto"/>
              </w:rPr>
            </w:pPr>
          </w:p>
        </w:tc>
        <w:tc>
          <w:tcPr>
            <w:tcW w:w="68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052666"/>
                <w:w w:val="95"/>
              </w:rPr>
              <w:t>Grant</w:t>
            </w:r>
          </w:p>
        </w:tc>
      </w:tr>
      <w:tr>
        <w:trPr>
          <w:trHeight w:val="94"/>
        </w:trPr>
        <w:tc>
          <w:tcPr>
            <w:tcW w:w="1300" w:type="dxa"/>
            <w:vAlign w:val="bottom"/>
          </w:tcPr>
          <w:p>
            <w:pPr>
              <w:spacing w:after="0"/>
              <w:rPr>
                <w:sz w:val="8"/>
                <w:szCs w:val="8"/>
                <w:color w:val="auto"/>
              </w:rPr>
            </w:pPr>
          </w:p>
        </w:tc>
        <w:tc>
          <w:tcPr>
            <w:tcW w:w="760" w:type="dxa"/>
            <w:vAlign w:val="bottom"/>
          </w:tcPr>
          <w:p>
            <w:pPr>
              <w:jc w:val="right"/>
              <w:ind w:right="46"/>
              <w:spacing w:after="0" w:line="95" w:lineRule="exact"/>
              <w:rPr>
                <w:sz w:val="20"/>
                <w:szCs w:val="20"/>
                <w:color w:val="auto"/>
              </w:rPr>
            </w:pPr>
            <w:r>
              <w:rPr>
                <w:rFonts w:ascii="Arial" w:cs="Arial" w:eastAsia="Arial" w:hAnsi="Arial"/>
                <w:sz w:val="10"/>
                <w:szCs w:val="10"/>
                <w:b w:val="1"/>
                <w:bCs w:val="1"/>
                <w:color w:val="052666"/>
              </w:rPr>
              <w:t>Approval/</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right"/>
              <w:ind w:right="9"/>
              <w:spacing w:after="0" w:line="95" w:lineRule="exact"/>
              <w:rPr>
                <w:sz w:val="20"/>
                <w:szCs w:val="20"/>
                <w:color w:val="auto"/>
              </w:rPr>
            </w:pPr>
            <w:r>
              <w:rPr>
                <w:rFonts w:ascii="Arial" w:cs="Arial" w:eastAsia="Arial" w:hAnsi="Arial"/>
                <w:sz w:val="10"/>
                <w:szCs w:val="10"/>
                <w:b w:val="1"/>
                <w:bCs w:val="1"/>
                <w:color w:val="052666"/>
              </w:rPr>
              <w:t>Threshold</w:t>
            </w:r>
          </w:p>
        </w:tc>
        <w:tc>
          <w:tcPr>
            <w:tcW w:w="240" w:type="dxa"/>
            <w:vAlign w:val="bottom"/>
          </w:tcPr>
          <w:p>
            <w:pPr>
              <w:spacing w:after="0"/>
              <w:rPr>
                <w:sz w:val="8"/>
                <w:szCs w:val="8"/>
                <w:color w:val="auto"/>
              </w:rPr>
            </w:pPr>
          </w:p>
        </w:tc>
        <w:tc>
          <w:tcPr>
            <w:tcW w:w="640" w:type="dxa"/>
            <w:vAlign w:val="bottom"/>
          </w:tcPr>
          <w:p>
            <w:pPr>
              <w:jc w:val="right"/>
              <w:ind w:right="209"/>
              <w:spacing w:after="0" w:line="95" w:lineRule="exact"/>
              <w:rPr>
                <w:sz w:val="20"/>
                <w:szCs w:val="20"/>
                <w:color w:val="auto"/>
              </w:rPr>
            </w:pPr>
            <w:r>
              <w:rPr>
                <w:rFonts w:ascii="Arial" w:cs="Arial" w:eastAsia="Arial" w:hAnsi="Arial"/>
                <w:sz w:val="10"/>
                <w:szCs w:val="10"/>
                <w:b w:val="1"/>
                <w:bCs w:val="1"/>
                <w:color w:val="052666"/>
              </w:rPr>
              <w:t>Target</w:t>
            </w:r>
          </w:p>
        </w:tc>
        <w:tc>
          <w:tcPr>
            <w:tcW w:w="700" w:type="dxa"/>
            <w:vAlign w:val="bottom"/>
            <w:gridSpan w:val="2"/>
          </w:tcPr>
          <w:p>
            <w:pPr>
              <w:jc w:val="right"/>
              <w:ind w:right="86"/>
              <w:spacing w:after="0" w:line="95" w:lineRule="exact"/>
              <w:rPr>
                <w:sz w:val="20"/>
                <w:szCs w:val="20"/>
                <w:color w:val="auto"/>
              </w:rPr>
            </w:pPr>
            <w:r>
              <w:rPr>
                <w:rFonts w:ascii="Arial" w:cs="Arial" w:eastAsia="Arial" w:hAnsi="Arial"/>
                <w:sz w:val="10"/>
                <w:szCs w:val="10"/>
                <w:b w:val="1"/>
                <w:bCs w:val="1"/>
                <w:color w:val="052666"/>
              </w:rPr>
              <w:t>Maximum</w:t>
            </w:r>
          </w:p>
        </w:tc>
        <w:tc>
          <w:tcPr>
            <w:tcW w:w="120" w:type="dxa"/>
            <w:vAlign w:val="bottom"/>
          </w:tcPr>
          <w:p>
            <w:pPr>
              <w:spacing w:after="0"/>
              <w:rPr>
                <w:sz w:val="8"/>
                <w:szCs w:val="8"/>
                <w:color w:val="auto"/>
              </w:rPr>
            </w:pPr>
          </w:p>
        </w:tc>
        <w:tc>
          <w:tcPr>
            <w:tcW w:w="660" w:type="dxa"/>
            <w:vAlign w:val="bottom"/>
          </w:tcPr>
          <w:p>
            <w:pPr>
              <w:jc w:val="right"/>
              <w:ind w:right="28"/>
              <w:spacing w:after="0" w:line="95" w:lineRule="exact"/>
              <w:rPr>
                <w:sz w:val="20"/>
                <w:szCs w:val="20"/>
                <w:color w:val="auto"/>
              </w:rPr>
            </w:pPr>
            <w:r>
              <w:rPr>
                <w:rFonts w:ascii="Arial" w:cs="Arial" w:eastAsia="Arial" w:hAnsi="Arial"/>
                <w:sz w:val="10"/>
                <w:szCs w:val="10"/>
                <w:b w:val="1"/>
                <w:bCs w:val="1"/>
                <w:color w:val="052666"/>
              </w:rPr>
              <w:t>Threshold</w:t>
            </w:r>
          </w:p>
        </w:tc>
        <w:tc>
          <w:tcPr>
            <w:tcW w:w="880" w:type="dxa"/>
            <w:vAlign w:val="bottom"/>
          </w:tcPr>
          <w:p>
            <w:pPr>
              <w:jc w:val="center"/>
              <w:ind w:right="29"/>
              <w:spacing w:after="0" w:line="95" w:lineRule="exact"/>
              <w:rPr>
                <w:sz w:val="20"/>
                <w:szCs w:val="20"/>
                <w:color w:val="auto"/>
              </w:rPr>
            </w:pPr>
            <w:r>
              <w:rPr>
                <w:rFonts w:ascii="Arial" w:cs="Arial" w:eastAsia="Arial" w:hAnsi="Arial"/>
                <w:sz w:val="10"/>
                <w:szCs w:val="10"/>
                <w:b w:val="1"/>
                <w:bCs w:val="1"/>
                <w:color w:val="052666"/>
              </w:rPr>
              <w:t>Target</w:t>
            </w:r>
          </w:p>
        </w:tc>
        <w:tc>
          <w:tcPr>
            <w:tcW w:w="700" w:type="dxa"/>
            <w:vAlign w:val="bottom"/>
            <w:gridSpan w:val="2"/>
          </w:tcPr>
          <w:p>
            <w:pPr>
              <w:jc w:val="right"/>
              <w:ind w:right="129"/>
              <w:spacing w:after="0" w:line="95" w:lineRule="exact"/>
              <w:rPr>
                <w:sz w:val="20"/>
                <w:szCs w:val="20"/>
                <w:color w:val="auto"/>
              </w:rPr>
            </w:pPr>
            <w:r>
              <w:rPr>
                <w:rFonts w:ascii="Arial" w:cs="Arial" w:eastAsia="Arial" w:hAnsi="Arial"/>
                <w:sz w:val="10"/>
                <w:szCs w:val="10"/>
                <w:b w:val="1"/>
                <w:bCs w:val="1"/>
                <w:color w:val="052666"/>
              </w:rPr>
              <w:t>Maximum</w:t>
            </w:r>
          </w:p>
        </w:tc>
        <w:tc>
          <w:tcPr>
            <w:tcW w:w="700" w:type="dxa"/>
            <w:vAlign w:val="bottom"/>
          </w:tcPr>
          <w:p>
            <w:pPr>
              <w:jc w:val="center"/>
              <w:ind w:right="27"/>
              <w:spacing w:after="0" w:line="95" w:lineRule="exact"/>
              <w:rPr>
                <w:sz w:val="20"/>
                <w:szCs w:val="20"/>
                <w:color w:val="auto"/>
              </w:rPr>
            </w:pPr>
            <w:r>
              <w:rPr>
                <w:rFonts w:ascii="Arial" w:cs="Arial" w:eastAsia="Arial" w:hAnsi="Arial"/>
                <w:sz w:val="8"/>
                <w:szCs w:val="8"/>
                <w:b w:val="1"/>
                <w:bCs w:val="1"/>
                <w:color w:val="052666"/>
              </w:rPr>
              <w:t>Units</w:t>
            </w:r>
            <w:r>
              <w:rPr>
                <w:rFonts w:ascii="Arial" w:cs="Arial" w:eastAsia="Arial" w:hAnsi="Arial"/>
                <w:sz w:val="10"/>
                <w:szCs w:val="10"/>
                <w:b w:val="1"/>
                <w:bCs w:val="1"/>
                <w:color w:val="052666"/>
                <w:vertAlign w:val="superscript"/>
              </w:rPr>
              <w:t>(5.)</w:t>
            </w:r>
          </w:p>
        </w:tc>
        <w:tc>
          <w:tcPr>
            <w:tcW w:w="780" w:type="dxa"/>
            <w:vAlign w:val="bottom"/>
          </w:tcPr>
          <w:p>
            <w:pPr>
              <w:jc w:val="center"/>
              <w:ind w:right="27"/>
              <w:spacing w:after="0" w:line="95" w:lineRule="exact"/>
              <w:rPr>
                <w:sz w:val="20"/>
                <w:szCs w:val="20"/>
                <w:color w:val="auto"/>
              </w:rPr>
            </w:pPr>
            <w:r>
              <w:rPr>
                <w:rFonts w:ascii="Arial" w:cs="Arial" w:eastAsia="Arial" w:hAnsi="Arial"/>
                <w:sz w:val="8"/>
                <w:szCs w:val="8"/>
                <w:b w:val="1"/>
                <w:bCs w:val="1"/>
                <w:color w:val="052666"/>
              </w:rPr>
              <w:t>Options</w:t>
            </w:r>
            <w:r>
              <w:rPr>
                <w:rFonts w:ascii="Arial" w:cs="Arial" w:eastAsia="Arial" w:hAnsi="Arial"/>
                <w:sz w:val="10"/>
                <w:szCs w:val="10"/>
                <w:b w:val="1"/>
                <w:bCs w:val="1"/>
                <w:color w:val="052666"/>
                <w:vertAlign w:val="superscript"/>
              </w:rPr>
              <w:t>(6.)</w:t>
            </w:r>
          </w:p>
        </w:tc>
        <w:tc>
          <w:tcPr>
            <w:tcW w:w="720" w:type="dxa"/>
            <w:vAlign w:val="bottom"/>
          </w:tcPr>
          <w:p>
            <w:pPr>
              <w:jc w:val="center"/>
              <w:ind w:right="6"/>
              <w:spacing w:after="0" w:line="95" w:lineRule="exact"/>
              <w:rPr>
                <w:sz w:val="20"/>
                <w:szCs w:val="20"/>
                <w:color w:val="auto"/>
              </w:rPr>
            </w:pPr>
            <w:r>
              <w:rPr>
                <w:rFonts w:ascii="Arial" w:cs="Arial" w:eastAsia="Arial" w:hAnsi="Arial"/>
                <w:sz w:val="10"/>
                <w:szCs w:val="10"/>
                <w:b w:val="1"/>
                <w:bCs w:val="1"/>
                <w:color w:val="052666"/>
              </w:rPr>
              <w:t>Awards</w:t>
            </w:r>
          </w:p>
        </w:tc>
        <w:tc>
          <w:tcPr>
            <w:tcW w:w="120" w:type="dxa"/>
            <w:vAlign w:val="bottom"/>
          </w:tcPr>
          <w:p>
            <w:pPr>
              <w:spacing w:after="0"/>
              <w:rPr>
                <w:sz w:val="8"/>
                <w:szCs w:val="8"/>
                <w:color w:val="auto"/>
              </w:rPr>
            </w:pPr>
          </w:p>
        </w:tc>
        <w:tc>
          <w:tcPr>
            <w:tcW w:w="620" w:type="dxa"/>
            <w:vAlign w:val="bottom"/>
          </w:tcPr>
          <w:p>
            <w:pPr>
              <w:jc w:val="center"/>
              <w:ind w:right="67"/>
              <w:spacing w:after="0" w:line="95" w:lineRule="exact"/>
              <w:rPr>
                <w:sz w:val="20"/>
                <w:szCs w:val="20"/>
                <w:color w:val="auto"/>
              </w:rPr>
            </w:pPr>
            <w:r>
              <w:rPr>
                <w:rFonts w:ascii="Arial" w:cs="Arial" w:eastAsia="Arial" w:hAnsi="Arial"/>
                <w:sz w:val="8"/>
                <w:szCs w:val="8"/>
                <w:b w:val="1"/>
                <w:bCs w:val="1"/>
                <w:color w:val="052666"/>
              </w:rPr>
              <w:t>Awards</w:t>
            </w:r>
            <w:r>
              <w:rPr>
                <w:rFonts w:ascii="Arial" w:cs="Arial" w:eastAsia="Arial" w:hAnsi="Arial"/>
                <w:sz w:val="10"/>
                <w:szCs w:val="10"/>
                <w:b w:val="1"/>
                <w:bCs w:val="1"/>
                <w:color w:val="052666"/>
                <w:vertAlign w:val="superscript"/>
              </w:rPr>
              <w:t>(7.)</w:t>
            </w:r>
          </w:p>
        </w:tc>
        <w:tc>
          <w:tcPr>
            <w:tcW w:w="120" w:type="dxa"/>
            <w:vAlign w:val="bottom"/>
          </w:tcPr>
          <w:p>
            <w:pPr>
              <w:spacing w:after="0"/>
              <w:rPr>
                <w:sz w:val="8"/>
                <w:szCs w:val="8"/>
                <w:color w:val="auto"/>
              </w:rPr>
            </w:pPr>
          </w:p>
        </w:tc>
        <w:tc>
          <w:tcPr>
            <w:tcW w:w="640" w:type="dxa"/>
            <w:vAlign w:val="bottom"/>
          </w:tcPr>
          <w:p>
            <w:pPr>
              <w:jc w:val="center"/>
              <w:ind w:right="87"/>
              <w:spacing w:after="0" w:line="95" w:lineRule="exact"/>
              <w:rPr>
                <w:sz w:val="20"/>
                <w:szCs w:val="20"/>
                <w:color w:val="auto"/>
              </w:rPr>
            </w:pPr>
            <w:r>
              <w:rPr>
                <w:rFonts w:ascii="Arial" w:cs="Arial" w:eastAsia="Arial" w:hAnsi="Arial"/>
                <w:sz w:val="8"/>
                <w:szCs w:val="8"/>
                <w:b w:val="1"/>
                <w:bCs w:val="1"/>
                <w:color w:val="052666"/>
              </w:rPr>
              <w:t>Awards</w:t>
            </w:r>
            <w:r>
              <w:rPr>
                <w:rFonts w:ascii="Arial" w:cs="Arial" w:eastAsia="Arial" w:hAnsi="Arial"/>
                <w:sz w:val="10"/>
                <w:szCs w:val="10"/>
                <w:b w:val="1"/>
                <w:bCs w:val="1"/>
                <w:color w:val="052666"/>
                <w:vertAlign w:val="superscript"/>
              </w:rPr>
              <w:t>(8.)</w:t>
            </w:r>
          </w:p>
        </w:tc>
        <w:tc>
          <w:tcPr>
            <w:tcW w:w="140" w:type="dxa"/>
            <w:vAlign w:val="bottom"/>
          </w:tcPr>
          <w:p>
            <w:pPr>
              <w:spacing w:after="0"/>
              <w:rPr>
                <w:sz w:val="8"/>
                <w:szCs w:val="8"/>
                <w:color w:val="auto"/>
              </w:rPr>
            </w:pPr>
          </w:p>
        </w:tc>
        <w:tc>
          <w:tcPr>
            <w:tcW w:w="680" w:type="dxa"/>
            <w:vAlign w:val="bottom"/>
          </w:tcPr>
          <w:p>
            <w:pPr>
              <w:jc w:val="center"/>
              <w:ind w:right="146"/>
              <w:spacing w:after="0" w:line="95" w:lineRule="exact"/>
              <w:rPr>
                <w:sz w:val="20"/>
                <w:szCs w:val="20"/>
                <w:color w:val="auto"/>
              </w:rPr>
            </w:pPr>
            <w:r>
              <w:rPr>
                <w:rFonts w:ascii="Arial" w:cs="Arial" w:eastAsia="Arial" w:hAnsi="Arial"/>
                <w:sz w:val="10"/>
                <w:szCs w:val="10"/>
                <w:b w:val="1"/>
                <w:bCs w:val="1"/>
                <w:color w:val="052666"/>
              </w:rPr>
              <w:t>Date</w:t>
            </w:r>
          </w:p>
        </w:tc>
      </w:tr>
      <w:tr>
        <w:trPr>
          <w:trHeight w:val="270"/>
        </w:trPr>
        <w:tc>
          <w:tcPr>
            <w:tcW w:w="1300" w:type="dxa"/>
            <w:vAlign w:val="bottom"/>
            <w:tcBorders>
              <w:bottom w:val="single" w:sz="8" w:color="052666"/>
            </w:tcBorders>
          </w:tcPr>
          <w:p>
            <w:pPr>
              <w:ind w:left="20"/>
              <w:spacing w:after="0"/>
              <w:rPr>
                <w:sz w:val="20"/>
                <w:szCs w:val="20"/>
                <w:color w:val="auto"/>
              </w:rPr>
            </w:pPr>
            <w:r>
              <w:rPr>
                <w:rFonts w:ascii="Arial" w:cs="Arial" w:eastAsia="Arial" w:hAnsi="Arial"/>
                <w:sz w:val="11"/>
                <w:szCs w:val="11"/>
                <w:b w:val="1"/>
                <w:bCs w:val="1"/>
                <w:color w:val="052666"/>
              </w:rPr>
              <w:t>Name</w:t>
            </w:r>
          </w:p>
        </w:tc>
        <w:tc>
          <w:tcPr>
            <w:tcW w:w="760" w:type="dxa"/>
            <w:vAlign w:val="bottom"/>
            <w:tcBorders>
              <w:bottom w:val="single" w:sz="8" w:color="052666"/>
            </w:tcBorders>
          </w:tcPr>
          <w:p>
            <w:pPr>
              <w:jc w:val="right"/>
              <w:ind w:right="26"/>
              <w:spacing w:after="0"/>
              <w:rPr>
                <w:sz w:val="20"/>
                <w:szCs w:val="20"/>
                <w:color w:val="auto"/>
              </w:rPr>
            </w:pPr>
            <w:r>
              <w:rPr>
                <w:rFonts w:ascii="Arial" w:cs="Arial" w:eastAsia="Arial" w:hAnsi="Arial"/>
                <w:sz w:val="11"/>
                <w:szCs w:val="11"/>
                <w:b w:val="1"/>
                <w:bCs w:val="1"/>
                <w:color w:val="052666"/>
              </w:rPr>
              <w:t>Grant Date</w:t>
            </w:r>
          </w:p>
        </w:tc>
        <w:tc>
          <w:tcPr>
            <w:tcW w:w="60" w:type="dxa"/>
            <w:vAlign w:val="bottom"/>
            <w:tcBorders>
              <w:bottom w:val="single" w:sz="8" w:color="052666"/>
            </w:tcBorders>
          </w:tcPr>
          <w:p>
            <w:pPr>
              <w:spacing w:after="0"/>
              <w:rPr>
                <w:sz w:val="23"/>
                <w:szCs w:val="23"/>
                <w:color w:val="auto"/>
              </w:rPr>
            </w:pPr>
          </w:p>
        </w:tc>
        <w:tc>
          <w:tcPr>
            <w:tcW w:w="60" w:type="dxa"/>
            <w:vAlign w:val="bottom"/>
            <w:tcBorders>
              <w:bottom w:val="single" w:sz="8" w:color="052666"/>
            </w:tcBorders>
          </w:tcPr>
          <w:p>
            <w:pPr>
              <w:spacing w:after="0"/>
              <w:rPr>
                <w:sz w:val="23"/>
                <w:szCs w:val="23"/>
                <w:color w:val="auto"/>
              </w:rPr>
            </w:pPr>
          </w:p>
        </w:tc>
        <w:tc>
          <w:tcPr>
            <w:tcW w:w="600" w:type="dxa"/>
            <w:vAlign w:val="bottom"/>
            <w:tcBorders>
              <w:bottom w:val="single" w:sz="8" w:color="052666"/>
            </w:tcBorders>
          </w:tcPr>
          <w:p>
            <w:pPr>
              <w:jc w:val="right"/>
              <w:ind w:right="149"/>
              <w:spacing w:after="0"/>
              <w:rPr>
                <w:sz w:val="20"/>
                <w:szCs w:val="20"/>
                <w:color w:val="auto"/>
              </w:rPr>
            </w:pPr>
            <w:r>
              <w:rPr>
                <w:rFonts w:ascii="Arial" w:cs="Arial" w:eastAsia="Arial" w:hAnsi="Arial"/>
                <w:sz w:val="21"/>
                <w:szCs w:val="21"/>
                <w:b w:val="1"/>
                <w:bCs w:val="1"/>
                <w:color w:val="052666"/>
                <w:vertAlign w:val="subscript"/>
              </w:rPr>
              <w:t>($)</w:t>
            </w:r>
            <w:r>
              <w:rPr>
                <w:rFonts w:ascii="Arial" w:cs="Arial" w:eastAsia="Arial" w:hAnsi="Arial"/>
                <w:sz w:val="7"/>
                <w:szCs w:val="7"/>
                <w:b w:val="1"/>
                <w:bCs w:val="1"/>
                <w:color w:val="052666"/>
              </w:rPr>
              <w:t>(2.)</w:t>
            </w:r>
          </w:p>
        </w:tc>
        <w:tc>
          <w:tcPr>
            <w:tcW w:w="240" w:type="dxa"/>
            <w:vAlign w:val="bottom"/>
            <w:tcBorders>
              <w:bottom w:val="single" w:sz="8" w:color="052666"/>
            </w:tcBorders>
          </w:tcPr>
          <w:p>
            <w:pPr>
              <w:spacing w:after="0"/>
              <w:rPr>
                <w:sz w:val="23"/>
                <w:szCs w:val="23"/>
                <w:color w:val="auto"/>
              </w:rPr>
            </w:pPr>
          </w:p>
        </w:tc>
        <w:tc>
          <w:tcPr>
            <w:tcW w:w="640" w:type="dxa"/>
            <w:vAlign w:val="bottom"/>
            <w:tcBorders>
              <w:bottom w:val="single" w:sz="8" w:color="052666"/>
            </w:tcBorders>
          </w:tcPr>
          <w:p>
            <w:pPr>
              <w:jc w:val="right"/>
              <w:ind w:right="249"/>
              <w:spacing w:after="0"/>
              <w:rPr>
                <w:sz w:val="20"/>
                <w:szCs w:val="20"/>
                <w:color w:val="auto"/>
              </w:rPr>
            </w:pPr>
            <w:r>
              <w:rPr>
                <w:rFonts w:ascii="Arial" w:cs="Arial" w:eastAsia="Arial" w:hAnsi="Arial"/>
                <w:sz w:val="21"/>
                <w:szCs w:val="21"/>
                <w:b w:val="1"/>
                <w:bCs w:val="1"/>
                <w:color w:val="052666"/>
                <w:vertAlign w:val="subscript"/>
              </w:rPr>
              <w:t>($)</w:t>
            </w:r>
            <w:r>
              <w:rPr>
                <w:rFonts w:ascii="Arial" w:cs="Arial" w:eastAsia="Arial" w:hAnsi="Arial"/>
                <w:sz w:val="7"/>
                <w:szCs w:val="7"/>
                <w:b w:val="1"/>
                <w:bCs w:val="1"/>
                <w:color w:val="052666"/>
              </w:rPr>
              <w:t>(2.)</w:t>
            </w:r>
          </w:p>
        </w:tc>
        <w:tc>
          <w:tcPr>
            <w:tcW w:w="440" w:type="dxa"/>
            <w:vAlign w:val="bottom"/>
            <w:tcBorders>
              <w:bottom w:val="single" w:sz="8" w:color="052666"/>
            </w:tcBorders>
          </w:tcPr>
          <w:p>
            <w:pPr>
              <w:jc w:val="right"/>
              <w:spacing w:after="0"/>
              <w:rPr>
                <w:sz w:val="20"/>
                <w:szCs w:val="20"/>
                <w:color w:val="auto"/>
              </w:rPr>
            </w:pPr>
            <w:r>
              <w:rPr>
                <w:rFonts w:ascii="Arial" w:cs="Arial" w:eastAsia="Arial" w:hAnsi="Arial"/>
                <w:sz w:val="21"/>
                <w:szCs w:val="21"/>
                <w:b w:val="1"/>
                <w:bCs w:val="1"/>
                <w:color w:val="052666"/>
                <w:vertAlign w:val="subscript"/>
              </w:rPr>
              <w:t>($)</w:t>
            </w:r>
            <w:r>
              <w:rPr>
                <w:rFonts w:ascii="Arial" w:cs="Arial" w:eastAsia="Arial" w:hAnsi="Arial"/>
                <w:sz w:val="7"/>
                <w:szCs w:val="7"/>
                <w:b w:val="1"/>
                <w:bCs w:val="1"/>
                <w:color w:val="052666"/>
              </w:rPr>
              <w:t>(2.)</w:t>
            </w:r>
          </w:p>
        </w:tc>
        <w:tc>
          <w:tcPr>
            <w:tcW w:w="260" w:type="dxa"/>
            <w:vAlign w:val="bottom"/>
            <w:tcBorders>
              <w:bottom w:val="single" w:sz="8" w:color="052666"/>
            </w:tcBorders>
          </w:tcPr>
          <w:p>
            <w:pPr>
              <w:spacing w:after="0"/>
              <w:rPr>
                <w:sz w:val="23"/>
                <w:szCs w:val="23"/>
                <w:color w:val="auto"/>
              </w:rPr>
            </w:pPr>
          </w:p>
        </w:tc>
        <w:tc>
          <w:tcPr>
            <w:tcW w:w="780" w:type="dxa"/>
            <w:vAlign w:val="bottom"/>
            <w:tcBorders>
              <w:bottom w:val="single" w:sz="8" w:color="052666"/>
            </w:tcBorders>
            <w:gridSpan w:val="2"/>
          </w:tcPr>
          <w:p>
            <w:pPr>
              <w:jc w:val="right"/>
              <w:ind w:right="168"/>
              <w:spacing w:after="0"/>
              <w:rPr>
                <w:sz w:val="20"/>
                <w:szCs w:val="20"/>
                <w:color w:val="auto"/>
              </w:rPr>
            </w:pPr>
            <w:r>
              <w:rPr>
                <w:rFonts w:ascii="Arial" w:cs="Arial" w:eastAsia="Arial" w:hAnsi="Arial"/>
                <w:sz w:val="21"/>
                <w:szCs w:val="21"/>
                <w:b w:val="1"/>
                <w:bCs w:val="1"/>
                <w:color w:val="052666"/>
                <w:vertAlign w:val="subscript"/>
              </w:rPr>
              <w:t>(#)</w:t>
            </w:r>
            <w:r>
              <w:rPr>
                <w:rFonts w:ascii="Arial" w:cs="Arial" w:eastAsia="Arial" w:hAnsi="Arial"/>
                <w:sz w:val="7"/>
                <w:szCs w:val="7"/>
                <w:b w:val="1"/>
                <w:bCs w:val="1"/>
                <w:color w:val="052666"/>
              </w:rPr>
              <w:t>(4.)</w:t>
            </w:r>
          </w:p>
        </w:tc>
        <w:tc>
          <w:tcPr>
            <w:tcW w:w="880" w:type="dxa"/>
            <w:vAlign w:val="bottom"/>
            <w:tcBorders>
              <w:bottom w:val="single" w:sz="8" w:color="052666"/>
            </w:tcBorders>
          </w:tcPr>
          <w:p>
            <w:pPr>
              <w:jc w:val="center"/>
              <w:ind w:right="29"/>
              <w:spacing w:after="0"/>
              <w:rPr>
                <w:sz w:val="20"/>
                <w:szCs w:val="20"/>
                <w:color w:val="auto"/>
              </w:rPr>
            </w:pPr>
            <w:r>
              <w:rPr>
                <w:rFonts w:ascii="Arial" w:cs="Arial" w:eastAsia="Arial" w:hAnsi="Arial"/>
                <w:sz w:val="21"/>
                <w:szCs w:val="21"/>
                <w:b w:val="1"/>
                <w:bCs w:val="1"/>
                <w:color w:val="052666"/>
                <w:w w:val="86"/>
                <w:vertAlign w:val="subscript"/>
              </w:rPr>
              <w:t>(#)</w:t>
            </w:r>
            <w:r>
              <w:rPr>
                <w:rFonts w:ascii="Arial" w:cs="Arial" w:eastAsia="Arial" w:hAnsi="Arial"/>
                <w:sz w:val="7"/>
                <w:szCs w:val="7"/>
                <w:b w:val="1"/>
                <w:bCs w:val="1"/>
                <w:color w:val="052666"/>
                <w:w w:val="86"/>
              </w:rPr>
              <w:t>(4.)</w:t>
            </w:r>
          </w:p>
        </w:tc>
        <w:tc>
          <w:tcPr>
            <w:tcW w:w="100" w:type="dxa"/>
            <w:vAlign w:val="bottom"/>
            <w:tcBorders>
              <w:bottom w:val="single" w:sz="8" w:color="052666"/>
            </w:tcBorders>
          </w:tcPr>
          <w:p>
            <w:pPr>
              <w:spacing w:after="0"/>
              <w:rPr>
                <w:sz w:val="23"/>
                <w:szCs w:val="23"/>
                <w:color w:val="auto"/>
              </w:rPr>
            </w:pPr>
          </w:p>
        </w:tc>
        <w:tc>
          <w:tcPr>
            <w:tcW w:w="600" w:type="dxa"/>
            <w:vAlign w:val="bottom"/>
            <w:tcBorders>
              <w:bottom w:val="single" w:sz="8" w:color="052666"/>
            </w:tcBorders>
          </w:tcPr>
          <w:p>
            <w:pPr>
              <w:jc w:val="right"/>
              <w:ind w:right="269"/>
              <w:spacing w:after="0"/>
              <w:rPr>
                <w:sz w:val="20"/>
                <w:szCs w:val="20"/>
                <w:color w:val="auto"/>
              </w:rPr>
            </w:pPr>
            <w:r>
              <w:rPr>
                <w:rFonts w:ascii="Arial" w:cs="Arial" w:eastAsia="Arial" w:hAnsi="Arial"/>
                <w:sz w:val="21"/>
                <w:szCs w:val="21"/>
                <w:b w:val="1"/>
                <w:bCs w:val="1"/>
                <w:color w:val="052666"/>
                <w:w w:val="93"/>
                <w:vertAlign w:val="subscript"/>
              </w:rPr>
              <w:t>(#)</w:t>
            </w:r>
            <w:r>
              <w:rPr>
                <w:rFonts w:ascii="Arial" w:cs="Arial" w:eastAsia="Arial" w:hAnsi="Arial"/>
                <w:sz w:val="7"/>
                <w:szCs w:val="7"/>
                <w:b w:val="1"/>
                <w:bCs w:val="1"/>
                <w:color w:val="052666"/>
                <w:w w:val="93"/>
              </w:rPr>
              <w:t>(4.)</w:t>
            </w:r>
          </w:p>
        </w:tc>
        <w:tc>
          <w:tcPr>
            <w:tcW w:w="700" w:type="dxa"/>
            <w:vAlign w:val="bottom"/>
            <w:tcBorders>
              <w:bottom w:val="single" w:sz="8" w:color="052666"/>
            </w:tcBorders>
          </w:tcPr>
          <w:p>
            <w:pPr>
              <w:jc w:val="center"/>
              <w:ind w:right="27"/>
              <w:spacing w:after="0"/>
              <w:rPr>
                <w:sz w:val="20"/>
                <w:szCs w:val="20"/>
                <w:color w:val="auto"/>
              </w:rPr>
            </w:pPr>
            <w:r>
              <w:rPr>
                <w:rFonts w:ascii="Arial" w:cs="Arial" w:eastAsia="Arial" w:hAnsi="Arial"/>
                <w:sz w:val="11"/>
                <w:szCs w:val="11"/>
                <w:b w:val="1"/>
                <w:bCs w:val="1"/>
                <w:color w:val="052666"/>
              </w:rPr>
              <w:t>(#)</w:t>
            </w:r>
          </w:p>
        </w:tc>
        <w:tc>
          <w:tcPr>
            <w:tcW w:w="780" w:type="dxa"/>
            <w:vAlign w:val="bottom"/>
            <w:tcBorders>
              <w:bottom w:val="single" w:sz="8" w:color="052666"/>
            </w:tcBorders>
          </w:tcPr>
          <w:p>
            <w:pPr>
              <w:jc w:val="center"/>
              <w:ind w:right="27"/>
              <w:spacing w:after="0"/>
              <w:rPr>
                <w:sz w:val="20"/>
                <w:szCs w:val="20"/>
                <w:color w:val="auto"/>
              </w:rPr>
            </w:pPr>
            <w:r>
              <w:rPr>
                <w:rFonts w:ascii="Arial" w:cs="Arial" w:eastAsia="Arial" w:hAnsi="Arial"/>
                <w:sz w:val="11"/>
                <w:szCs w:val="11"/>
                <w:b w:val="1"/>
                <w:bCs w:val="1"/>
                <w:color w:val="052666"/>
              </w:rPr>
              <w:t>(#)</w:t>
            </w:r>
          </w:p>
        </w:tc>
        <w:tc>
          <w:tcPr>
            <w:tcW w:w="720" w:type="dxa"/>
            <w:vAlign w:val="bottom"/>
            <w:tcBorders>
              <w:bottom w:val="single" w:sz="8" w:color="052666"/>
            </w:tcBorders>
          </w:tcPr>
          <w:p>
            <w:pPr>
              <w:jc w:val="center"/>
              <w:ind w:right="6"/>
              <w:spacing w:after="0"/>
              <w:rPr>
                <w:sz w:val="20"/>
                <w:szCs w:val="20"/>
                <w:color w:val="auto"/>
              </w:rPr>
            </w:pPr>
            <w:r>
              <w:rPr>
                <w:rFonts w:ascii="Arial" w:cs="Arial" w:eastAsia="Arial" w:hAnsi="Arial"/>
                <w:sz w:val="11"/>
                <w:szCs w:val="11"/>
                <w:b w:val="1"/>
                <w:bCs w:val="1"/>
                <w:color w:val="052666"/>
              </w:rPr>
              <w:t>($ /Sh)</w:t>
            </w:r>
          </w:p>
        </w:tc>
        <w:tc>
          <w:tcPr>
            <w:tcW w:w="120" w:type="dxa"/>
            <w:vAlign w:val="bottom"/>
            <w:tcBorders>
              <w:bottom w:val="single" w:sz="8" w:color="052666"/>
            </w:tcBorders>
          </w:tcPr>
          <w:p>
            <w:pPr>
              <w:spacing w:after="0"/>
              <w:rPr>
                <w:sz w:val="23"/>
                <w:szCs w:val="23"/>
                <w:color w:val="auto"/>
              </w:rPr>
            </w:pPr>
          </w:p>
        </w:tc>
        <w:tc>
          <w:tcPr>
            <w:tcW w:w="620" w:type="dxa"/>
            <w:vAlign w:val="bottom"/>
            <w:tcBorders>
              <w:bottom w:val="single" w:sz="8" w:color="052666"/>
            </w:tcBorders>
          </w:tcPr>
          <w:p>
            <w:pPr>
              <w:jc w:val="center"/>
              <w:ind w:right="47"/>
              <w:spacing w:after="0"/>
              <w:rPr>
                <w:sz w:val="20"/>
                <w:szCs w:val="20"/>
                <w:color w:val="auto"/>
              </w:rPr>
            </w:pPr>
            <w:r>
              <w:rPr>
                <w:rFonts w:ascii="Arial" w:cs="Arial" w:eastAsia="Arial" w:hAnsi="Arial"/>
                <w:sz w:val="11"/>
                <w:szCs w:val="11"/>
                <w:b w:val="1"/>
                <w:bCs w:val="1"/>
                <w:color w:val="052666"/>
                <w:w w:val="88"/>
              </w:rPr>
              <w:t>($)</w:t>
            </w:r>
          </w:p>
        </w:tc>
        <w:tc>
          <w:tcPr>
            <w:tcW w:w="120" w:type="dxa"/>
            <w:vAlign w:val="bottom"/>
            <w:tcBorders>
              <w:bottom w:val="single" w:sz="8" w:color="052666"/>
            </w:tcBorders>
          </w:tcPr>
          <w:p>
            <w:pPr>
              <w:spacing w:after="0"/>
              <w:rPr>
                <w:sz w:val="23"/>
                <w:szCs w:val="23"/>
                <w:color w:val="auto"/>
              </w:rPr>
            </w:pPr>
          </w:p>
        </w:tc>
        <w:tc>
          <w:tcPr>
            <w:tcW w:w="640" w:type="dxa"/>
            <w:vAlign w:val="bottom"/>
            <w:tcBorders>
              <w:bottom w:val="single" w:sz="8" w:color="052666"/>
            </w:tcBorders>
          </w:tcPr>
          <w:p>
            <w:pPr>
              <w:jc w:val="center"/>
              <w:ind w:right="67"/>
              <w:spacing w:after="0"/>
              <w:rPr>
                <w:sz w:val="20"/>
                <w:szCs w:val="20"/>
                <w:color w:val="auto"/>
              </w:rPr>
            </w:pPr>
            <w:r>
              <w:rPr>
                <w:rFonts w:ascii="Arial" w:cs="Arial" w:eastAsia="Arial" w:hAnsi="Arial"/>
                <w:sz w:val="11"/>
                <w:szCs w:val="11"/>
                <w:b w:val="1"/>
                <w:bCs w:val="1"/>
                <w:color w:val="052666"/>
                <w:w w:val="88"/>
              </w:rPr>
              <w:t>($)</w:t>
            </w:r>
          </w:p>
        </w:tc>
        <w:tc>
          <w:tcPr>
            <w:tcW w:w="140" w:type="dxa"/>
            <w:vAlign w:val="bottom"/>
            <w:tcBorders>
              <w:bottom w:val="single" w:sz="8" w:color="052666"/>
            </w:tcBorders>
          </w:tcPr>
          <w:p>
            <w:pPr>
              <w:spacing w:after="0"/>
              <w:rPr>
                <w:sz w:val="23"/>
                <w:szCs w:val="23"/>
                <w:color w:val="auto"/>
              </w:rPr>
            </w:pPr>
          </w:p>
        </w:tc>
        <w:tc>
          <w:tcPr>
            <w:tcW w:w="680" w:type="dxa"/>
            <w:vAlign w:val="bottom"/>
            <w:tcBorders>
              <w:bottom w:val="single" w:sz="8" w:color="052666"/>
            </w:tcBorders>
          </w:tcPr>
          <w:p>
            <w:pPr>
              <w:jc w:val="center"/>
              <w:ind w:right="146"/>
              <w:spacing w:after="0"/>
              <w:rPr>
                <w:sz w:val="20"/>
                <w:szCs w:val="20"/>
                <w:color w:val="auto"/>
              </w:rPr>
            </w:pPr>
            <w:r>
              <w:rPr>
                <w:rFonts w:ascii="Arial" w:cs="Arial" w:eastAsia="Arial" w:hAnsi="Arial"/>
                <w:sz w:val="11"/>
                <w:szCs w:val="11"/>
                <w:b w:val="1"/>
                <w:bCs w:val="1"/>
                <w:color w:val="052666"/>
                <w:w w:val="98"/>
              </w:rPr>
              <w:t>($ / Sh)</w:t>
            </w:r>
          </w:p>
        </w:tc>
      </w:tr>
      <w:tr>
        <w:trPr>
          <w:trHeight w:val="223"/>
        </w:trPr>
        <w:tc>
          <w:tcPr>
            <w:tcW w:w="1300" w:type="dxa"/>
            <w:vAlign w:val="bottom"/>
            <w:shd w:val="clear" w:color="auto" w:fill="EDEDED"/>
          </w:tcPr>
          <w:p>
            <w:pPr>
              <w:ind w:left="20"/>
              <w:spacing w:after="0"/>
              <w:rPr>
                <w:sz w:val="20"/>
                <w:szCs w:val="20"/>
                <w:color w:val="auto"/>
              </w:rPr>
            </w:pPr>
            <w:r>
              <w:rPr>
                <w:rFonts w:ascii="Arial" w:cs="Arial" w:eastAsia="Arial" w:hAnsi="Arial"/>
                <w:sz w:val="11"/>
                <w:szCs w:val="11"/>
                <w:color w:val="auto"/>
              </w:rPr>
              <w:t>Marc D. Miller</w:t>
            </w:r>
          </w:p>
        </w:tc>
        <w:tc>
          <w:tcPr>
            <w:tcW w:w="76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600" w:type="dxa"/>
            <w:vAlign w:val="bottom"/>
            <w:shd w:val="clear" w:color="auto" w:fill="EDEDED"/>
          </w:tcPr>
          <w:p>
            <w:pPr>
              <w:spacing w:after="0"/>
              <w:rPr>
                <w:sz w:val="19"/>
                <w:szCs w:val="19"/>
                <w:color w:val="auto"/>
              </w:rPr>
            </w:pPr>
          </w:p>
        </w:tc>
        <w:tc>
          <w:tcPr>
            <w:tcW w:w="240" w:type="dxa"/>
            <w:vAlign w:val="bottom"/>
            <w:shd w:val="clear" w:color="auto" w:fill="EDEDED"/>
          </w:tcPr>
          <w:p>
            <w:pPr>
              <w:spacing w:after="0"/>
              <w:rPr>
                <w:sz w:val="19"/>
                <w:szCs w:val="19"/>
                <w:color w:val="auto"/>
              </w:rPr>
            </w:pPr>
          </w:p>
        </w:tc>
        <w:tc>
          <w:tcPr>
            <w:tcW w:w="640" w:type="dxa"/>
            <w:vAlign w:val="bottom"/>
            <w:shd w:val="clear" w:color="auto" w:fill="EDEDED"/>
          </w:tcPr>
          <w:p>
            <w:pPr>
              <w:spacing w:after="0"/>
              <w:rPr>
                <w:sz w:val="19"/>
                <w:szCs w:val="19"/>
                <w:color w:val="auto"/>
              </w:rPr>
            </w:pPr>
          </w:p>
        </w:tc>
        <w:tc>
          <w:tcPr>
            <w:tcW w:w="700" w:type="dxa"/>
            <w:vAlign w:val="bottom"/>
            <w:gridSpan w:val="2"/>
            <w:shd w:val="clear" w:color="auto" w:fill="EDEDED"/>
          </w:tcPr>
          <w:p>
            <w:pPr>
              <w:jc w:val="right"/>
              <w:ind w:right="66"/>
              <w:spacing w:after="0"/>
              <w:rPr>
                <w:sz w:val="20"/>
                <w:szCs w:val="20"/>
                <w:color w:val="auto"/>
              </w:rPr>
            </w:pPr>
            <w:r>
              <w:rPr>
                <w:rFonts w:ascii="Arial" w:cs="Arial" w:eastAsia="Arial" w:hAnsi="Arial"/>
                <w:sz w:val="11"/>
                <w:szCs w:val="11"/>
                <w:color w:val="auto"/>
              </w:rPr>
              <w:t>4,292,3</w:t>
            </w:r>
          </w:p>
        </w:tc>
        <w:tc>
          <w:tcPr>
            <w:tcW w:w="120" w:type="dxa"/>
            <w:vAlign w:val="bottom"/>
            <w:shd w:val="clear" w:color="auto" w:fill="EDEDED"/>
          </w:tcPr>
          <w:p>
            <w:pPr>
              <w:spacing w:after="0"/>
              <w:rPr>
                <w:sz w:val="19"/>
                <w:szCs w:val="19"/>
                <w:color w:val="auto"/>
              </w:rPr>
            </w:pPr>
          </w:p>
        </w:tc>
        <w:tc>
          <w:tcPr>
            <w:tcW w:w="660" w:type="dxa"/>
            <w:vAlign w:val="bottom"/>
            <w:shd w:val="clear" w:color="auto" w:fill="EDEDED"/>
          </w:tcPr>
          <w:p>
            <w:pPr>
              <w:spacing w:after="0"/>
              <w:rPr>
                <w:sz w:val="19"/>
                <w:szCs w:val="19"/>
                <w:color w:val="auto"/>
              </w:rPr>
            </w:pPr>
          </w:p>
        </w:tc>
        <w:tc>
          <w:tcPr>
            <w:tcW w:w="88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600" w:type="dxa"/>
            <w:vAlign w:val="bottom"/>
            <w:shd w:val="clear" w:color="auto" w:fill="EDEDED"/>
          </w:tcPr>
          <w:p>
            <w:pPr>
              <w:spacing w:after="0"/>
              <w:rPr>
                <w:sz w:val="19"/>
                <w:szCs w:val="19"/>
                <w:color w:val="auto"/>
              </w:rPr>
            </w:pPr>
          </w:p>
        </w:tc>
        <w:tc>
          <w:tcPr>
            <w:tcW w:w="700" w:type="dxa"/>
            <w:vAlign w:val="bottom"/>
            <w:shd w:val="clear" w:color="auto" w:fill="EDEDED"/>
          </w:tcPr>
          <w:p>
            <w:pPr>
              <w:spacing w:after="0"/>
              <w:rPr>
                <w:sz w:val="19"/>
                <w:szCs w:val="19"/>
                <w:color w:val="auto"/>
              </w:rPr>
            </w:pPr>
          </w:p>
        </w:tc>
        <w:tc>
          <w:tcPr>
            <w:tcW w:w="780" w:type="dxa"/>
            <w:vAlign w:val="bottom"/>
            <w:shd w:val="clear" w:color="auto" w:fill="EDEDED"/>
          </w:tcPr>
          <w:p>
            <w:pPr>
              <w:spacing w:after="0"/>
              <w:rPr>
                <w:sz w:val="19"/>
                <w:szCs w:val="19"/>
                <w:color w:val="auto"/>
              </w:rPr>
            </w:pPr>
          </w:p>
        </w:tc>
        <w:tc>
          <w:tcPr>
            <w:tcW w:w="7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6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64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680" w:type="dxa"/>
            <w:vAlign w:val="bottom"/>
            <w:shd w:val="clear" w:color="auto" w:fill="EDEDED"/>
          </w:tcPr>
          <w:p>
            <w:pPr>
              <w:spacing w:after="0"/>
              <w:rPr>
                <w:sz w:val="19"/>
                <w:szCs w:val="19"/>
                <w:color w:val="auto"/>
              </w:rPr>
            </w:pPr>
          </w:p>
        </w:tc>
      </w:tr>
      <w:tr>
        <w:trPr>
          <w:trHeight w:val="135"/>
        </w:trPr>
        <w:tc>
          <w:tcPr>
            <w:tcW w:w="1300" w:type="dxa"/>
            <w:vAlign w:val="bottom"/>
            <w:shd w:val="clear" w:color="auto" w:fill="EDEDED"/>
          </w:tcPr>
          <w:p>
            <w:pPr>
              <w:spacing w:after="0"/>
              <w:rPr>
                <w:sz w:val="11"/>
                <w:szCs w:val="11"/>
                <w:color w:val="auto"/>
              </w:rPr>
            </w:pPr>
          </w:p>
        </w:tc>
        <w:tc>
          <w:tcPr>
            <w:tcW w:w="760" w:type="dxa"/>
            <w:vAlign w:val="bottom"/>
            <w:shd w:val="clear" w:color="auto" w:fill="EDEDED"/>
          </w:tcPr>
          <w:p>
            <w:pPr>
              <w:jc w:val="right"/>
              <w:ind w:right="206"/>
              <w:spacing w:after="0"/>
              <w:rPr>
                <w:sz w:val="20"/>
                <w:szCs w:val="20"/>
                <w:color w:val="auto"/>
              </w:rPr>
            </w:pPr>
            <w:r>
              <w:rPr>
                <w:rFonts w:ascii="Arial" w:cs="Arial" w:eastAsia="Arial" w:hAnsi="Arial"/>
                <w:sz w:val="11"/>
                <w:szCs w:val="11"/>
                <w:color w:val="auto"/>
                <w:w w:val="97"/>
              </w:rPr>
              <w:t>3/19/2025</w:t>
            </w:r>
          </w:p>
        </w:tc>
        <w:tc>
          <w:tcPr>
            <w:tcW w:w="60" w:type="dxa"/>
            <w:vAlign w:val="bottom"/>
            <w:shd w:val="clear" w:color="auto" w:fill="EDEDED"/>
          </w:tcPr>
          <w:p>
            <w:pPr>
              <w:spacing w:after="0"/>
              <w:rPr>
                <w:sz w:val="11"/>
                <w:szCs w:val="11"/>
                <w:color w:val="auto"/>
              </w:rPr>
            </w:pPr>
          </w:p>
        </w:tc>
        <w:tc>
          <w:tcPr>
            <w:tcW w:w="60" w:type="dxa"/>
            <w:vAlign w:val="bottom"/>
            <w:shd w:val="clear" w:color="auto" w:fill="EDEDED"/>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300,461</w:t>
            </w:r>
          </w:p>
        </w:tc>
        <w:tc>
          <w:tcPr>
            <w:tcW w:w="2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DEDED"/>
          </w:tcPr>
          <w:p>
            <w:pPr>
              <w:jc w:val="right"/>
              <w:ind w:right="49"/>
              <w:spacing w:after="0"/>
              <w:rPr>
                <w:sz w:val="20"/>
                <w:szCs w:val="20"/>
                <w:color w:val="auto"/>
              </w:rPr>
            </w:pPr>
            <w:r>
              <w:rPr>
                <w:rFonts w:ascii="Arial" w:cs="Arial" w:eastAsia="Arial" w:hAnsi="Arial"/>
                <w:sz w:val="11"/>
                <w:szCs w:val="11"/>
                <w:color w:val="auto"/>
              </w:rPr>
              <w:t>2,146,154</w:t>
            </w:r>
          </w:p>
        </w:tc>
        <w:tc>
          <w:tcPr>
            <w:tcW w:w="440" w:type="dxa"/>
            <w:vAlign w:val="bottom"/>
            <w:shd w:val="clear" w:color="auto" w:fill="EDEDED"/>
          </w:tcPr>
          <w:p>
            <w:pPr>
              <w:jc w:val="right"/>
              <w:ind w:right="288"/>
              <w:spacing w:after="0"/>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w w:val="97"/>
              </w:rPr>
              <w:t>07</w:t>
            </w:r>
          </w:p>
        </w:tc>
        <w:tc>
          <w:tcPr>
            <w:tcW w:w="120" w:type="dxa"/>
            <w:vAlign w:val="bottom"/>
            <w:shd w:val="clear" w:color="auto" w:fill="EDEDED"/>
          </w:tcPr>
          <w:p>
            <w:pPr>
              <w:spacing w:after="0"/>
              <w:rPr>
                <w:sz w:val="11"/>
                <w:szCs w:val="11"/>
                <w:color w:val="auto"/>
              </w:rPr>
            </w:pPr>
          </w:p>
        </w:tc>
        <w:tc>
          <w:tcPr>
            <w:tcW w:w="660" w:type="dxa"/>
            <w:vAlign w:val="bottom"/>
            <w:shd w:val="clear" w:color="auto" w:fill="EDEDED"/>
          </w:tcPr>
          <w:p>
            <w:pPr>
              <w:spacing w:after="0"/>
              <w:rPr>
                <w:sz w:val="11"/>
                <w:szCs w:val="11"/>
                <w:color w:val="auto"/>
              </w:rPr>
            </w:pPr>
          </w:p>
        </w:tc>
        <w:tc>
          <w:tcPr>
            <w:tcW w:w="880" w:type="dxa"/>
            <w:vAlign w:val="bottom"/>
            <w:shd w:val="clear" w:color="auto" w:fill="EDEDED"/>
          </w:tcPr>
          <w:p>
            <w:pPr>
              <w:spacing w:after="0"/>
              <w:rPr>
                <w:sz w:val="11"/>
                <w:szCs w:val="11"/>
                <w:color w:val="auto"/>
              </w:rPr>
            </w:pPr>
          </w:p>
        </w:tc>
        <w:tc>
          <w:tcPr>
            <w:tcW w:w="100" w:type="dxa"/>
            <w:vAlign w:val="bottom"/>
            <w:shd w:val="clear" w:color="auto" w:fill="EDEDED"/>
          </w:tcPr>
          <w:p>
            <w:pPr>
              <w:spacing w:after="0"/>
              <w:rPr>
                <w:sz w:val="11"/>
                <w:szCs w:val="11"/>
                <w:color w:val="auto"/>
              </w:rPr>
            </w:pPr>
          </w:p>
        </w:tc>
        <w:tc>
          <w:tcPr>
            <w:tcW w:w="600" w:type="dxa"/>
            <w:vAlign w:val="bottom"/>
            <w:shd w:val="clear" w:color="auto" w:fill="EDEDED"/>
          </w:tcPr>
          <w:p>
            <w:pPr>
              <w:spacing w:after="0"/>
              <w:rPr>
                <w:sz w:val="11"/>
                <w:szCs w:val="11"/>
                <w:color w:val="auto"/>
              </w:rPr>
            </w:pPr>
          </w:p>
        </w:tc>
        <w:tc>
          <w:tcPr>
            <w:tcW w:w="700" w:type="dxa"/>
            <w:vAlign w:val="bottom"/>
            <w:shd w:val="clear" w:color="auto" w:fill="EDEDED"/>
          </w:tcPr>
          <w:p>
            <w:pPr>
              <w:jc w:val="right"/>
              <w:ind w:right="27"/>
              <w:spacing w:after="0"/>
              <w:rPr>
                <w:sz w:val="20"/>
                <w:szCs w:val="20"/>
                <w:color w:val="auto"/>
              </w:rPr>
            </w:pPr>
            <w:r>
              <w:rPr>
                <w:rFonts w:ascii="Arial" w:cs="Arial" w:eastAsia="Arial" w:hAnsi="Arial"/>
                <w:sz w:val="11"/>
                <w:szCs w:val="11"/>
                <w:color w:val="auto"/>
              </w:rPr>
              <w:t>28,077</w:t>
            </w:r>
          </w:p>
        </w:tc>
        <w:tc>
          <w:tcPr>
            <w:tcW w:w="780" w:type="dxa"/>
            <w:vAlign w:val="bottom"/>
            <w:shd w:val="clear" w:color="auto" w:fill="EDEDED"/>
          </w:tcPr>
          <w:p>
            <w:pPr>
              <w:ind w:left="560"/>
              <w:spacing w:after="0"/>
              <w:rPr>
                <w:sz w:val="20"/>
                <w:szCs w:val="20"/>
                <w:color w:val="auto"/>
              </w:rPr>
            </w:pPr>
            <w:r>
              <w:rPr>
                <w:rFonts w:ascii="Arial" w:cs="Arial" w:eastAsia="Arial" w:hAnsi="Arial"/>
                <w:sz w:val="11"/>
                <w:szCs w:val="11"/>
                <w:color w:val="auto"/>
              </w:rPr>
              <w:t>—</w:t>
            </w:r>
          </w:p>
        </w:tc>
        <w:tc>
          <w:tcPr>
            <w:tcW w:w="720" w:type="dxa"/>
            <w:vAlign w:val="bottom"/>
            <w:shd w:val="clear" w:color="auto" w:fill="EDEDED"/>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DEDED"/>
          </w:tcPr>
          <w:p>
            <w:pPr>
              <w:ind w:left="80"/>
              <w:spacing w:after="0"/>
              <w:rPr>
                <w:sz w:val="20"/>
                <w:szCs w:val="20"/>
                <w:color w:val="auto"/>
              </w:rPr>
            </w:pPr>
            <w:r>
              <w:rPr>
                <w:rFonts w:ascii="Arial" w:cs="Arial" w:eastAsia="Arial" w:hAnsi="Arial"/>
                <w:sz w:val="11"/>
                <w:szCs w:val="11"/>
                <w:color w:val="auto"/>
              </w:rPr>
              <w:t>4,999,952</w:t>
            </w: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DEDED"/>
          </w:tcPr>
          <w:p>
            <w:pPr>
              <w:ind w:left="80"/>
              <w:spacing w:after="0"/>
              <w:rPr>
                <w:sz w:val="20"/>
                <w:szCs w:val="20"/>
                <w:color w:val="auto"/>
              </w:rPr>
            </w:pPr>
            <w:r>
              <w:rPr>
                <w:rFonts w:ascii="Arial" w:cs="Arial" w:eastAsia="Arial" w:hAnsi="Arial"/>
                <w:sz w:val="11"/>
                <w:szCs w:val="11"/>
                <w:color w:val="auto"/>
              </w:rPr>
              <w:t>4,999,952</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178.08</w:t>
            </w:r>
          </w:p>
        </w:tc>
      </w:tr>
      <w:tr>
        <w:trPr>
          <w:trHeight w:val="243"/>
        </w:trPr>
        <w:tc>
          <w:tcPr>
            <w:tcW w:w="1300" w:type="dxa"/>
            <w:vAlign w:val="bottom"/>
            <w:shd w:val="clear" w:color="auto" w:fill="EDEDED"/>
          </w:tcPr>
          <w:p>
            <w:pPr>
              <w:spacing w:after="0"/>
              <w:rPr>
                <w:sz w:val="21"/>
                <w:szCs w:val="21"/>
                <w:color w:val="auto"/>
              </w:rPr>
            </w:pPr>
          </w:p>
        </w:tc>
        <w:tc>
          <w:tcPr>
            <w:tcW w:w="760" w:type="dxa"/>
            <w:vAlign w:val="bottom"/>
            <w:shd w:val="clear" w:color="auto" w:fill="EDEDED"/>
          </w:tcPr>
          <w:p>
            <w:pPr>
              <w:jc w:val="right"/>
              <w:ind w:right="206"/>
              <w:spacing w:after="0"/>
              <w:rPr>
                <w:sz w:val="20"/>
                <w:szCs w:val="20"/>
                <w:color w:val="auto"/>
              </w:rPr>
            </w:pPr>
            <w:r>
              <w:rPr>
                <w:rFonts w:ascii="Arial" w:cs="Arial" w:eastAsia="Arial" w:hAnsi="Arial"/>
                <w:sz w:val="11"/>
                <w:szCs w:val="11"/>
                <w:color w:val="auto"/>
                <w:w w:val="97"/>
              </w:rPr>
              <w:t>3/19/2025</w:t>
            </w:r>
          </w:p>
        </w:tc>
        <w:tc>
          <w:tcPr>
            <w:tcW w:w="60" w:type="dxa"/>
            <w:vAlign w:val="bottom"/>
            <w:shd w:val="clear" w:color="auto" w:fill="EDEDED"/>
          </w:tcPr>
          <w:p>
            <w:pPr>
              <w:spacing w:after="0"/>
              <w:rPr>
                <w:sz w:val="21"/>
                <w:szCs w:val="21"/>
                <w:color w:val="auto"/>
              </w:rPr>
            </w:pPr>
          </w:p>
        </w:tc>
        <w:tc>
          <w:tcPr>
            <w:tcW w:w="60" w:type="dxa"/>
            <w:vAlign w:val="bottom"/>
            <w:shd w:val="clear" w:color="auto" w:fill="EDEDED"/>
          </w:tcPr>
          <w:p>
            <w:pPr>
              <w:spacing w:after="0"/>
              <w:rPr>
                <w:sz w:val="21"/>
                <w:szCs w:val="21"/>
                <w:color w:val="auto"/>
              </w:rPr>
            </w:pPr>
          </w:p>
        </w:tc>
        <w:tc>
          <w:tcPr>
            <w:tcW w:w="600" w:type="dxa"/>
            <w:vAlign w:val="bottom"/>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640" w:type="dxa"/>
            <w:vAlign w:val="bottom"/>
            <w:shd w:val="clear" w:color="auto" w:fill="EDEDED"/>
          </w:tcPr>
          <w:p>
            <w:pPr>
              <w:spacing w:after="0"/>
              <w:rPr>
                <w:sz w:val="21"/>
                <w:szCs w:val="21"/>
                <w:color w:val="auto"/>
              </w:rPr>
            </w:pPr>
          </w:p>
        </w:tc>
        <w:tc>
          <w:tcPr>
            <w:tcW w:w="440" w:type="dxa"/>
            <w:vAlign w:val="bottom"/>
            <w:shd w:val="clear" w:color="auto" w:fill="EDEDED"/>
          </w:tcPr>
          <w:p>
            <w:pPr>
              <w:spacing w:after="0"/>
              <w:rPr>
                <w:sz w:val="21"/>
                <w:szCs w:val="21"/>
                <w:color w:val="auto"/>
              </w:rPr>
            </w:pPr>
          </w:p>
        </w:tc>
        <w:tc>
          <w:tcPr>
            <w:tcW w:w="260" w:type="dxa"/>
            <w:vAlign w:val="bottom"/>
            <w:shd w:val="clear" w:color="auto" w:fill="EDEDED"/>
          </w:tcPr>
          <w:p>
            <w:pPr>
              <w:spacing w:after="0"/>
              <w:rPr>
                <w:sz w:val="21"/>
                <w:szCs w:val="21"/>
                <w:color w:val="auto"/>
              </w:rPr>
            </w:pPr>
          </w:p>
        </w:tc>
        <w:tc>
          <w:tcPr>
            <w:tcW w:w="780" w:type="dxa"/>
            <w:vAlign w:val="bottom"/>
            <w:gridSpan w:val="2"/>
            <w:shd w:val="clear" w:color="auto" w:fill="EDEDED"/>
          </w:tcPr>
          <w:p>
            <w:pPr>
              <w:jc w:val="right"/>
              <w:spacing w:after="0"/>
              <w:rPr>
                <w:sz w:val="20"/>
                <w:szCs w:val="20"/>
                <w:color w:val="auto"/>
              </w:rPr>
            </w:pPr>
            <w:r>
              <w:rPr>
                <w:rFonts w:ascii="Arial" w:cs="Arial" w:eastAsia="Arial" w:hAnsi="Arial"/>
                <w:sz w:val="11"/>
                <w:szCs w:val="11"/>
                <w:color w:val="auto"/>
              </w:rPr>
              <w:t>14,039</w:t>
            </w:r>
          </w:p>
        </w:tc>
        <w:tc>
          <w:tcPr>
            <w:tcW w:w="880" w:type="dxa"/>
            <w:vAlign w:val="bottom"/>
            <w:shd w:val="clear" w:color="auto" w:fill="EDEDED"/>
          </w:tcPr>
          <w:p>
            <w:pPr>
              <w:jc w:val="right"/>
              <w:ind w:right="109"/>
              <w:spacing w:after="0"/>
              <w:rPr>
                <w:sz w:val="20"/>
                <w:szCs w:val="20"/>
                <w:color w:val="auto"/>
              </w:rPr>
            </w:pPr>
            <w:r>
              <w:rPr>
                <w:rFonts w:ascii="Arial" w:cs="Arial" w:eastAsia="Arial" w:hAnsi="Arial"/>
                <w:sz w:val="11"/>
                <w:szCs w:val="11"/>
                <w:color w:val="auto"/>
              </w:rPr>
              <w:t>28,077</w:t>
            </w:r>
          </w:p>
        </w:tc>
        <w:tc>
          <w:tcPr>
            <w:tcW w:w="100" w:type="dxa"/>
            <w:vAlign w:val="bottom"/>
            <w:shd w:val="clear" w:color="auto" w:fill="EDEDED"/>
          </w:tcPr>
          <w:p>
            <w:pPr>
              <w:spacing w:after="0"/>
              <w:rPr>
                <w:sz w:val="21"/>
                <w:szCs w:val="21"/>
                <w:color w:val="auto"/>
              </w:rPr>
            </w:pPr>
          </w:p>
        </w:tc>
        <w:tc>
          <w:tcPr>
            <w:tcW w:w="600" w:type="dxa"/>
            <w:vAlign w:val="bottom"/>
            <w:shd w:val="clear" w:color="auto" w:fill="EDEDED"/>
          </w:tcPr>
          <w:p>
            <w:pPr>
              <w:jc w:val="right"/>
              <w:ind w:right="69"/>
              <w:spacing w:after="0"/>
              <w:rPr>
                <w:sz w:val="20"/>
                <w:szCs w:val="20"/>
                <w:color w:val="auto"/>
              </w:rPr>
            </w:pPr>
            <w:r>
              <w:rPr>
                <w:rFonts w:ascii="Arial" w:cs="Arial" w:eastAsia="Arial" w:hAnsi="Arial"/>
                <w:sz w:val="11"/>
                <w:szCs w:val="11"/>
                <w:color w:val="auto"/>
              </w:rPr>
              <w:t>42,116</w:t>
            </w:r>
          </w:p>
        </w:tc>
        <w:tc>
          <w:tcPr>
            <w:tcW w:w="700" w:type="dxa"/>
            <w:vAlign w:val="bottom"/>
            <w:shd w:val="clear" w:color="auto" w:fill="EDEDED"/>
          </w:tcPr>
          <w:p>
            <w:pPr>
              <w:spacing w:after="0"/>
              <w:rPr>
                <w:sz w:val="21"/>
                <w:szCs w:val="21"/>
                <w:color w:val="auto"/>
              </w:rPr>
            </w:pPr>
          </w:p>
        </w:tc>
        <w:tc>
          <w:tcPr>
            <w:tcW w:w="780" w:type="dxa"/>
            <w:vAlign w:val="bottom"/>
            <w:shd w:val="clear" w:color="auto" w:fill="EDEDED"/>
          </w:tcPr>
          <w:p>
            <w:pPr>
              <w:spacing w:after="0"/>
              <w:rPr>
                <w:sz w:val="21"/>
                <w:szCs w:val="21"/>
                <w:color w:val="auto"/>
              </w:rPr>
            </w:pPr>
          </w:p>
        </w:tc>
        <w:tc>
          <w:tcPr>
            <w:tcW w:w="720" w:type="dxa"/>
            <w:vAlign w:val="bottom"/>
            <w:shd w:val="clear" w:color="auto" w:fill="EDEDED"/>
          </w:tcPr>
          <w:p>
            <w:pPr>
              <w:spacing w:after="0"/>
              <w:rPr>
                <w:sz w:val="21"/>
                <w:szCs w:val="21"/>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DEDED"/>
          </w:tcPr>
          <w:p>
            <w:pPr>
              <w:ind w:left="80"/>
              <w:spacing w:after="0"/>
              <w:rPr>
                <w:sz w:val="20"/>
                <w:szCs w:val="20"/>
                <w:color w:val="auto"/>
              </w:rPr>
            </w:pPr>
            <w:r>
              <w:rPr>
                <w:rFonts w:ascii="Arial" w:cs="Arial" w:eastAsia="Arial" w:hAnsi="Arial"/>
                <w:sz w:val="11"/>
                <w:szCs w:val="11"/>
                <w:color w:val="auto"/>
              </w:rPr>
              <w:t>4,999,952</w:t>
            </w: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DEDED"/>
          </w:tcPr>
          <w:p>
            <w:pPr>
              <w:ind w:left="80"/>
              <w:spacing w:after="0"/>
              <w:rPr>
                <w:sz w:val="20"/>
                <w:szCs w:val="20"/>
                <w:color w:val="auto"/>
              </w:rPr>
            </w:pPr>
            <w:r>
              <w:rPr>
                <w:rFonts w:ascii="Arial" w:cs="Arial" w:eastAsia="Arial" w:hAnsi="Arial"/>
                <w:sz w:val="11"/>
                <w:szCs w:val="11"/>
                <w:color w:val="auto"/>
              </w:rPr>
              <w:t>7,500,017</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178.08</w:t>
            </w:r>
          </w:p>
        </w:tc>
      </w:tr>
      <w:tr>
        <w:trPr>
          <w:trHeight w:val="122"/>
        </w:trPr>
        <w:tc>
          <w:tcPr>
            <w:tcW w:w="130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40" w:type="dxa"/>
            <w:vAlign w:val="bottom"/>
            <w:shd w:val="clear" w:color="auto" w:fill="EDEDED"/>
          </w:tcPr>
          <w:p>
            <w:pPr>
              <w:spacing w:after="0"/>
              <w:rPr>
                <w:sz w:val="10"/>
                <w:szCs w:val="10"/>
                <w:color w:val="auto"/>
              </w:rPr>
            </w:pPr>
          </w:p>
        </w:tc>
        <w:tc>
          <w:tcPr>
            <w:tcW w:w="44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660" w:type="dxa"/>
            <w:vAlign w:val="bottom"/>
            <w:shd w:val="clear" w:color="auto" w:fill="EDEDED"/>
          </w:tcPr>
          <w:p>
            <w:pPr>
              <w:spacing w:after="0"/>
              <w:rPr>
                <w:sz w:val="10"/>
                <w:szCs w:val="10"/>
                <w:color w:val="auto"/>
              </w:rPr>
            </w:pPr>
          </w:p>
        </w:tc>
        <w:tc>
          <w:tcPr>
            <w:tcW w:w="880" w:type="dxa"/>
            <w:vAlign w:val="bottom"/>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700" w:type="dxa"/>
            <w:vAlign w:val="bottom"/>
            <w:shd w:val="clear" w:color="auto" w:fill="EDEDED"/>
          </w:tcPr>
          <w:p>
            <w:pPr>
              <w:spacing w:after="0"/>
              <w:rPr>
                <w:sz w:val="10"/>
                <w:szCs w:val="10"/>
                <w:color w:val="auto"/>
              </w:rPr>
            </w:pPr>
          </w:p>
        </w:tc>
        <w:tc>
          <w:tcPr>
            <w:tcW w:w="780" w:type="dxa"/>
            <w:vAlign w:val="bottom"/>
            <w:shd w:val="clear" w:color="auto" w:fill="EDEDED"/>
          </w:tcPr>
          <w:p>
            <w:pPr>
              <w:spacing w:after="0"/>
              <w:rPr>
                <w:sz w:val="10"/>
                <w:szCs w:val="10"/>
                <w:color w:val="auto"/>
              </w:rPr>
            </w:pPr>
          </w:p>
        </w:tc>
        <w:tc>
          <w:tcPr>
            <w:tcW w:w="7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6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640" w:type="dxa"/>
            <w:vAlign w:val="bottom"/>
            <w:shd w:val="clear" w:color="auto" w:fill="EDEDED"/>
          </w:tcPr>
          <w:p>
            <w:pPr>
              <w:spacing w:after="0"/>
              <w:rPr>
                <w:sz w:val="10"/>
                <w:szCs w:val="10"/>
                <w:color w:val="auto"/>
              </w:rPr>
            </w:pPr>
          </w:p>
        </w:tc>
        <w:tc>
          <w:tcPr>
            <w:tcW w:w="14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1"/>
                <w:szCs w:val="11"/>
                <w:color w:val="auto"/>
              </w:rPr>
              <w:t>Alan B. Miller</w:t>
            </w:r>
          </w:p>
        </w:tc>
        <w:tc>
          <w:tcPr>
            <w:tcW w:w="760" w:type="dxa"/>
            <w:vAlign w:val="bottom"/>
          </w:tcPr>
          <w:p>
            <w:pPr>
              <w:jc w:val="right"/>
              <w:ind w:right="206"/>
              <w:spacing w:after="0"/>
              <w:rPr>
                <w:sz w:val="20"/>
                <w:szCs w:val="20"/>
                <w:color w:val="auto"/>
              </w:rPr>
            </w:pPr>
            <w:r>
              <w:rPr>
                <w:rFonts w:ascii="Arial" w:cs="Arial" w:eastAsia="Arial" w:hAnsi="Arial"/>
                <w:sz w:val="11"/>
                <w:szCs w:val="11"/>
                <w:color w:val="auto"/>
                <w:w w:val="97"/>
              </w:rPr>
              <w:t>3/19/2025</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288"/>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14,213</w:t>
            </w: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ind w:left="80"/>
              <w:spacing w:after="0"/>
              <w:rPr>
                <w:sz w:val="20"/>
                <w:szCs w:val="20"/>
                <w:color w:val="auto"/>
              </w:rPr>
            </w:pPr>
            <w:r>
              <w:rPr>
                <w:rFonts w:ascii="Arial" w:cs="Arial" w:eastAsia="Arial" w:hAnsi="Arial"/>
                <w:sz w:val="11"/>
                <w:szCs w:val="11"/>
                <w:color w:val="auto"/>
              </w:rPr>
              <w:t>2,531,051</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80"/>
              <w:spacing w:after="0"/>
              <w:rPr>
                <w:sz w:val="20"/>
                <w:szCs w:val="20"/>
                <w:color w:val="auto"/>
              </w:rPr>
            </w:pPr>
            <w:r>
              <w:rPr>
                <w:rFonts w:ascii="Arial" w:cs="Arial" w:eastAsia="Arial" w:hAnsi="Arial"/>
                <w:sz w:val="11"/>
                <w:szCs w:val="11"/>
                <w:color w:val="auto"/>
              </w:rPr>
              <w:t>2,531,051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178.08</w:t>
            </w:r>
          </w:p>
        </w:tc>
      </w:tr>
      <w:tr>
        <w:trPr>
          <w:trHeight w:val="243"/>
        </w:trPr>
        <w:tc>
          <w:tcPr>
            <w:tcW w:w="1300" w:type="dxa"/>
            <w:vAlign w:val="bottom"/>
          </w:tcPr>
          <w:p>
            <w:pPr>
              <w:spacing w:after="0"/>
              <w:rPr>
                <w:sz w:val="21"/>
                <w:szCs w:val="21"/>
                <w:color w:val="auto"/>
              </w:rPr>
            </w:pPr>
          </w:p>
        </w:tc>
        <w:tc>
          <w:tcPr>
            <w:tcW w:w="760" w:type="dxa"/>
            <w:vAlign w:val="bottom"/>
          </w:tcPr>
          <w:p>
            <w:pPr>
              <w:jc w:val="right"/>
              <w:ind w:right="206"/>
              <w:spacing w:after="0"/>
              <w:rPr>
                <w:sz w:val="20"/>
                <w:szCs w:val="20"/>
                <w:color w:val="auto"/>
              </w:rPr>
            </w:pPr>
            <w:r>
              <w:rPr>
                <w:rFonts w:ascii="Arial" w:cs="Arial" w:eastAsia="Arial" w:hAnsi="Arial"/>
                <w:sz w:val="11"/>
                <w:szCs w:val="11"/>
                <w:color w:val="auto"/>
                <w:w w:val="97"/>
              </w:rPr>
              <w:t>3/19/2025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7,107</w:t>
            </w:r>
          </w:p>
        </w:tc>
        <w:tc>
          <w:tcPr>
            <w:tcW w:w="880" w:type="dxa"/>
            <w:vAlign w:val="bottom"/>
          </w:tcPr>
          <w:p>
            <w:pPr>
              <w:jc w:val="right"/>
              <w:ind w:right="109"/>
              <w:spacing w:after="0"/>
              <w:rPr>
                <w:sz w:val="20"/>
                <w:szCs w:val="20"/>
                <w:color w:val="auto"/>
              </w:rPr>
            </w:pPr>
            <w:r>
              <w:rPr>
                <w:rFonts w:ascii="Arial" w:cs="Arial" w:eastAsia="Arial" w:hAnsi="Arial"/>
                <w:sz w:val="11"/>
                <w:szCs w:val="11"/>
                <w:color w:val="auto"/>
              </w:rPr>
              <w:t>14,213</w:t>
            </w:r>
          </w:p>
        </w:tc>
        <w:tc>
          <w:tcPr>
            <w:tcW w:w="100" w:type="dxa"/>
            <w:vAlign w:val="bottom"/>
          </w:tcPr>
          <w:p>
            <w:pPr>
              <w:spacing w:after="0"/>
              <w:rPr>
                <w:sz w:val="21"/>
                <w:szCs w:val="21"/>
                <w:color w:val="auto"/>
              </w:rPr>
            </w:pPr>
          </w:p>
        </w:tc>
        <w:tc>
          <w:tcPr>
            <w:tcW w:w="600" w:type="dxa"/>
            <w:vAlign w:val="bottom"/>
          </w:tcPr>
          <w:p>
            <w:pPr>
              <w:jc w:val="right"/>
              <w:ind w:right="69"/>
              <w:spacing w:after="0"/>
              <w:rPr>
                <w:sz w:val="20"/>
                <w:szCs w:val="20"/>
                <w:color w:val="auto"/>
              </w:rPr>
            </w:pPr>
            <w:r>
              <w:rPr>
                <w:rFonts w:ascii="Arial" w:cs="Arial" w:eastAsia="Arial" w:hAnsi="Arial"/>
                <w:sz w:val="11"/>
                <w:szCs w:val="11"/>
                <w:color w:val="auto"/>
              </w:rPr>
              <w:t>21,320</w:t>
            </w: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80" w:type="dxa"/>
            <w:vAlign w:val="bottom"/>
          </w:tcPr>
          <w:p>
            <w:pPr>
              <w:ind w:left="560"/>
              <w:spacing w:after="0"/>
              <w:rPr>
                <w:sz w:val="20"/>
                <w:szCs w:val="20"/>
                <w:color w:val="auto"/>
              </w:rPr>
            </w:pPr>
            <w:r>
              <w:rPr>
                <w:rFonts w:ascii="Arial" w:cs="Arial" w:eastAsia="Arial" w:hAnsi="Arial"/>
                <w:sz w:val="11"/>
                <w:szCs w:val="11"/>
                <w:color w:val="auto"/>
              </w:rPr>
              <w:t>—</w:t>
            </w:r>
          </w:p>
        </w:tc>
        <w:tc>
          <w:tcPr>
            <w:tcW w:w="720" w:type="dxa"/>
            <w:vAlign w:val="bottom"/>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ind w:left="80"/>
              <w:spacing w:after="0"/>
              <w:rPr>
                <w:sz w:val="20"/>
                <w:szCs w:val="20"/>
                <w:color w:val="auto"/>
              </w:rPr>
            </w:pPr>
            <w:r>
              <w:rPr>
                <w:rFonts w:ascii="Arial" w:cs="Arial" w:eastAsia="Arial" w:hAnsi="Arial"/>
                <w:sz w:val="11"/>
                <w:szCs w:val="11"/>
                <w:color w:val="auto"/>
              </w:rPr>
              <w:t>2,531,051</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80"/>
              <w:spacing w:after="0"/>
              <w:rPr>
                <w:sz w:val="20"/>
                <w:szCs w:val="20"/>
                <w:color w:val="auto"/>
              </w:rPr>
            </w:pPr>
            <w:r>
              <w:rPr>
                <w:rFonts w:ascii="Arial" w:cs="Arial" w:eastAsia="Arial" w:hAnsi="Arial"/>
                <w:sz w:val="11"/>
                <w:szCs w:val="11"/>
                <w:color w:val="auto"/>
              </w:rPr>
              <w:t>3,796,666</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178.08</w:t>
            </w:r>
          </w:p>
        </w:tc>
      </w:tr>
      <w:tr>
        <w:trPr>
          <w:trHeight w:val="114"/>
        </w:trPr>
        <w:tc>
          <w:tcPr>
            <w:tcW w:w="1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230"/>
        </w:trPr>
        <w:tc>
          <w:tcPr>
            <w:tcW w:w="1300" w:type="dxa"/>
            <w:vAlign w:val="bottom"/>
            <w:shd w:val="clear" w:color="auto" w:fill="EDEDED"/>
          </w:tcPr>
          <w:p>
            <w:pPr>
              <w:ind w:left="20"/>
              <w:spacing w:after="0"/>
              <w:rPr>
                <w:sz w:val="20"/>
                <w:szCs w:val="20"/>
                <w:color w:val="auto"/>
              </w:rPr>
            </w:pPr>
            <w:r>
              <w:rPr>
                <w:rFonts w:ascii="Arial" w:cs="Arial" w:eastAsia="Arial" w:hAnsi="Arial"/>
                <w:sz w:val="11"/>
                <w:szCs w:val="11"/>
                <w:color w:val="auto"/>
              </w:rPr>
              <w:t>Steve G. Filton</w:t>
            </w:r>
          </w:p>
        </w:tc>
        <w:tc>
          <w:tcPr>
            <w:tcW w:w="76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600" w:type="dxa"/>
            <w:vAlign w:val="bottom"/>
            <w:shd w:val="clear" w:color="auto" w:fill="EDEDED"/>
          </w:tcPr>
          <w:p>
            <w:pPr>
              <w:spacing w:after="0"/>
              <w:rPr>
                <w:sz w:val="19"/>
                <w:szCs w:val="19"/>
                <w:color w:val="auto"/>
              </w:rPr>
            </w:pPr>
          </w:p>
        </w:tc>
        <w:tc>
          <w:tcPr>
            <w:tcW w:w="240" w:type="dxa"/>
            <w:vAlign w:val="bottom"/>
            <w:shd w:val="clear" w:color="auto" w:fill="EDEDED"/>
          </w:tcPr>
          <w:p>
            <w:pPr>
              <w:spacing w:after="0"/>
              <w:rPr>
                <w:sz w:val="19"/>
                <w:szCs w:val="19"/>
                <w:color w:val="auto"/>
              </w:rPr>
            </w:pPr>
          </w:p>
        </w:tc>
        <w:tc>
          <w:tcPr>
            <w:tcW w:w="640" w:type="dxa"/>
            <w:vAlign w:val="bottom"/>
            <w:shd w:val="clear" w:color="auto" w:fill="EDEDED"/>
          </w:tcPr>
          <w:p>
            <w:pPr>
              <w:spacing w:after="0"/>
              <w:rPr>
                <w:sz w:val="19"/>
                <w:szCs w:val="19"/>
                <w:color w:val="auto"/>
              </w:rPr>
            </w:pPr>
          </w:p>
        </w:tc>
        <w:tc>
          <w:tcPr>
            <w:tcW w:w="700" w:type="dxa"/>
            <w:vAlign w:val="bottom"/>
            <w:gridSpan w:val="2"/>
            <w:shd w:val="clear" w:color="auto" w:fill="EDEDED"/>
          </w:tcPr>
          <w:p>
            <w:pPr>
              <w:jc w:val="right"/>
              <w:ind w:right="66"/>
              <w:spacing w:after="0"/>
              <w:rPr>
                <w:sz w:val="20"/>
                <w:szCs w:val="20"/>
                <w:color w:val="auto"/>
              </w:rPr>
            </w:pPr>
            <w:r>
              <w:rPr>
                <w:rFonts w:ascii="Arial" w:cs="Arial" w:eastAsia="Arial" w:hAnsi="Arial"/>
                <w:sz w:val="11"/>
                <w:szCs w:val="11"/>
                <w:color w:val="auto"/>
              </w:rPr>
              <w:t>1,706,5</w:t>
            </w:r>
          </w:p>
        </w:tc>
        <w:tc>
          <w:tcPr>
            <w:tcW w:w="120" w:type="dxa"/>
            <w:vAlign w:val="bottom"/>
            <w:shd w:val="clear" w:color="auto" w:fill="EDEDED"/>
          </w:tcPr>
          <w:p>
            <w:pPr>
              <w:spacing w:after="0"/>
              <w:rPr>
                <w:sz w:val="19"/>
                <w:szCs w:val="19"/>
                <w:color w:val="auto"/>
              </w:rPr>
            </w:pPr>
          </w:p>
        </w:tc>
        <w:tc>
          <w:tcPr>
            <w:tcW w:w="660" w:type="dxa"/>
            <w:vAlign w:val="bottom"/>
            <w:shd w:val="clear" w:color="auto" w:fill="EDEDED"/>
          </w:tcPr>
          <w:p>
            <w:pPr>
              <w:spacing w:after="0"/>
              <w:rPr>
                <w:sz w:val="19"/>
                <w:szCs w:val="19"/>
                <w:color w:val="auto"/>
              </w:rPr>
            </w:pPr>
          </w:p>
        </w:tc>
        <w:tc>
          <w:tcPr>
            <w:tcW w:w="88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600" w:type="dxa"/>
            <w:vAlign w:val="bottom"/>
            <w:shd w:val="clear" w:color="auto" w:fill="EDEDED"/>
          </w:tcPr>
          <w:p>
            <w:pPr>
              <w:spacing w:after="0"/>
              <w:rPr>
                <w:sz w:val="19"/>
                <w:szCs w:val="19"/>
                <w:color w:val="auto"/>
              </w:rPr>
            </w:pPr>
          </w:p>
        </w:tc>
        <w:tc>
          <w:tcPr>
            <w:tcW w:w="700" w:type="dxa"/>
            <w:vAlign w:val="bottom"/>
            <w:shd w:val="clear" w:color="auto" w:fill="EDEDED"/>
          </w:tcPr>
          <w:p>
            <w:pPr>
              <w:spacing w:after="0"/>
              <w:rPr>
                <w:sz w:val="19"/>
                <w:szCs w:val="19"/>
                <w:color w:val="auto"/>
              </w:rPr>
            </w:pPr>
          </w:p>
        </w:tc>
        <w:tc>
          <w:tcPr>
            <w:tcW w:w="780" w:type="dxa"/>
            <w:vAlign w:val="bottom"/>
            <w:shd w:val="clear" w:color="auto" w:fill="EDEDED"/>
          </w:tcPr>
          <w:p>
            <w:pPr>
              <w:spacing w:after="0"/>
              <w:rPr>
                <w:sz w:val="19"/>
                <w:szCs w:val="19"/>
                <w:color w:val="auto"/>
              </w:rPr>
            </w:pPr>
          </w:p>
        </w:tc>
        <w:tc>
          <w:tcPr>
            <w:tcW w:w="7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6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64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680" w:type="dxa"/>
            <w:vAlign w:val="bottom"/>
            <w:shd w:val="clear" w:color="auto" w:fill="EDEDED"/>
          </w:tcPr>
          <w:p>
            <w:pPr>
              <w:spacing w:after="0"/>
              <w:rPr>
                <w:sz w:val="19"/>
                <w:szCs w:val="19"/>
                <w:color w:val="auto"/>
              </w:rPr>
            </w:pPr>
          </w:p>
        </w:tc>
      </w:tr>
      <w:tr>
        <w:trPr>
          <w:trHeight w:val="135"/>
        </w:trPr>
        <w:tc>
          <w:tcPr>
            <w:tcW w:w="1300" w:type="dxa"/>
            <w:vAlign w:val="bottom"/>
            <w:shd w:val="clear" w:color="auto" w:fill="EDEDED"/>
          </w:tcPr>
          <w:p>
            <w:pPr>
              <w:spacing w:after="0"/>
              <w:rPr>
                <w:sz w:val="11"/>
                <w:szCs w:val="11"/>
                <w:color w:val="auto"/>
              </w:rPr>
            </w:pPr>
          </w:p>
        </w:tc>
        <w:tc>
          <w:tcPr>
            <w:tcW w:w="760" w:type="dxa"/>
            <w:vAlign w:val="bottom"/>
            <w:shd w:val="clear" w:color="auto" w:fill="EDEDED"/>
          </w:tcPr>
          <w:p>
            <w:pPr>
              <w:jc w:val="right"/>
              <w:ind w:right="206"/>
              <w:spacing w:after="0"/>
              <w:rPr>
                <w:sz w:val="20"/>
                <w:szCs w:val="20"/>
                <w:color w:val="auto"/>
              </w:rPr>
            </w:pPr>
            <w:r>
              <w:rPr>
                <w:rFonts w:ascii="Arial" w:cs="Arial" w:eastAsia="Arial" w:hAnsi="Arial"/>
                <w:sz w:val="11"/>
                <w:szCs w:val="11"/>
                <w:color w:val="auto"/>
                <w:w w:val="97"/>
              </w:rPr>
              <w:t>3/19/2025</w:t>
            </w:r>
          </w:p>
        </w:tc>
        <w:tc>
          <w:tcPr>
            <w:tcW w:w="60" w:type="dxa"/>
            <w:vAlign w:val="bottom"/>
            <w:shd w:val="clear" w:color="auto" w:fill="EDEDED"/>
          </w:tcPr>
          <w:p>
            <w:pPr>
              <w:spacing w:after="0"/>
              <w:rPr>
                <w:sz w:val="11"/>
                <w:szCs w:val="11"/>
                <w:color w:val="auto"/>
              </w:rPr>
            </w:pPr>
          </w:p>
        </w:tc>
        <w:tc>
          <w:tcPr>
            <w:tcW w:w="60" w:type="dxa"/>
            <w:vAlign w:val="bottom"/>
            <w:shd w:val="clear" w:color="auto" w:fill="EDEDED"/>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119,462</w:t>
            </w:r>
          </w:p>
        </w:tc>
        <w:tc>
          <w:tcPr>
            <w:tcW w:w="2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DEDED"/>
          </w:tcPr>
          <w:p>
            <w:pPr>
              <w:jc w:val="right"/>
              <w:ind w:right="49"/>
              <w:spacing w:after="0"/>
              <w:rPr>
                <w:sz w:val="20"/>
                <w:szCs w:val="20"/>
                <w:color w:val="auto"/>
              </w:rPr>
            </w:pPr>
            <w:r>
              <w:rPr>
                <w:rFonts w:ascii="Arial" w:cs="Arial" w:eastAsia="Arial" w:hAnsi="Arial"/>
                <w:sz w:val="11"/>
                <w:szCs w:val="11"/>
                <w:color w:val="auto"/>
              </w:rPr>
              <w:t>853,299</w:t>
            </w:r>
          </w:p>
        </w:tc>
        <w:tc>
          <w:tcPr>
            <w:tcW w:w="440" w:type="dxa"/>
            <w:vAlign w:val="bottom"/>
            <w:shd w:val="clear" w:color="auto" w:fill="EDEDED"/>
          </w:tcPr>
          <w:p>
            <w:pPr>
              <w:jc w:val="right"/>
              <w:ind w:right="288"/>
              <w:spacing w:after="0"/>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w w:val="97"/>
              </w:rPr>
              <w:t>98</w:t>
            </w:r>
          </w:p>
        </w:tc>
        <w:tc>
          <w:tcPr>
            <w:tcW w:w="120" w:type="dxa"/>
            <w:vAlign w:val="bottom"/>
            <w:shd w:val="clear" w:color="auto" w:fill="EDEDED"/>
          </w:tcPr>
          <w:p>
            <w:pPr>
              <w:spacing w:after="0"/>
              <w:rPr>
                <w:sz w:val="11"/>
                <w:szCs w:val="11"/>
                <w:color w:val="auto"/>
              </w:rPr>
            </w:pPr>
          </w:p>
        </w:tc>
        <w:tc>
          <w:tcPr>
            <w:tcW w:w="660" w:type="dxa"/>
            <w:vAlign w:val="bottom"/>
            <w:shd w:val="clear" w:color="auto" w:fill="EDEDED"/>
          </w:tcPr>
          <w:p>
            <w:pPr>
              <w:spacing w:after="0"/>
              <w:rPr>
                <w:sz w:val="11"/>
                <w:szCs w:val="11"/>
                <w:color w:val="auto"/>
              </w:rPr>
            </w:pPr>
          </w:p>
        </w:tc>
        <w:tc>
          <w:tcPr>
            <w:tcW w:w="880" w:type="dxa"/>
            <w:vAlign w:val="bottom"/>
            <w:shd w:val="clear" w:color="auto" w:fill="EDEDED"/>
          </w:tcPr>
          <w:p>
            <w:pPr>
              <w:spacing w:after="0"/>
              <w:rPr>
                <w:sz w:val="11"/>
                <w:szCs w:val="11"/>
                <w:color w:val="auto"/>
              </w:rPr>
            </w:pPr>
          </w:p>
        </w:tc>
        <w:tc>
          <w:tcPr>
            <w:tcW w:w="100" w:type="dxa"/>
            <w:vAlign w:val="bottom"/>
            <w:shd w:val="clear" w:color="auto" w:fill="EDEDED"/>
          </w:tcPr>
          <w:p>
            <w:pPr>
              <w:spacing w:after="0"/>
              <w:rPr>
                <w:sz w:val="11"/>
                <w:szCs w:val="11"/>
                <w:color w:val="auto"/>
              </w:rPr>
            </w:pPr>
          </w:p>
        </w:tc>
        <w:tc>
          <w:tcPr>
            <w:tcW w:w="600" w:type="dxa"/>
            <w:vAlign w:val="bottom"/>
            <w:shd w:val="clear" w:color="auto" w:fill="EDEDED"/>
          </w:tcPr>
          <w:p>
            <w:pPr>
              <w:spacing w:after="0"/>
              <w:rPr>
                <w:sz w:val="11"/>
                <w:szCs w:val="11"/>
                <w:color w:val="auto"/>
              </w:rPr>
            </w:pPr>
          </w:p>
        </w:tc>
        <w:tc>
          <w:tcPr>
            <w:tcW w:w="700" w:type="dxa"/>
            <w:vAlign w:val="bottom"/>
            <w:shd w:val="clear" w:color="auto" w:fill="EDEDED"/>
          </w:tcPr>
          <w:p>
            <w:pPr>
              <w:jc w:val="right"/>
              <w:ind w:right="27"/>
              <w:spacing w:after="0"/>
              <w:rPr>
                <w:sz w:val="20"/>
                <w:szCs w:val="20"/>
                <w:color w:val="auto"/>
              </w:rPr>
            </w:pPr>
            <w:r>
              <w:rPr>
                <w:rFonts w:ascii="Arial" w:cs="Arial" w:eastAsia="Arial" w:hAnsi="Arial"/>
                <w:sz w:val="11"/>
                <w:szCs w:val="11"/>
                <w:color w:val="auto"/>
              </w:rPr>
              <w:t>6,879</w:t>
            </w:r>
          </w:p>
        </w:tc>
        <w:tc>
          <w:tcPr>
            <w:tcW w:w="780" w:type="dxa"/>
            <w:vAlign w:val="bottom"/>
            <w:shd w:val="clear" w:color="auto" w:fill="EDEDED"/>
          </w:tcPr>
          <w:p>
            <w:pPr>
              <w:spacing w:after="0"/>
              <w:rPr>
                <w:sz w:val="11"/>
                <w:szCs w:val="11"/>
                <w:color w:val="auto"/>
              </w:rPr>
            </w:pPr>
          </w:p>
        </w:tc>
        <w:tc>
          <w:tcPr>
            <w:tcW w:w="720" w:type="dxa"/>
            <w:vAlign w:val="bottom"/>
            <w:shd w:val="clear" w:color="auto" w:fill="EDEDED"/>
          </w:tcPr>
          <w:p>
            <w:pPr>
              <w:spacing w:after="0"/>
              <w:rPr>
                <w:sz w:val="11"/>
                <w:szCs w:val="11"/>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DEDED"/>
          </w:tcPr>
          <w:p>
            <w:pPr>
              <w:ind w:left="80"/>
              <w:spacing w:after="0"/>
              <w:rPr>
                <w:sz w:val="20"/>
                <w:szCs w:val="20"/>
                <w:color w:val="auto"/>
              </w:rPr>
            </w:pPr>
            <w:r>
              <w:rPr>
                <w:rFonts w:ascii="Arial" w:cs="Arial" w:eastAsia="Arial" w:hAnsi="Arial"/>
                <w:sz w:val="11"/>
                <w:szCs w:val="11"/>
                <w:color w:val="auto"/>
              </w:rPr>
              <w:t>1,225,012</w:t>
            </w: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DEDED"/>
          </w:tcPr>
          <w:p>
            <w:pPr>
              <w:ind w:left="80"/>
              <w:spacing w:after="0"/>
              <w:rPr>
                <w:sz w:val="20"/>
                <w:szCs w:val="20"/>
                <w:color w:val="auto"/>
              </w:rPr>
            </w:pPr>
            <w:r>
              <w:rPr>
                <w:rFonts w:ascii="Arial" w:cs="Arial" w:eastAsia="Arial" w:hAnsi="Arial"/>
                <w:sz w:val="11"/>
                <w:szCs w:val="11"/>
                <w:color w:val="auto"/>
              </w:rPr>
              <w:t>1,225,012</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178.08</w:t>
            </w:r>
          </w:p>
        </w:tc>
      </w:tr>
      <w:tr>
        <w:trPr>
          <w:trHeight w:val="243"/>
        </w:trPr>
        <w:tc>
          <w:tcPr>
            <w:tcW w:w="1300" w:type="dxa"/>
            <w:vAlign w:val="bottom"/>
            <w:shd w:val="clear" w:color="auto" w:fill="EDEDED"/>
          </w:tcPr>
          <w:p>
            <w:pPr>
              <w:spacing w:after="0"/>
              <w:rPr>
                <w:sz w:val="21"/>
                <w:szCs w:val="21"/>
                <w:color w:val="auto"/>
              </w:rPr>
            </w:pPr>
          </w:p>
        </w:tc>
        <w:tc>
          <w:tcPr>
            <w:tcW w:w="760" w:type="dxa"/>
            <w:vAlign w:val="bottom"/>
            <w:shd w:val="clear" w:color="auto" w:fill="EDEDED"/>
          </w:tcPr>
          <w:p>
            <w:pPr>
              <w:jc w:val="right"/>
              <w:ind w:right="206"/>
              <w:spacing w:after="0"/>
              <w:rPr>
                <w:sz w:val="20"/>
                <w:szCs w:val="20"/>
                <w:color w:val="auto"/>
              </w:rPr>
            </w:pPr>
            <w:r>
              <w:rPr>
                <w:rFonts w:ascii="Arial" w:cs="Arial" w:eastAsia="Arial" w:hAnsi="Arial"/>
                <w:sz w:val="11"/>
                <w:szCs w:val="11"/>
                <w:color w:val="auto"/>
                <w:w w:val="97"/>
              </w:rPr>
              <w:t>3/19/2025</w:t>
            </w:r>
          </w:p>
        </w:tc>
        <w:tc>
          <w:tcPr>
            <w:tcW w:w="60" w:type="dxa"/>
            <w:vAlign w:val="bottom"/>
            <w:shd w:val="clear" w:color="auto" w:fill="EDEDED"/>
          </w:tcPr>
          <w:p>
            <w:pPr>
              <w:spacing w:after="0"/>
              <w:rPr>
                <w:sz w:val="21"/>
                <w:szCs w:val="21"/>
                <w:color w:val="auto"/>
              </w:rPr>
            </w:pPr>
          </w:p>
        </w:tc>
        <w:tc>
          <w:tcPr>
            <w:tcW w:w="60" w:type="dxa"/>
            <w:vAlign w:val="bottom"/>
            <w:shd w:val="clear" w:color="auto" w:fill="EDEDED"/>
          </w:tcPr>
          <w:p>
            <w:pPr>
              <w:spacing w:after="0"/>
              <w:rPr>
                <w:sz w:val="21"/>
                <w:szCs w:val="21"/>
                <w:color w:val="auto"/>
              </w:rPr>
            </w:pPr>
          </w:p>
        </w:tc>
        <w:tc>
          <w:tcPr>
            <w:tcW w:w="600" w:type="dxa"/>
            <w:vAlign w:val="bottom"/>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640" w:type="dxa"/>
            <w:vAlign w:val="bottom"/>
            <w:shd w:val="clear" w:color="auto" w:fill="EDEDED"/>
          </w:tcPr>
          <w:p>
            <w:pPr>
              <w:spacing w:after="0"/>
              <w:rPr>
                <w:sz w:val="21"/>
                <w:szCs w:val="21"/>
                <w:color w:val="auto"/>
              </w:rPr>
            </w:pPr>
          </w:p>
        </w:tc>
        <w:tc>
          <w:tcPr>
            <w:tcW w:w="440" w:type="dxa"/>
            <w:vAlign w:val="bottom"/>
            <w:shd w:val="clear" w:color="auto" w:fill="EDEDED"/>
          </w:tcPr>
          <w:p>
            <w:pPr>
              <w:spacing w:after="0"/>
              <w:rPr>
                <w:sz w:val="21"/>
                <w:szCs w:val="21"/>
                <w:color w:val="auto"/>
              </w:rPr>
            </w:pPr>
          </w:p>
        </w:tc>
        <w:tc>
          <w:tcPr>
            <w:tcW w:w="260" w:type="dxa"/>
            <w:vAlign w:val="bottom"/>
            <w:shd w:val="clear" w:color="auto" w:fill="EDEDED"/>
          </w:tcPr>
          <w:p>
            <w:pPr>
              <w:spacing w:after="0"/>
              <w:rPr>
                <w:sz w:val="21"/>
                <w:szCs w:val="21"/>
                <w:color w:val="auto"/>
              </w:rPr>
            </w:pPr>
          </w:p>
        </w:tc>
        <w:tc>
          <w:tcPr>
            <w:tcW w:w="780" w:type="dxa"/>
            <w:vAlign w:val="bottom"/>
            <w:gridSpan w:val="2"/>
            <w:shd w:val="clear" w:color="auto" w:fill="EDEDED"/>
          </w:tcPr>
          <w:p>
            <w:pPr>
              <w:jc w:val="right"/>
              <w:spacing w:after="0"/>
              <w:rPr>
                <w:sz w:val="20"/>
                <w:szCs w:val="20"/>
                <w:color w:val="auto"/>
              </w:rPr>
            </w:pPr>
            <w:r>
              <w:rPr>
                <w:rFonts w:ascii="Arial" w:cs="Arial" w:eastAsia="Arial" w:hAnsi="Arial"/>
                <w:sz w:val="11"/>
                <w:szCs w:val="11"/>
                <w:color w:val="auto"/>
              </w:rPr>
              <w:t>3,440</w:t>
            </w:r>
          </w:p>
        </w:tc>
        <w:tc>
          <w:tcPr>
            <w:tcW w:w="880" w:type="dxa"/>
            <w:vAlign w:val="bottom"/>
            <w:shd w:val="clear" w:color="auto" w:fill="EDEDED"/>
          </w:tcPr>
          <w:p>
            <w:pPr>
              <w:jc w:val="right"/>
              <w:ind w:right="109"/>
              <w:spacing w:after="0"/>
              <w:rPr>
                <w:sz w:val="20"/>
                <w:szCs w:val="20"/>
                <w:color w:val="auto"/>
              </w:rPr>
            </w:pPr>
            <w:r>
              <w:rPr>
                <w:rFonts w:ascii="Arial" w:cs="Arial" w:eastAsia="Arial" w:hAnsi="Arial"/>
                <w:sz w:val="11"/>
                <w:szCs w:val="11"/>
                <w:color w:val="auto"/>
              </w:rPr>
              <w:t>6,879</w:t>
            </w:r>
          </w:p>
        </w:tc>
        <w:tc>
          <w:tcPr>
            <w:tcW w:w="100" w:type="dxa"/>
            <w:vAlign w:val="bottom"/>
            <w:shd w:val="clear" w:color="auto" w:fill="EDEDED"/>
          </w:tcPr>
          <w:p>
            <w:pPr>
              <w:spacing w:after="0"/>
              <w:rPr>
                <w:sz w:val="21"/>
                <w:szCs w:val="21"/>
                <w:color w:val="auto"/>
              </w:rPr>
            </w:pPr>
          </w:p>
        </w:tc>
        <w:tc>
          <w:tcPr>
            <w:tcW w:w="600" w:type="dxa"/>
            <w:vAlign w:val="bottom"/>
            <w:shd w:val="clear" w:color="auto" w:fill="EDEDED"/>
          </w:tcPr>
          <w:p>
            <w:pPr>
              <w:jc w:val="right"/>
              <w:ind w:right="69"/>
              <w:spacing w:after="0"/>
              <w:rPr>
                <w:sz w:val="20"/>
                <w:szCs w:val="20"/>
                <w:color w:val="auto"/>
              </w:rPr>
            </w:pPr>
            <w:r>
              <w:rPr>
                <w:rFonts w:ascii="Arial" w:cs="Arial" w:eastAsia="Arial" w:hAnsi="Arial"/>
                <w:sz w:val="11"/>
                <w:szCs w:val="11"/>
                <w:color w:val="auto"/>
              </w:rPr>
              <w:t>10,319</w:t>
            </w:r>
          </w:p>
        </w:tc>
        <w:tc>
          <w:tcPr>
            <w:tcW w:w="700" w:type="dxa"/>
            <w:vAlign w:val="bottom"/>
            <w:shd w:val="clear" w:color="auto" w:fill="EDEDED"/>
          </w:tcPr>
          <w:p>
            <w:pPr>
              <w:spacing w:after="0"/>
              <w:rPr>
                <w:sz w:val="21"/>
                <w:szCs w:val="21"/>
                <w:color w:val="auto"/>
              </w:rPr>
            </w:pPr>
          </w:p>
        </w:tc>
        <w:tc>
          <w:tcPr>
            <w:tcW w:w="780" w:type="dxa"/>
            <w:vAlign w:val="bottom"/>
            <w:shd w:val="clear" w:color="auto" w:fill="EDEDED"/>
          </w:tcPr>
          <w:p>
            <w:pPr>
              <w:ind w:left="560"/>
              <w:spacing w:after="0"/>
              <w:rPr>
                <w:sz w:val="20"/>
                <w:szCs w:val="20"/>
                <w:color w:val="auto"/>
              </w:rPr>
            </w:pPr>
            <w:r>
              <w:rPr>
                <w:rFonts w:ascii="Arial" w:cs="Arial" w:eastAsia="Arial" w:hAnsi="Arial"/>
                <w:sz w:val="11"/>
                <w:szCs w:val="11"/>
                <w:color w:val="auto"/>
              </w:rPr>
              <w:t>—</w:t>
            </w:r>
          </w:p>
        </w:tc>
        <w:tc>
          <w:tcPr>
            <w:tcW w:w="720" w:type="dxa"/>
            <w:vAlign w:val="bottom"/>
            <w:shd w:val="clear" w:color="auto" w:fill="EDEDED"/>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DEDED"/>
          </w:tcPr>
          <w:p>
            <w:pPr>
              <w:ind w:left="80"/>
              <w:spacing w:after="0"/>
              <w:rPr>
                <w:sz w:val="20"/>
                <w:szCs w:val="20"/>
                <w:color w:val="auto"/>
              </w:rPr>
            </w:pPr>
            <w:r>
              <w:rPr>
                <w:rFonts w:ascii="Arial" w:cs="Arial" w:eastAsia="Arial" w:hAnsi="Arial"/>
                <w:sz w:val="11"/>
                <w:szCs w:val="11"/>
                <w:color w:val="auto"/>
              </w:rPr>
              <w:t>1,225,012</w:t>
            </w: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DEDED"/>
          </w:tcPr>
          <w:p>
            <w:pPr>
              <w:ind w:left="80"/>
              <w:spacing w:after="0"/>
              <w:rPr>
                <w:sz w:val="20"/>
                <w:szCs w:val="20"/>
                <w:color w:val="auto"/>
              </w:rPr>
            </w:pPr>
            <w:r>
              <w:rPr>
                <w:rFonts w:ascii="Arial" w:cs="Arial" w:eastAsia="Arial" w:hAnsi="Arial"/>
                <w:sz w:val="11"/>
                <w:szCs w:val="11"/>
                <w:color w:val="auto"/>
              </w:rPr>
              <w:t>1,837,608</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178.08</w:t>
            </w:r>
          </w:p>
        </w:tc>
      </w:tr>
      <w:tr>
        <w:trPr>
          <w:trHeight w:val="122"/>
        </w:trPr>
        <w:tc>
          <w:tcPr>
            <w:tcW w:w="130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40" w:type="dxa"/>
            <w:vAlign w:val="bottom"/>
            <w:shd w:val="clear" w:color="auto" w:fill="EDEDED"/>
          </w:tcPr>
          <w:p>
            <w:pPr>
              <w:spacing w:after="0"/>
              <w:rPr>
                <w:sz w:val="10"/>
                <w:szCs w:val="10"/>
                <w:color w:val="auto"/>
              </w:rPr>
            </w:pPr>
          </w:p>
        </w:tc>
        <w:tc>
          <w:tcPr>
            <w:tcW w:w="700" w:type="dxa"/>
            <w:vAlign w:val="bottom"/>
            <w:gridSpan w:val="2"/>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660" w:type="dxa"/>
            <w:vAlign w:val="bottom"/>
            <w:shd w:val="clear" w:color="auto" w:fill="EDEDED"/>
          </w:tcPr>
          <w:p>
            <w:pPr>
              <w:spacing w:after="0"/>
              <w:rPr>
                <w:sz w:val="10"/>
                <w:szCs w:val="10"/>
                <w:color w:val="auto"/>
              </w:rPr>
            </w:pPr>
          </w:p>
        </w:tc>
        <w:tc>
          <w:tcPr>
            <w:tcW w:w="880" w:type="dxa"/>
            <w:vAlign w:val="bottom"/>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700" w:type="dxa"/>
            <w:vAlign w:val="bottom"/>
            <w:shd w:val="clear" w:color="auto" w:fill="EDEDED"/>
          </w:tcPr>
          <w:p>
            <w:pPr>
              <w:spacing w:after="0"/>
              <w:rPr>
                <w:sz w:val="10"/>
                <w:szCs w:val="10"/>
                <w:color w:val="auto"/>
              </w:rPr>
            </w:pPr>
          </w:p>
        </w:tc>
        <w:tc>
          <w:tcPr>
            <w:tcW w:w="780" w:type="dxa"/>
            <w:vAlign w:val="bottom"/>
            <w:shd w:val="clear" w:color="auto" w:fill="EDEDED"/>
          </w:tcPr>
          <w:p>
            <w:pPr>
              <w:spacing w:after="0"/>
              <w:rPr>
                <w:sz w:val="10"/>
                <w:szCs w:val="10"/>
                <w:color w:val="auto"/>
              </w:rPr>
            </w:pPr>
          </w:p>
        </w:tc>
        <w:tc>
          <w:tcPr>
            <w:tcW w:w="7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6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640" w:type="dxa"/>
            <w:vAlign w:val="bottom"/>
            <w:shd w:val="clear" w:color="auto" w:fill="EDEDED"/>
          </w:tcPr>
          <w:p>
            <w:pPr>
              <w:spacing w:after="0"/>
              <w:rPr>
                <w:sz w:val="10"/>
                <w:szCs w:val="10"/>
                <w:color w:val="auto"/>
              </w:rPr>
            </w:pPr>
          </w:p>
        </w:tc>
        <w:tc>
          <w:tcPr>
            <w:tcW w:w="14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1"/>
                <w:szCs w:val="11"/>
                <w:color w:val="auto"/>
              </w:rPr>
              <w:t>Edward H. Sim</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ind w:right="66"/>
              <w:spacing w:after="0"/>
              <w:rPr>
                <w:sz w:val="20"/>
                <w:szCs w:val="20"/>
                <w:color w:val="auto"/>
              </w:rPr>
            </w:pPr>
            <w:r>
              <w:rPr>
                <w:rFonts w:ascii="Arial" w:cs="Arial" w:eastAsia="Arial" w:hAnsi="Arial"/>
                <w:sz w:val="11"/>
                <w:szCs w:val="11"/>
                <w:color w:val="auto"/>
              </w:rPr>
              <w:t>1,604,0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42"/>
        </w:trPr>
        <w:tc>
          <w:tcPr>
            <w:tcW w:w="1300" w:type="dxa"/>
            <w:vAlign w:val="bottom"/>
          </w:tcPr>
          <w:p>
            <w:pPr>
              <w:spacing w:after="0"/>
              <w:rPr>
                <w:sz w:val="12"/>
                <w:szCs w:val="12"/>
                <w:color w:val="auto"/>
              </w:rPr>
            </w:pPr>
          </w:p>
        </w:tc>
        <w:tc>
          <w:tcPr>
            <w:tcW w:w="760" w:type="dxa"/>
            <w:vAlign w:val="bottom"/>
          </w:tcPr>
          <w:p>
            <w:pPr>
              <w:jc w:val="right"/>
              <w:ind w:right="206"/>
              <w:spacing w:after="0"/>
              <w:rPr>
                <w:sz w:val="20"/>
                <w:szCs w:val="20"/>
                <w:color w:val="auto"/>
              </w:rPr>
            </w:pPr>
            <w:r>
              <w:rPr>
                <w:rFonts w:ascii="Arial" w:cs="Arial" w:eastAsia="Arial" w:hAnsi="Arial"/>
                <w:sz w:val="11"/>
                <w:szCs w:val="11"/>
                <w:color w:val="auto"/>
                <w:w w:val="97"/>
              </w:rPr>
              <w:t>3/19/2025</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112,283</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9"/>
              <w:spacing w:after="0"/>
              <w:rPr>
                <w:sz w:val="20"/>
                <w:szCs w:val="20"/>
                <w:color w:val="auto"/>
              </w:rPr>
            </w:pPr>
            <w:r>
              <w:rPr>
                <w:rFonts w:ascii="Arial" w:cs="Arial" w:eastAsia="Arial" w:hAnsi="Arial"/>
                <w:sz w:val="11"/>
                <w:szCs w:val="11"/>
                <w:color w:val="auto"/>
              </w:rPr>
              <w:t>802,024</w:t>
            </w:r>
          </w:p>
        </w:tc>
        <w:tc>
          <w:tcPr>
            <w:tcW w:w="440" w:type="dxa"/>
            <w:vAlign w:val="bottom"/>
          </w:tcPr>
          <w:p>
            <w:pPr>
              <w:jc w:val="right"/>
              <w:ind w:right="288"/>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97"/>
              </w:rPr>
              <w:t>47</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6,431</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ind w:left="80"/>
              <w:spacing w:after="0"/>
              <w:rPr>
                <w:sz w:val="20"/>
                <w:szCs w:val="20"/>
                <w:color w:val="auto"/>
              </w:rPr>
            </w:pPr>
            <w:r>
              <w:rPr>
                <w:rFonts w:ascii="Arial" w:cs="Arial" w:eastAsia="Arial" w:hAnsi="Arial"/>
                <w:sz w:val="11"/>
                <w:szCs w:val="11"/>
                <w:color w:val="auto"/>
              </w:rPr>
              <w:t>1,145,232</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80"/>
              <w:spacing w:after="0"/>
              <w:rPr>
                <w:sz w:val="20"/>
                <w:szCs w:val="20"/>
                <w:color w:val="auto"/>
              </w:rPr>
            </w:pPr>
            <w:r>
              <w:rPr>
                <w:rFonts w:ascii="Arial" w:cs="Arial" w:eastAsia="Arial" w:hAnsi="Arial"/>
                <w:sz w:val="11"/>
                <w:szCs w:val="11"/>
                <w:color w:val="auto"/>
              </w:rPr>
              <w:t>1,145,232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178.08</w:t>
            </w:r>
          </w:p>
        </w:tc>
      </w:tr>
      <w:tr>
        <w:trPr>
          <w:trHeight w:val="243"/>
        </w:trPr>
        <w:tc>
          <w:tcPr>
            <w:tcW w:w="1300" w:type="dxa"/>
            <w:vAlign w:val="bottom"/>
          </w:tcPr>
          <w:p>
            <w:pPr>
              <w:spacing w:after="0"/>
              <w:rPr>
                <w:sz w:val="21"/>
                <w:szCs w:val="21"/>
                <w:color w:val="auto"/>
              </w:rPr>
            </w:pPr>
          </w:p>
        </w:tc>
        <w:tc>
          <w:tcPr>
            <w:tcW w:w="760" w:type="dxa"/>
            <w:vAlign w:val="bottom"/>
          </w:tcPr>
          <w:p>
            <w:pPr>
              <w:jc w:val="right"/>
              <w:ind w:right="206"/>
              <w:spacing w:after="0"/>
              <w:rPr>
                <w:sz w:val="20"/>
                <w:szCs w:val="20"/>
                <w:color w:val="auto"/>
              </w:rPr>
            </w:pPr>
            <w:r>
              <w:rPr>
                <w:rFonts w:ascii="Arial" w:cs="Arial" w:eastAsia="Arial" w:hAnsi="Arial"/>
                <w:sz w:val="11"/>
                <w:szCs w:val="11"/>
                <w:color w:val="auto"/>
                <w:w w:val="97"/>
              </w:rPr>
              <w:t>3/19/2025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3,216</w:t>
            </w:r>
          </w:p>
        </w:tc>
        <w:tc>
          <w:tcPr>
            <w:tcW w:w="880" w:type="dxa"/>
            <w:vAlign w:val="bottom"/>
          </w:tcPr>
          <w:p>
            <w:pPr>
              <w:jc w:val="right"/>
              <w:ind w:right="109"/>
              <w:spacing w:after="0"/>
              <w:rPr>
                <w:sz w:val="20"/>
                <w:szCs w:val="20"/>
                <w:color w:val="auto"/>
              </w:rPr>
            </w:pPr>
            <w:r>
              <w:rPr>
                <w:rFonts w:ascii="Arial" w:cs="Arial" w:eastAsia="Arial" w:hAnsi="Arial"/>
                <w:sz w:val="11"/>
                <w:szCs w:val="11"/>
                <w:color w:val="auto"/>
              </w:rPr>
              <w:t>6,431</w:t>
            </w:r>
          </w:p>
        </w:tc>
        <w:tc>
          <w:tcPr>
            <w:tcW w:w="100" w:type="dxa"/>
            <w:vAlign w:val="bottom"/>
          </w:tcPr>
          <w:p>
            <w:pPr>
              <w:spacing w:after="0"/>
              <w:rPr>
                <w:sz w:val="21"/>
                <w:szCs w:val="21"/>
                <w:color w:val="auto"/>
              </w:rPr>
            </w:pPr>
          </w:p>
        </w:tc>
        <w:tc>
          <w:tcPr>
            <w:tcW w:w="600" w:type="dxa"/>
            <w:vAlign w:val="bottom"/>
          </w:tcPr>
          <w:p>
            <w:pPr>
              <w:jc w:val="right"/>
              <w:ind w:right="69"/>
              <w:spacing w:after="0"/>
              <w:rPr>
                <w:sz w:val="20"/>
                <w:szCs w:val="20"/>
                <w:color w:val="auto"/>
              </w:rPr>
            </w:pPr>
            <w:r>
              <w:rPr>
                <w:rFonts w:ascii="Arial" w:cs="Arial" w:eastAsia="Arial" w:hAnsi="Arial"/>
                <w:sz w:val="11"/>
                <w:szCs w:val="11"/>
                <w:color w:val="auto"/>
              </w:rPr>
              <w:t>9,647</w:t>
            </w: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80" w:type="dxa"/>
            <w:vAlign w:val="bottom"/>
          </w:tcPr>
          <w:p>
            <w:pPr>
              <w:ind w:left="560"/>
              <w:spacing w:after="0"/>
              <w:rPr>
                <w:sz w:val="20"/>
                <w:szCs w:val="20"/>
                <w:color w:val="auto"/>
              </w:rPr>
            </w:pPr>
            <w:r>
              <w:rPr>
                <w:rFonts w:ascii="Arial" w:cs="Arial" w:eastAsia="Arial" w:hAnsi="Arial"/>
                <w:sz w:val="11"/>
                <w:szCs w:val="11"/>
                <w:color w:val="auto"/>
              </w:rPr>
              <w:t>—</w:t>
            </w:r>
          </w:p>
        </w:tc>
        <w:tc>
          <w:tcPr>
            <w:tcW w:w="720" w:type="dxa"/>
            <w:vAlign w:val="bottom"/>
          </w:tcPr>
          <w:p>
            <w:pPr>
              <w:ind w:left="5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ind w:left="80"/>
              <w:spacing w:after="0"/>
              <w:rPr>
                <w:sz w:val="20"/>
                <w:szCs w:val="20"/>
                <w:color w:val="auto"/>
              </w:rPr>
            </w:pPr>
            <w:r>
              <w:rPr>
                <w:rFonts w:ascii="Arial" w:cs="Arial" w:eastAsia="Arial" w:hAnsi="Arial"/>
                <w:sz w:val="11"/>
                <w:szCs w:val="11"/>
                <w:color w:val="auto"/>
              </w:rPr>
              <w:t>1,145,232</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ind w:left="80"/>
              <w:spacing w:after="0"/>
              <w:rPr>
                <w:sz w:val="20"/>
                <w:szCs w:val="20"/>
                <w:color w:val="auto"/>
              </w:rPr>
            </w:pPr>
            <w:r>
              <w:rPr>
                <w:rFonts w:ascii="Arial" w:cs="Arial" w:eastAsia="Arial" w:hAnsi="Arial"/>
                <w:sz w:val="11"/>
                <w:szCs w:val="11"/>
                <w:color w:val="auto"/>
              </w:rPr>
              <w:t>1,717,938</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178.08</w:t>
            </w:r>
          </w:p>
        </w:tc>
      </w:tr>
      <w:tr>
        <w:trPr>
          <w:trHeight w:val="115"/>
        </w:trPr>
        <w:tc>
          <w:tcPr>
            <w:tcW w:w="1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230"/>
        </w:trPr>
        <w:tc>
          <w:tcPr>
            <w:tcW w:w="1300" w:type="dxa"/>
            <w:vAlign w:val="bottom"/>
            <w:shd w:val="clear" w:color="auto" w:fill="EDEDED"/>
          </w:tcPr>
          <w:p>
            <w:pPr>
              <w:ind w:left="20"/>
              <w:spacing w:after="0"/>
              <w:rPr>
                <w:sz w:val="20"/>
                <w:szCs w:val="20"/>
                <w:color w:val="auto"/>
              </w:rPr>
            </w:pPr>
            <w:r>
              <w:rPr>
                <w:rFonts w:ascii="Arial" w:cs="Arial" w:eastAsia="Arial" w:hAnsi="Arial"/>
                <w:sz w:val="11"/>
                <w:szCs w:val="11"/>
                <w:color w:val="auto"/>
              </w:rPr>
              <w:t>Matthew J. Peterson</w:t>
            </w:r>
          </w:p>
        </w:tc>
        <w:tc>
          <w:tcPr>
            <w:tcW w:w="76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600" w:type="dxa"/>
            <w:vAlign w:val="bottom"/>
            <w:shd w:val="clear" w:color="auto" w:fill="EDEDED"/>
          </w:tcPr>
          <w:p>
            <w:pPr>
              <w:spacing w:after="0"/>
              <w:rPr>
                <w:sz w:val="19"/>
                <w:szCs w:val="19"/>
                <w:color w:val="auto"/>
              </w:rPr>
            </w:pPr>
          </w:p>
        </w:tc>
        <w:tc>
          <w:tcPr>
            <w:tcW w:w="240" w:type="dxa"/>
            <w:vAlign w:val="bottom"/>
            <w:shd w:val="clear" w:color="auto" w:fill="EDEDED"/>
          </w:tcPr>
          <w:p>
            <w:pPr>
              <w:spacing w:after="0"/>
              <w:rPr>
                <w:sz w:val="19"/>
                <w:szCs w:val="19"/>
                <w:color w:val="auto"/>
              </w:rPr>
            </w:pPr>
          </w:p>
        </w:tc>
        <w:tc>
          <w:tcPr>
            <w:tcW w:w="640" w:type="dxa"/>
            <w:vAlign w:val="bottom"/>
            <w:shd w:val="clear" w:color="auto" w:fill="EDEDED"/>
          </w:tcPr>
          <w:p>
            <w:pPr>
              <w:spacing w:after="0"/>
              <w:rPr>
                <w:sz w:val="19"/>
                <w:szCs w:val="19"/>
                <w:color w:val="auto"/>
              </w:rPr>
            </w:pPr>
          </w:p>
        </w:tc>
        <w:tc>
          <w:tcPr>
            <w:tcW w:w="700" w:type="dxa"/>
            <w:vAlign w:val="bottom"/>
            <w:gridSpan w:val="2"/>
            <w:shd w:val="clear" w:color="auto" w:fill="EDEDED"/>
          </w:tcPr>
          <w:p>
            <w:pPr>
              <w:jc w:val="right"/>
              <w:ind w:right="66"/>
              <w:spacing w:after="0"/>
              <w:rPr>
                <w:sz w:val="20"/>
                <w:szCs w:val="20"/>
                <w:color w:val="auto"/>
              </w:rPr>
            </w:pPr>
            <w:r>
              <w:rPr>
                <w:rFonts w:ascii="Arial" w:cs="Arial" w:eastAsia="Arial" w:hAnsi="Arial"/>
                <w:sz w:val="11"/>
                <w:szCs w:val="11"/>
                <w:color w:val="auto"/>
              </w:rPr>
              <w:t>1,439,9</w:t>
            </w:r>
          </w:p>
        </w:tc>
        <w:tc>
          <w:tcPr>
            <w:tcW w:w="120" w:type="dxa"/>
            <w:vAlign w:val="bottom"/>
            <w:shd w:val="clear" w:color="auto" w:fill="EDEDED"/>
          </w:tcPr>
          <w:p>
            <w:pPr>
              <w:spacing w:after="0"/>
              <w:rPr>
                <w:sz w:val="19"/>
                <w:szCs w:val="19"/>
                <w:color w:val="auto"/>
              </w:rPr>
            </w:pPr>
          </w:p>
        </w:tc>
        <w:tc>
          <w:tcPr>
            <w:tcW w:w="660" w:type="dxa"/>
            <w:vAlign w:val="bottom"/>
            <w:shd w:val="clear" w:color="auto" w:fill="EDEDED"/>
          </w:tcPr>
          <w:p>
            <w:pPr>
              <w:spacing w:after="0"/>
              <w:rPr>
                <w:sz w:val="19"/>
                <w:szCs w:val="19"/>
                <w:color w:val="auto"/>
              </w:rPr>
            </w:pPr>
          </w:p>
        </w:tc>
        <w:tc>
          <w:tcPr>
            <w:tcW w:w="88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600" w:type="dxa"/>
            <w:vAlign w:val="bottom"/>
            <w:shd w:val="clear" w:color="auto" w:fill="EDEDED"/>
          </w:tcPr>
          <w:p>
            <w:pPr>
              <w:spacing w:after="0"/>
              <w:rPr>
                <w:sz w:val="19"/>
                <w:szCs w:val="19"/>
                <w:color w:val="auto"/>
              </w:rPr>
            </w:pPr>
          </w:p>
        </w:tc>
        <w:tc>
          <w:tcPr>
            <w:tcW w:w="700" w:type="dxa"/>
            <w:vAlign w:val="bottom"/>
            <w:shd w:val="clear" w:color="auto" w:fill="EDEDED"/>
          </w:tcPr>
          <w:p>
            <w:pPr>
              <w:spacing w:after="0"/>
              <w:rPr>
                <w:sz w:val="19"/>
                <w:szCs w:val="19"/>
                <w:color w:val="auto"/>
              </w:rPr>
            </w:pPr>
          </w:p>
        </w:tc>
        <w:tc>
          <w:tcPr>
            <w:tcW w:w="780" w:type="dxa"/>
            <w:vAlign w:val="bottom"/>
            <w:shd w:val="clear" w:color="auto" w:fill="EDEDED"/>
          </w:tcPr>
          <w:p>
            <w:pPr>
              <w:spacing w:after="0"/>
              <w:rPr>
                <w:sz w:val="19"/>
                <w:szCs w:val="19"/>
                <w:color w:val="auto"/>
              </w:rPr>
            </w:pPr>
          </w:p>
        </w:tc>
        <w:tc>
          <w:tcPr>
            <w:tcW w:w="7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6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64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680" w:type="dxa"/>
            <w:vAlign w:val="bottom"/>
            <w:shd w:val="clear" w:color="auto" w:fill="EDEDED"/>
          </w:tcPr>
          <w:p>
            <w:pPr>
              <w:spacing w:after="0"/>
              <w:rPr>
                <w:sz w:val="19"/>
                <w:szCs w:val="19"/>
                <w:color w:val="auto"/>
              </w:rPr>
            </w:pPr>
          </w:p>
        </w:tc>
      </w:tr>
      <w:tr>
        <w:trPr>
          <w:trHeight w:val="135"/>
        </w:trPr>
        <w:tc>
          <w:tcPr>
            <w:tcW w:w="1300" w:type="dxa"/>
            <w:vAlign w:val="bottom"/>
            <w:shd w:val="clear" w:color="auto" w:fill="EDEDED"/>
          </w:tcPr>
          <w:p>
            <w:pPr>
              <w:spacing w:after="0"/>
              <w:rPr>
                <w:sz w:val="11"/>
                <w:szCs w:val="11"/>
                <w:color w:val="auto"/>
              </w:rPr>
            </w:pPr>
          </w:p>
        </w:tc>
        <w:tc>
          <w:tcPr>
            <w:tcW w:w="760" w:type="dxa"/>
            <w:vAlign w:val="bottom"/>
            <w:shd w:val="clear" w:color="auto" w:fill="EDEDED"/>
          </w:tcPr>
          <w:p>
            <w:pPr>
              <w:jc w:val="right"/>
              <w:ind w:right="206"/>
              <w:spacing w:after="0"/>
              <w:rPr>
                <w:sz w:val="20"/>
                <w:szCs w:val="20"/>
                <w:color w:val="auto"/>
              </w:rPr>
            </w:pPr>
            <w:r>
              <w:rPr>
                <w:rFonts w:ascii="Arial" w:cs="Arial" w:eastAsia="Arial" w:hAnsi="Arial"/>
                <w:sz w:val="11"/>
                <w:szCs w:val="11"/>
                <w:color w:val="auto"/>
                <w:w w:val="97"/>
              </w:rPr>
              <w:t>3/19/2025</w:t>
            </w:r>
          </w:p>
        </w:tc>
        <w:tc>
          <w:tcPr>
            <w:tcW w:w="60" w:type="dxa"/>
            <w:vAlign w:val="bottom"/>
            <w:shd w:val="clear" w:color="auto" w:fill="EDEDED"/>
          </w:tcPr>
          <w:p>
            <w:pPr>
              <w:spacing w:after="0"/>
              <w:rPr>
                <w:sz w:val="11"/>
                <w:szCs w:val="11"/>
                <w:color w:val="auto"/>
              </w:rPr>
            </w:pPr>
          </w:p>
        </w:tc>
        <w:tc>
          <w:tcPr>
            <w:tcW w:w="60" w:type="dxa"/>
            <w:vAlign w:val="bottom"/>
            <w:shd w:val="clear" w:color="auto" w:fill="EDEDED"/>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100,796</w:t>
            </w:r>
          </w:p>
        </w:tc>
        <w:tc>
          <w:tcPr>
            <w:tcW w:w="2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DEDED"/>
          </w:tcPr>
          <w:p>
            <w:pPr>
              <w:jc w:val="right"/>
              <w:ind w:right="49"/>
              <w:spacing w:after="0"/>
              <w:rPr>
                <w:sz w:val="20"/>
                <w:szCs w:val="20"/>
                <w:color w:val="auto"/>
              </w:rPr>
            </w:pPr>
            <w:r>
              <w:rPr>
                <w:rFonts w:ascii="Arial" w:cs="Arial" w:eastAsia="Arial" w:hAnsi="Arial"/>
                <w:sz w:val="11"/>
                <w:szCs w:val="11"/>
                <w:color w:val="auto"/>
              </w:rPr>
              <w:t>719,971</w:t>
            </w:r>
          </w:p>
        </w:tc>
        <w:tc>
          <w:tcPr>
            <w:tcW w:w="440" w:type="dxa"/>
            <w:vAlign w:val="bottom"/>
            <w:shd w:val="clear" w:color="auto" w:fill="EDEDED"/>
          </w:tcPr>
          <w:p>
            <w:pPr>
              <w:jc w:val="right"/>
              <w:ind w:right="288"/>
              <w:spacing w:after="0"/>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w w:val="97"/>
              </w:rPr>
              <w:t>42</w:t>
            </w:r>
          </w:p>
        </w:tc>
        <w:tc>
          <w:tcPr>
            <w:tcW w:w="120" w:type="dxa"/>
            <w:vAlign w:val="bottom"/>
            <w:shd w:val="clear" w:color="auto" w:fill="EDEDED"/>
          </w:tcPr>
          <w:p>
            <w:pPr>
              <w:spacing w:after="0"/>
              <w:rPr>
                <w:sz w:val="11"/>
                <w:szCs w:val="11"/>
                <w:color w:val="auto"/>
              </w:rPr>
            </w:pPr>
          </w:p>
        </w:tc>
        <w:tc>
          <w:tcPr>
            <w:tcW w:w="660" w:type="dxa"/>
            <w:vAlign w:val="bottom"/>
            <w:shd w:val="clear" w:color="auto" w:fill="EDEDED"/>
          </w:tcPr>
          <w:p>
            <w:pPr>
              <w:spacing w:after="0"/>
              <w:rPr>
                <w:sz w:val="11"/>
                <w:szCs w:val="11"/>
                <w:color w:val="auto"/>
              </w:rPr>
            </w:pPr>
          </w:p>
        </w:tc>
        <w:tc>
          <w:tcPr>
            <w:tcW w:w="880" w:type="dxa"/>
            <w:vAlign w:val="bottom"/>
            <w:shd w:val="clear" w:color="auto" w:fill="EDEDED"/>
          </w:tcPr>
          <w:p>
            <w:pPr>
              <w:spacing w:after="0"/>
              <w:rPr>
                <w:sz w:val="11"/>
                <w:szCs w:val="11"/>
                <w:color w:val="auto"/>
              </w:rPr>
            </w:pPr>
          </w:p>
        </w:tc>
        <w:tc>
          <w:tcPr>
            <w:tcW w:w="100" w:type="dxa"/>
            <w:vAlign w:val="bottom"/>
            <w:shd w:val="clear" w:color="auto" w:fill="EDEDED"/>
          </w:tcPr>
          <w:p>
            <w:pPr>
              <w:spacing w:after="0"/>
              <w:rPr>
                <w:sz w:val="11"/>
                <w:szCs w:val="11"/>
                <w:color w:val="auto"/>
              </w:rPr>
            </w:pPr>
          </w:p>
        </w:tc>
        <w:tc>
          <w:tcPr>
            <w:tcW w:w="600" w:type="dxa"/>
            <w:vAlign w:val="bottom"/>
            <w:shd w:val="clear" w:color="auto" w:fill="EDEDED"/>
          </w:tcPr>
          <w:p>
            <w:pPr>
              <w:spacing w:after="0"/>
              <w:rPr>
                <w:sz w:val="11"/>
                <w:szCs w:val="11"/>
                <w:color w:val="auto"/>
              </w:rPr>
            </w:pPr>
          </w:p>
        </w:tc>
        <w:tc>
          <w:tcPr>
            <w:tcW w:w="700" w:type="dxa"/>
            <w:vAlign w:val="bottom"/>
            <w:shd w:val="clear" w:color="auto" w:fill="EDEDED"/>
          </w:tcPr>
          <w:p>
            <w:pPr>
              <w:jc w:val="right"/>
              <w:ind w:right="27"/>
              <w:spacing w:after="0"/>
              <w:rPr>
                <w:sz w:val="20"/>
                <w:szCs w:val="20"/>
                <w:color w:val="auto"/>
              </w:rPr>
            </w:pPr>
            <w:r>
              <w:rPr>
                <w:rFonts w:ascii="Arial" w:cs="Arial" w:eastAsia="Arial" w:hAnsi="Arial"/>
                <w:sz w:val="11"/>
                <w:szCs w:val="11"/>
                <w:color w:val="auto"/>
              </w:rPr>
              <w:t>5,651</w:t>
            </w:r>
          </w:p>
        </w:tc>
        <w:tc>
          <w:tcPr>
            <w:tcW w:w="780" w:type="dxa"/>
            <w:vAlign w:val="bottom"/>
            <w:shd w:val="clear" w:color="auto" w:fill="EDEDED"/>
          </w:tcPr>
          <w:p>
            <w:pPr>
              <w:spacing w:after="0"/>
              <w:rPr>
                <w:sz w:val="11"/>
                <w:szCs w:val="11"/>
                <w:color w:val="auto"/>
              </w:rPr>
            </w:pPr>
          </w:p>
        </w:tc>
        <w:tc>
          <w:tcPr>
            <w:tcW w:w="720" w:type="dxa"/>
            <w:vAlign w:val="bottom"/>
            <w:shd w:val="clear" w:color="auto" w:fill="EDEDED"/>
          </w:tcPr>
          <w:p>
            <w:pPr>
              <w:spacing w:after="0"/>
              <w:rPr>
                <w:sz w:val="11"/>
                <w:szCs w:val="11"/>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DEDED"/>
          </w:tcPr>
          <w:p>
            <w:pPr>
              <w:ind w:left="80"/>
              <w:spacing w:after="0"/>
              <w:rPr>
                <w:sz w:val="20"/>
                <w:szCs w:val="20"/>
                <w:color w:val="auto"/>
              </w:rPr>
            </w:pPr>
            <w:r>
              <w:rPr>
                <w:rFonts w:ascii="Arial" w:cs="Arial" w:eastAsia="Arial" w:hAnsi="Arial"/>
                <w:sz w:val="11"/>
                <w:szCs w:val="11"/>
                <w:color w:val="auto"/>
              </w:rPr>
              <w:t>1,006,330</w:t>
            </w: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DEDED"/>
          </w:tcPr>
          <w:p>
            <w:pPr>
              <w:ind w:left="80"/>
              <w:spacing w:after="0"/>
              <w:rPr>
                <w:sz w:val="20"/>
                <w:szCs w:val="20"/>
                <w:color w:val="auto"/>
              </w:rPr>
            </w:pPr>
            <w:r>
              <w:rPr>
                <w:rFonts w:ascii="Arial" w:cs="Arial" w:eastAsia="Arial" w:hAnsi="Arial"/>
                <w:sz w:val="11"/>
                <w:szCs w:val="11"/>
                <w:color w:val="auto"/>
              </w:rPr>
              <w:t>1,006,330</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178.08</w:t>
            </w:r>
          </w:p>
        </w:tc>
      </w:tr>
      <w:tr>
        <w:trPr>
          <w:trHeight w:val="243"/>
        </w:trPr>
        <w:tc>
          <w:tcPr>
            <w:tcW w:w="1300" w:type="dxa"/>
            <w:vAlign w:val="bottom"/>
            <w:shd w:val="clear" w:color="auto" w:fill="EDEDED"/>
          </w:tcPr>
          <w:p>
            <w:pPr>
              <w:spacing w:after="0"/>
              <w:rPr>
                <w:sz w:val="21"/>
                <w:szCs w:val="21"/>
                <w:color w:val="auto"/>
              </w:rPr>
            </w:pPr>
          </w:p>
        </w:tc>
        <w:tc>
          <w:tcPr>
            <w:tcW w:w="760" w:type="dxa"/>
            <w:vAlign w:val="bottom"/>
            <w:shd w:val="clear" w:color="auto" w:fill="EDEDED"/>
          </w:tcPr>
          <w:p>
            <w:pPr>
              <w:jc w:val="right"/>
              <w:ind w:right="206"/>
              <w:spacing w:after="0"/>
              <w:rPr>
                <w:sz w:val="20"/>
                <w:szCs w:val="20"/>
                <w:color w:val="auto"/>
              </w:rPr>
            </w:pPr>
            <w:r>
              <w:rPr>
                <w:rFonts w:ascii="Arial" w:cs="Arial" w:eastAsia="Arial" w:hAnsi="Arial"/>
                <w:sz w:val="11"/>
                <w:szCs w:val="11"/>
                <w:color w:val="auto"/>
                <w:w w:val="97"/>
              </w:rPr>
              <w:t>3/19/2025</w:t>
            </w:r>
          </w:p>
        </w:tc>
        <w:tc>
          <w:tcPr>
            <w:tcW w:w="60" w:type="dxa"/>
            <w:vAlign w:val="bottom"/>
            <w:shd w:val="clear" w:color="auto" w:fill="EDEDED"/>
          </w:tcPr>
          <w:p>
            <w:pPr>
              <w:spacing w:after="0"/>
              <w:rPr>
                <w:sz w:val="21"/>
                <w:szCs w:val="21"/>
                <w:color w:val="auto"/>
              </w:rPr>
            </w:pPr>
          </w:p>
        </w:tc>
        <w:tc>
          <w:tcPr>
            <w:tcW w:w="60" w:type="dxa"/>
            <w:vAlign w:val="bottom"/>
            <w:shd w:val="clear" w:color="auto" w:fill="EDEDED"/>
          </w:tcPr>
          <w:p>
            <w:pPr>
              <w:spacing w:after="0"/>
              <w:rPr>
                <w:sz w:val="21"/>
                <w:szCs w:val="21"/>
                <w:color w:val="auto"/>
              </w:rPr>
            </w:pPr>
          </w:p>
        </w:tc>
        <w:tc>
          <w:tcPr>
            <w:tcW w:w="600" w:type="dxa"/>
            <w:vAlign w:val="bottom"/>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640" w:type="dxa"/>
            <w:vAlign w:val="bottom"/>
            <w:shd w:val="clear" w:color="auto" w:fill="EDEDED"/>
          </w:tcPr>
          <w:p>
            <w:pPr>
              <w:spacing w:after="0"/>
              <w:rPr>
                <w:sz w:val="21"/>
                <w:szCs w:val="21"/>
                <w:color w:val="auto"/>
              </w:rPr>
            </w:pPr>
          </w:p>
        </w:tc>
        <w:tc>
          <w:tcPr>
            <w:tcW w:w="440" w:type="dxa"/>
            <w:vAlign w:val="bottom"/>
            <w:shd w:val="clear" w:color="auto" w:fill="EDEDED"/>
          </w:tcPr>
          <w:p>
            <w:pPr>
              <w:spacing w:after="0"/>
              <w:rPr>
                <w:sz w:val="21"/>
                <w:szCs w:val="21"/>
                <w:color w:val="auto"/>
              </w:rPr>
            </w:pPr>
          </w:p>
        </w:tc>
        <w:tc>
          <w:tcPr>
            <w:tcW w:w="260" w:type="dxa"/>
            <w:vAlign w:val="bottom"/>
            <w:shd w:val="clear" w:color="auto" w:fill="EDEDED"/>
          </w:tcPr>
          <w:p>
            <w:pPr>
              <w:spacing w:after="0"/>
              <w:rPr>
                <w:sz w:val="21"/>
                <w:szCs w:val="21"/>
                <w:color w:val="auto"/>
              </w:rPr>
            </w:pPr>
          </w:p>
        </w:tc>
        <w:tc>
          <w:tcPr>
            <w:tcW w:w="780" w:type="dxa"/>
            <w:vAlign w:val="bottom"/>
            <w:gridSpan w:val="2"/>
            <w:shd w:val="clear" w:color="auto" w:fill="EDEDED"/>
          </w:tcPr>
          <w:p>
            <w:pPr>
              <w:jc w:val="right"/>
              <w:spacing w:after="0"/>
              <w:rPr>
                <w:sz w:val="20"/>
                <w:szCs w:val="20"/>
                <w:color w:val="auto"/>
              </w:rPr>
            </w:pPr>
            <w:r>
              <w:rPr>
                <w:rFonts w:ascii="Arial" w:cs="Arial" w:eastAsia="Arial" w:hAnsi="Arial"/>
                <w:sz w:val="11"/>
                <w:szCs w:val="11"/>
                <w:color w:val="auto"/>
              </w:rPr>
              <w:t>2,826</w:t>
            </w:r>
          </w:p>
        </w:tc>
        <w:tc>
          <w:tcPr>
            <w:tcW w:w="880" w:type="dxa"/>
            <w:vAlign w:val="bottom"/>
            <w:shd w:val="clear" w:color="auto" w:fill="EDEDED"/>
          </w:tcPr>
          <w:p>
            <w:pPr>
              <w:jc w:val="right"/>
              <w:ind w:right="109"/>
              <w:spacing w:after="0"/>
              <w:rPr>
                <w:sz w:val="20"/>
                <w:szCs w:val="20"/>
                <w:color w:val="auto"/>
              </w:rPr>
            </w:pPr>
            <w:r>
              <w:rPr>
                <w:rFonts w:ascii="Arial" w:cs="Arial" w:eastAsia="Arial" w:hAnsi="Arial"/>
                <w:sz w:val="11"/>
                <w:szCs w:val="11"/>
                <w:color w:val="auto"/>
              </w:rPr>
              <w:t>5,651</w:t>
            </w:r>
          </w:p>
        </w:tc>
        <w:tc>
          <w:tcPr>
            <w:tcW w:w="100" w:type="dxa"/>
            <w:vAlign w:val="bottom"/>
            <w:shd w:val="clear" w:color="auto" w:fill="EDEDED"/>
          </w:tcPr>
          <w:p>
            <w:pPr>
              <w:spacing w:after="0"/>
              <w:rPr>
                <w:sz w:val="21"/>
                <w:szCs w:val="21"/>
                <w:color w:val="auto"/>
              </w:rPr>
            </w:pPr>
          </w:p>
        </w:tc>
        <w:tc>
          <w:tcPr>
            <w:tcW w:w="600" w:type="dxa"/>
            <w:vAlign w:val="bottom"/>
            <w:shd w:val="clear" w:color="auto" w:fill="EDEDED"/>
          </w:tcPr>
          <w:p>
            <w:pPr>
              <w:jc w:val="right"/>
              <w:ind w:right="69"/>
              <w:spacing w:after="0"/>
              <w:rPr>
                <w:sz w:val="20"/>
                <w:szCs w:val="20"/>
                <w:color w:val="auto"/>
              </w:rPr>
            </w:pPr>
            <w:r>
              <w:rPr>
                <w:rFonts w:ascii="Arial" w:cs="Arial" w:eastAsia="Arial" w:hAnsi="Arial"/>
                <w:sz w:val="11"/>
                <w:szCs w:val="11"/>
                <w:color w:val="auto"/>
              </w:rPr>
              <w:t>8,477</w:t>
            </w:r>
          </w:p>
        </w:tc>
        <w:tc>
          <w:tcPr>
            <w:tcW w:w="700" w:type="dxa"/>
            <w:vAlign w:val="bottom"/>
            <w:shd w:val="clear" w:color="auto" w:fill="EDEDED"/>
          </w:tcPr>
          <w:p>
            <w:pPr>
              <w:jc w:val="right"/>
              <w:ind w:right="27"/>
              <w:spacing w:after="0"/>
              <w:rPr>
                <w:sz w:val="20"/>
                <w:szCs w:val="20"/>
                <w:color w:val="auto"/>
              </w:rPr>
            </w:pPr>
            <w:r>
              <w:rPr>
                <w:rFonts w:ascii="Arial" w:cs="Arial" w:eastAsia="Arial" w:hAnsi="Arial"/>
                <w:sz w:val="11"/>
                <w:szCs w:val="11"/>
                <w:color w:val="auto"/>
              </w:rPr>
              <w:t>—</w:t>
            </w:r>
          </w:p>
        </w:tc>
        <w:tc>
          <w:tcPr>
            <w:tcW w:w="780" w:type="dxa"/>
            <w:vAlign w:val="bottom"/>
            <w:shd w:val="clear" w:color="auto" w:fill="EDEDED"/>
          </w:tcPr>
          <w:p>
            <w:pPr>
              <w:ind w:left="560"/>
              <w:spacing w:after="0"/>
              <w:rPr>
                <w:sz w:val="20"/>
                <w:szCs w:val="20"/>
                <w:color w:val="auto"/>
              </w:rPr>
            </w:pPr>
            <w:r>
              <w:rPr>
                <w:rFonts w:ascii="Arial" w:cs="Arial" w:eastAsia="Arial" w:hAnsi="Arial"/>
                <w:sz w:val="11"/>
                <w:szCs w:val="11"/>
                <w:color w:val="auto"/>
              </w:rPr>
              <w:t>—</w:t>
            </w:r>
          </w:p>
        </w:tc>
        <w:tc>
          <w:tcPr>
            <w:tcW w:w="720" w:type="dxa"/>
            <w:vAlign w:val="bottom"/>
            <w:shd w:val="clear" w:color="auto" w:fill="EDEDED"/>
          </w:tcPr>
          <w:p>
            <w:pPr>
              <w:ind w:left="560"/>
              <w:spacing w:after="0"/>
              <w:rPr>
                <w:sz w:val="20"/>
                <w:szCs w:val="20"/>
                <w:color w:val="auto"/>
              </w:rPr>
            </w:pPr>
            <w:r>
              <w:rPr>
                <w:rFonts w:ascii="Arial" w:cs="Arial" w:eastAsia="Arial" w:hAnsi="Arial"/>
                <w:sz w:val="11"/>
                <w:szCs w:val="11"/>
                <w:color w:val="auto"/>
              </w:rPr>
              <w:t>—</w:t>
            </w: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DEDED"/>
          </w:tcPr>
          <w:p>
            <w:pPr>
              <w:ind w:left="80"/>
              <w:spacing w:after="0"/>
              <w:rPr>
                <w:sz w:val="20"/>
                <w:szCs w:val="20"/>
                <w:color w:val="auto"/>
              </w:rPr>
            </w:pPr>
            <w:r>
              <w:rPr>
                <w:rFonts w:ascii="Arial" w:cs="Arial" w:eastAsia="Arial" w:hAnsi="Arial"/>
                <w:sz w:val="11"/>
                <w:szCs w:val="11"/>
                <w:color w:val="auto"/>
              </w:rPr>
              <w:t>1,006,330</w:t>
            </w:r>
          </w:p>
        </w:tc>
        <w:tc>
          <w:tcPr>
            <w:tcW w:w="12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DEDED"/>
          </w:tcPr>
          <w:p>
            <w:pPr>
              <w:ind w:left="80"/>
              <w:spacing w:after="0"/>
              <w:rPr>
                <w:sz w:val="20"/>
                <w:szCs w:val="20"/>
                <w:color w:val="auto"/>
              </w:rPr>
            </w:pPr>
            <w:r>
              <w:rPr>
                <w:rFonts w:ascii="Arial" w:cs="Arial" w:eastAsia="Arial" w:hAnsi="Arial"/>
                <w:sz w:val="11"/>
                <w:szCs w:val="11"/>
                <w:color w:val="auto"/>
              </w:rPr>
              <w:t>1,509,584</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178.08</w:t>
            </w:r>
          </w:p>
        </w:tc>
      </w:tr>
      <w:tr>
        <w:trPr>
          <w:trHeight w:val="122"/>
        </w:trPr>
        <w:tc>
          <w:tcPr>
            <w:tcW w:w="1300" w:type="dxa"/>
            <w:vAlign w:val="bottom"/>
            <w:tcBorders>
              <w:bottom w:val="single" w:sz="8" w:color="7F7F7F"/>
            </w:tcBorders>
            <w:shd w:val="clear" w:color="auto" w:fill="EDEDED"/>
          </w:tcPr>
          <w:p>
            <w:pPr>
              <w:spacing w:after="0"/>
              <w:rPr>
                <w:sz w:val="10"/>
                <w:szCs w:val="10"/>
                <w:color w:val="auto"/>
              </w:rPr>
            </w:pPr>
          </w:p>
        </w:tc>
        <w:tc>
          <w:tcPr>
            <w:tcW w:w="760" w:type="dxa"/>
            <w:vAlign w:val="bottom"/>
            <w:tcBorders>
              <w:bottom w:val="single" w:sz="8" w:color="7F7F7F"/>
            </w:tcBorders>
            <w:shd w:val="clear" w:color="auto" w:fill="EDEDED"/>
          </w:tcPr>
          <w:p>
            <w:pPr>
              <w:spacing w:after="0"/>
              <w:rPr>
                <w:sz w:val="10"/>
                <w:szCs w:val="10"/>
                <w:color w:val="auto"/>
              </w:rPr>
            </w:pPr>
          </w:p>
        </w:tc>
        <w:tc>
          <w:tcPr>
            <w:tcW w:w="60" w:type="dxa"/>
            <w:vAlign w:val="bottom"/>
            <w:tcBorders>
              <w:bottom w:val="single" w:sz="8" w:color="7F7F7F"/>
            </w:tcBorders>
            <w:shd w:val="clear" w:color="auto" w:fill="EDEDED"/>
          </w:tcPr>
          <w:p>
            <w:pPr>
              <w:spacing w:after="0"/>
              <w:rPr>
                <w:sz w:val="10"/>
                <w:szCs w:val="10"/>
                <w:color w:val="auto"/>
              </w:rPr>
            </w:pPr>
          </w:p>
        </w:tc>
        <w:tc>
          <w:tcPr>
            <w:tcW w:w="60" w:type="dxa"/>
            <w:vAlign w:val="bottom"/>
            <w:tcBorders>
              <w:bottom w:val="single" w:sz="8" w:color="7F7F7F"/>
            </w:tcBorders>
            <w:shd w:val="clear" w:color="auto" w:fill="EDEDED"/>
          </w:tcPr>
          <w:p>
            <w:pPr>
              <w:spacing w:after="0"/>
              <w:rPr>
                <w:sz w:val="10"/>
                <w:szCs w:val="10"/>
                <w:color w:val="auto"/>
              </w:rPr>
            </w:pPr>
          </w:p>
        </w:tc>
        <w:tc>
          <w:tcPr>
            <w:tcW w:w="600" w:type="dxa"/>
            <w:vAlign w:val="bottom"/>
            <w:tcBorders>
              <w:bottom w:val="single" w:sz="8" w:color="7F7F7F"/>
            </w:tcBorders>
            <w:shd w:val="clear" w:color="auto" w:fill="EDEDED"/>
          </w:tcPr>
          <w:p>
            <w:pPr>
              <w:spacing w:after="0"/>
              <w:rPr>
                <w:sz w:val="10"/>
                <w:szCs w:val="10"/>
                <w:color w:val="auto"/>
              </w:rPr>
            </w:pPr>
          </w:p>
        </w:tc>
        <w:tc>
          <w:tcPr>
            <w:tcW w:w="240" w:type="dxa"/>
            <w:vAlign w:val="bottom"/>
            <w:tcBorders>
              <w:bottom w:val="single" w:sz="8" w:color="7F7F7F"/>
            </w:tcBorders>
            <w:shd w:val="clear" w:color="auto" w:fill="EDEDED"/>
          </w:tcPr>
          <w:p>
            <w:pPr>
              <w:spacing w:after="0"/>
              <w:rPr>
                <w:sz w:val="10"/>
                <w:szCs w:val="10"/>
                <w:color w:val="auto"/>
              </w:rPr>
            </w:pPr>
          </w:p>
        </w:tc>
        <w:tc>
          <w:tcPr>
            <w:tcW w:w="640" w:type="dxa"/>
            <w:vAlign w:val="bottom"/>
            <w:tcBorders>
              <w:bottom w:val="single" w:sz="8" w:color="7F7F7F"/>
            </w:tcBorders>
            <w:shd w:val="clear" w:color="auto" w:fill="EDEDED"/>
          </w:tcPr>
          <w:p>
            <w:pPr>
              <w:spacing w:after="0"/>
              <w:rPr>
                <w:sz w:val="10"/>
                <w:szCs w:val="10"/>
                <w:color w:val="auto"/>
              </w:rPr>
            </w:pPr>
          </w:p>
        </w:tc>
        <w:tc>
          <w:tcPr>
            <w:tcW w:w="440" w:type="dxa"/>
            <w:vAlign w:val="bottom"/>
            <w:tcBorders>
              <w:bottom w:val="single" w:sz="8" w:color="7F7F7F"/>
            </w:tcBorders>
            <w:shd w:val="clear" w:color="auto" w:fill="EDEDED"/>
          </w:tcPr>
          <w:p>
            <w:pPr>
              <w:spacing w:after="0"/>
              <w:rPr>
                <w:sz w:val="10"/>
                <w:szCs w:val="10"/>
                <w:color w:val="auto"/>
              </w:rPr>
            </w:pPr>
          </w:p>
        </w:tc>
        <w:tc>
          <w:tcPr>
            <w:tcW w:w="260" w:type="dxa"/>
            <w:vAlign w:val="bottom"/>
            <w:tcBorders>
              <w:bottom w:val="single" w:sz="8" w:color="7F7F7F"/>
            </w:tcBorders>
            <w:shd w:val="clear" w:color="auto" w:fill="EDEDED"/>
          </w:tcPr>
          <w:p>
            <w:pPr>
              <w:spacing w:after="0"/>
              <w:rPr>
                <w:sz w:val="10"/>
                <w:szCs w:val="10"/>
                <w:color w:val="auto"/>
              </w:rPr>
            </w:pPr>
          </w:p>
        </w:tc>
        <w:tc>
          <w:tcPr>
            <w:tcW w:w="120" w:type="dxa"/>
            <w:vAlign w:val="bottom"/>
            <w:tcBorders>
              <w:bottom w:val="single" w:sz="8" w:color="7F7F7F"/>
            </w:tcBorders>
            <w:shd w:val="clear" w:color="auto" w:fill="EDEDED"/>
          </w:tcPr>
          <w:p>
            <w:pPr>
              <w:spacing w:after="0"/>
              <w:rPr>
                <w:sz w:val="10"/>
                <w:szCs w:val="10"/>
                <w:color w:val="auto"/>
              </w:rPr>
            </w:pPr>
          </w:p>
        </w:tc>
        <w:tc>
          <w:tcPr>
            <w:tcW w:w="660" w:type="dxa"/>
            <w:vAlign w:val="bottom"/>
            <w:tcBorders>
              <w:bottom w:val="single" w:sz="8" w:color="7F7F7F"/>
            </w:tcBorders>
            <w:shd w:val="clear" w:color="auto" w:fill="EDEDED"/>
          </w:tcPr>
          <w:p>
            <w:pPr>
              <w:spacing w:after="0"/>
              <w:rPr>
                <w:sz w:val="10"/>
                <w:szCs w:val="10"/>
                <w:color w:val="auto"/>
              </w:rPr>
            </w:pPr>
          </w:p>
        </w:tc>
        <w:tc>
          <w:tcPr>
            <w:tcW w:w="880" w:type="dxa"/>
            <w:vAlign w:val="bottom"/>
            <w:tcBorders>
              <w:bottom w:val="single" w:sz="8" w:color="7F7F7F"/>
            </w:tcBorders>
            <w:shd w:val="clear" w:color="auto" w:fill="EDEDED"/>
          </w:tcPr>
          <w:p>
            <w:pPr>
              <w:spacing w:after="0"/>
              <w:rPr>
                <w:sz w:val="10"/>
                <w:szCs w:val="10"/>
                <w:color w:val="auto"/>
              </w:rPr>
            </w:pPr>
          </w:p>
        </w:tc>
        <w:tc>
          <w:tcPr>
            <w:tcW w:w="100" w:type="dxa"/>
            <w:vAlign w:val="bottom"/>
            <w:tcBorders>
              <w:bottom w:val="single" w:sz="8" w:color="7F7F7F"/>
            </w:tcBorders>
            <w:shd w:val="clear" w:color="auto" w:fill="EDEDED"/>
          </w:tcPr>
          <w:p>
            <w:pPr>
              <w:spacing w:after="0"/>
              <w:rPr>
                <w:sz w:val="10"/>
                <w:szCs w:val="10"/>
                <w:color w:val="auto"/>
              </w:rPr>
            </w:pPr>
          </w:p>
        </w:tc>
        <w:tc>
          <w:tcPr>
            <w:tcW w:w="600" w:type="dxa"/>
            <w:vAlign w:val="bottom"/>
            <w:tcBorders>
              <w:bottom w:val="single" w:sz="8" w:color="7F7F7F"/>
            </w:tcBorders>
            <w:shd w:val="clear" w:color="auto" w:fill="EDEDED"/>
          </w:tcPr>
          <w:p>
            <w:pPr>
              <w:spacing w:after="0"/>
              <w:rPr>
                <w:sz w:val="10"/>
                <w:szCs w:val="10"/>
                <w:color w:val="auto"/>
              </w:rPr>
            </w:pPr>
          </w:p>
        </w:tc>
        <w:tc>
          <w:tcPr>
            <w:tcW w:w="700" w:type="dxa"/>
            <w:vAlign w:val="bottom"/>
            <w:tcBorders>
              <w:bottom w:val="single" w:sz="8" w:color="7F7F7F"/>
            </w:tcBorders>
            <w:shd w:val="clear" w:color="auto" w:fill="EDEDED"/>
          </w:tcPr>
          <w:p>
            <w:pPr>
              <w:spacing w:after="0"/>
              <w:rPr>
                <w:sz w:val="10"/>
                <w:szCs w:val="10"/>
                <w:color w:val="auto"/>
              </w:rPr>
            </w:pPr>
          </w:p>
        </w:tc>
        <w:tc>
          <w:tcPr>
            <w:tcW w:w="780" w:type="dxa"/>
            <w:vAlign w:val="bottom"/>
            <w:tcBorders>
              <w:bottom w:val="single" w:sz="8" w:color="7F7F7F"/>
            </w:tcBorders>
            <w:shd w:val="clear" w:color="auto" w:fill="EDEDED"/>
          </w:tcPr>
          <w:p>
            <w:pPr>
              <w:spacing w:after="0"/>
              <w:rPr>
                <w:sz w:val="10"/>
                <w:szCs w:val="10"/>
                <w:color w:val="auto"/>
              </w:rPr>
            </w:pPr>
          </w:p>
        </w:tc>
        <w:tc>
          <w:tcPr>
            <w:tcW w:w="720" w:type="dxa"/>
            <w:vAlign w:val="bottom"/>
            <w:tcBorders>
              <w:bottom w:val="single" w:sz="8" w:color="7F7F7F"/>
            </w:tcBorders>
            <w:shd w:val="clear" w:color="auto" w:fill="EDEDED"/>
          </w:tcPr>
          <w:p>
            <w:pPr>
              <w:spacing w:after="0"/>
              <w:rPr>
                <w:sz w:val="10"/>
                <w:szCs w:val="10"/>
                <w:color w:val="auto"/>
              </w:rPr>
            </w:pPr>
          </w:p>
        </w:tc>
        <w:tc>
          <w:tcPr>
            <w:tcW w:w="120" w:type="dxa"/>
            <w:vAlign w:val="bottom"/>
            <w:tcBorders>
              <w:bottom w:val="single" w:sz="8" w:color="7F7F7F"/>
            </w:tcBorders>
            <w:shd w:val="clear" w:color="auto" w:fill="EDEDED"/>
          </w:tcPr>
          <w:p>
            <w:pPr>
              <w:spacing w:after="0"/>
              <w:rPr>
                <w:sz w:val="10"/>
                <w:szCs w:val="10"/>
                <w:color w:val="auto"/>
              </w:rPr>
            </w:pPr>
          </w:p>
        </w:tc>
        <w:tc>
          <w:tcPr>
            <w:tcW w:w="620" w:type="dxa"/>
            <w:vAlign w:val="bottom"/>
            <w:tcBorders>
              <w:bottom w:val="single" w:sz="8" w:color="7F7F7F"/>
            </w:tcBorders>
            <w:shd w:val="clear" w:color="auto" w:fill="EDEDED"/>
          </w:tcPr>
          <w:p>
            <w:pPr>
              <w:spacing w:after="0"/>
              <w:rPr>
                <w:sz w:val="10"/>
                <w:szCs w:val="10"/>
                <w:color w:val="auto"/>
              </w:rPr>
            </w:pPr>
          </w:p>
        </w:tc>
        <w:tc>
          <w:tcPr>
            <w:tcW w:w="120" w:type="dxa"/>
            <w:vAlign w:val="bottom"/>
            <w:tcBorders>
              <w:bottom w:val="single" w:sz="8" w:color="7F7F7F"/>
            </w:tcBorders>
            <w:shd w:val="clear" w:color="auto" w:fill="EDEDED"/>
          </w:tcPr>
          <w:p>
            <w:pPr>
              <w:spacing w:after="0"/>
              <w:rPr>
                <w:sz w:val="10"/>
                <w:szCs w:val="10"/>
                <w:color w:val="auto"/>
              </w:rPr>
            </w:pPr>
          </w:p>
        </w:tc>
        <w:tc>
          <w:tcPr>
            <w:tcW w:w="640" w:type="dxa"/>
            <w:vAlign w:val="bottom"/>
            <w:tcBorders>
              <w:bottom w:val="single" w:sz="8" w:color="7F7F7F"/>
            </w:tcBorders>
            <w:shd w:val="clear" w:color="auto" w:fill="EDEDED"/>
          </w:tcPr>
          <w:p>
            <w:pPr>
              <w:spacing w:after="0"/>
              <w:rPr>
                <w:sz w:val="10"/>
                <w:szCs w:val="10"/>
                <w:color w:val="auto"/>
              </w:rPr>
            </w:pPr>
          </w:p>
        </w:tc>
        <w:tc>
          <w:tcPr>
            <w:tcW w:w="140" w:type="dxa"/>
            <w:vAlign w:val="bottom"/>
            <w:tcBorders>
              <w:bottom w:val="single" w:sz="8" w:color="7F7F7F"/>
            </w:tcBorders>
            <w:shd w:val="clear" w:color="auto" w:fill="EDEDED"/>
          </w:tcPr>
          <w:p>
            <w:pPr>
              <w:spacing w:after="0"/>
              <w:rPr>
                <w:sz w:val="10"/>
                <w:szCs w:val="10"/>
                <w:color w:val="auto"/>
              </w:rPr>
            </w:pPr>
          </w:p>
        </w:tc>
        <w:tc>
          <w:tcPr>
            <w:tcW w:w="680" w:type="dxa"/>
            <w:vAlign w:val="bottom"/>
            <w:tcBorders>
              <w:bottom w:val="single" w:sz="8" w:color="7F7F7F"/>
            </w:tcBorders>
            <w:shd w:val="clear" w:color="auto" w:fill="EDEDED"/>
          </w:tcPr>
          <w:p>
            <w:pPr>
              <w:spacing w:after="0"/>
              <w:rPr>
                <w:sz w:val="10"/>
                <w:szCs w:val="10"/>
                <w:color w:val="auto"/>
              </w:rPr>
            </w:pPr>
          </w:p>
        </w:tc>
      </w:tr>
    </w:tbl>
    <w:p>
      <w:pPr>
        <w:spacing w:after="0" w:line="148" w:lineRule="exact"/>
        <w:rPr>
          <w:sz w:val="20"/>
          <w:szCs w:val="20"/>
          <w:color w:val="auto"/>
        </w:rPr>
      </w:pPr>
    </w:p>
    <w:p>
      <w:pPr>
        <w:jc w:val="both"/>
        <w:ind w:left="500" w:hanging="372"/>
        <w:spacing w:after="0" w:line="253"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Pursuant to the 2022 Executive Incentive Plan and the formula approved by the Compensation Committee, in 2025 each named executive officer other than Mr. Alan B. Miller was entitled to receive between 0% and 200% of that executive officer’s target bonus based, either entirely or in part, on our achievement of certain corporate and divisional performance criteria. As discussed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with respect to Messrs. Marc D. Miller and Steve G. Filton, 100% of their 2025 annual incentive bonus was determined using certain corporate performance criteria, and with respect to each of Messrs. Sim and Peterson, their 2025 annual incentive bonus was determined utilizing: (i) 25% of their annual salary based upon the achievement of certain corporate performance criteria, and; (ii) 75% of their annual salary based upon the achievement of certain divisional income targets.</w:t>
      </w:r>
    </w:p>
    <w:p>
      <w:pPr>
        <w:spacing w:after="0" w:line="32" w:lineRule="exact"/>
        <w:rPr>
          <w:rFonts w:ascii="Arial" w:cs="Arial" w:eastAsia="Arial" w:hAnsi="Arial"/>
          <w:sz w:val="16"/>
          <w:szCs w:val="16"/>
          <w:color w:val="auto"/>
        </w:rPr>
      </w:pPr>
    </w:p>
    <w:p>
      <w:pPr>
        <w:ind w:left="500" w:hanging="37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Estimates calculated based upon 2025 salaries.</w:t>
      </w:r>
    </w:p>
    <w:p>
      <w:pPr>
        <w:spacing w:after="0" w:line="86" w:lineRule="exact"/>
        <w:rPr>
          <w:rFonts w:ascii="Arial" w:cs="Arial" w:eastAsia="Arial" w:hAnsi="Arial"/>
          <w:sz w:val="16"/>
          <w:szCs w:val="16"/>
          <w:color w:val="auto"/>
        </w:rPr>
      </w:pPr>
    </w:p>
    <w:p>
      <w:pPr>
        <w:jc w:val="both"/>
        <w:ind w:left="500" w:hanging="372"/>
        <w:spacing w:after="0" w:line="253"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March 19, 2025, the Compensation Committee awarded time-based RSUs and performance-based RSUs to each of our executive officers pursuant to the 2020 Omnibus Stock and Incentive Plan. The time-based RSUs are scheduled to vest in four equal installments on the first, second, third and fourth anniversaries of the grant date. Pursuant to the formula approved by the Compensation Committee, each named executive officer was entitled to receive between 50% and 150% of that executive officer’s target stock-based compensation in the form of performance-based restricted stock units. The performance-based RSUs are earned based upon achievement of the three-year growth in our adjusted earnings before interest, taxes, depreciation and amortization, and the impacts of other income/expenses, as compared to a target range of pre-established thresholds.</w:t>
      </w:r>
    </w:p>
    <w:p>
      <w:pPr>
        <w:spacing w:after="0" w:line="226" w:lineRule="exact"/>
        <w:rPr>
          <w:rFonts w:ascii="Arial" w:cs="Arial" w:eastAsia="Arial" w:hAnsi="Arial"/>
          <w:sz w:val="16"/>
          <w:szCs w:val="16"/>
          <w:color w:val="auto"/>
        </w:rPr>
      </w:pPr>
    </w:p>
    <w:p>
      <w:pPr>
        <w:jc w:val="both"/>
        <w:ind w:left="500" w:hanging="372"/>
        <w:spacing w:after="0" w:line="266"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Performance-based RSUs issued on March 19, 2025 were issued under our 2020 Omnibus Stock and Incentive Plan. In 2025, our CEO and other NEOs, each received 100% of their annual target stock-based compensation awards in the form of performance-based RSUs (50% of awards) and time-based restricted stock units (50% of awards).</w:t>
      </w:r>
    </w:p>
    <w:p>
      <w:pPr>
        <w:spacing w:after="0" w:line="22" w:lineRule="exact"/>
        <w:rPr>
          <w:rFonts w:ascii="Arial" w:cs="Arial" w:eastAsia="Arial" w:hAnsi="Arial"/>
          <w:sz w:val="16"/>
          <w:szCs w:val="16"/>
          <w:color w:val="auto"/>
        </w:rPr>
      </w:pPr>
    </w:p>
    <w:p>
      <w:pPr>
        <w:ind w:left="500" w:hanging="37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Time-based restricted stock units issued under the Company’s 2020 Omnibus Stock and Incentive Plan.</w:t>
      </w:r>
    </w:p>
    <w:p>
      <w:pPr>
        <w:spacing w:after="0" w:line="86" w:lineRule="exact"/>
        <w:rPr>
          <w:rFonts w:ascii="Arial" w:cs="Arial" w:eastAsia="Arial" w:hAnsi="Arial"/>
          <w:sz w:val="16"/>
          <w:szCs w:val="16"/>
          <w:color w:val="auto"/>
        </w:rPr>
      </w:pPr>
    </w:p>
    <w:p>
      <w:pPr>
        <w:ind w:left="500" w:hanging="37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were no stock option awards issued during 2025 to our CEO and other NEOs.</w:t>
      </w:r>
    </w:p>
    <w:p>
      <w:pPr>
        <w:spacing w:after="0" w:line="72" w:lineRule="exact"/>
        <w:rPr>
          <w:rFonts w:ascii="Arial" w:cs="Arial" w:eastAsia="Arial" w:hAnsi="Arial"/>
          <w:sz w:val="16"/>
          <w:szCs w:val="16"/>
          <w:color w:val="auto"/>
        </w:rPr>
      </w:pPr>
    </w:p>
    <w:p>
      <w:pPr>
        <w:ind w:left="500" w:hanging="372"/>
        <w:spacing w:after="0" w:line="286"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aggregate grant date fair value for the performance-based RSUs (at target) and time-based RSUs, based upon the closing market price on the date of grant.</w:t>
      </w:r>
    </w:p>
    <w:p>
      <w:pPr>
        <w:spacing w:after="0" w:line="7" w:lineRule="exact"/>
        <w:rPr>
          <w:rFonts w:ascii="Arial" w:cs="Arial" w:eastAsia="Arial" w:hAnsi="Arial"/>
          <w:sz w:val="16"/>
          <w:szCs w:val="16"/>
          <w:color w:val="auto"/>
        </w:rPr>
      </w:pPr>
    </w:p>
    <w:p>
      <w:pPr>
        <w:ind w:left="500" w:hanging="372"/>
        <w:spacing w:after="0" w:line="286"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aggregate maximum value for the performance-based RSUs (assuming the maximum award is achieved), and the aggregate grant date fair value of the time-based RSUs, granted on 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53" w:name="page54"/>
    <w:bookmarkEnd w:id="53"/>
    <w:p>
      <w:pPr>
        <w:spacing w:after="0"/>
        <w:rPr>
          <w:sz w:val="20"/>
          <w:szCs w:val="20"/>
          <w:color w:val="auto"/>
        </w:rPr>
      </w:pPr>
      <w:r>
        <w:rPr>
          <w:rFonts w:ascii="Arial" w:cs="Arial" w:eastAsia="Arial" w:hAnsi="Arial"/>
          <w:sz w:val="25"/>
          <w:szCs w:val="25"/>
          <w:b w:val="1"/>
          <w:bCs w:val="1"/>
          <w:color w:val="052666"/>
        </w:rPr>
        <w:t>Marc D. Miller’s Employment Agreement as Chief Executive Officer</w:t>
      </w:r>
    </w:p>
    <w:p>
      <w:pPr>
        <w:spacing w:after="0" w:line="120"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Mr. Marc D. Miller was appointed Chief Executive Officer (“CEO”) and President effective January 1, 2021. He has served as President since May, 2009 and prior thereto served as Senior Vice President and co-head of our Acute Care Hospitals since 2007.</w:t>
      </w:r>
    </w:p>
    <w:p>
      <w:pPr>
        <w:spacing w:after="0" w:line="6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Certain elements of Mr. Marc D. Miller’s compensation for 2025 were determined by the terms of his employment agreement that was entered into on December 23, 2020, as amended on March 23, 2022. On March 19, 2025, the employment agreement was terminated and replaced with an agreement with UHS of Delaware, a wholly owned subsidiary of the Company and, the employer of record for the Company’s management employees. The obligations of UHS of Delaware under such agreement, other than as set forth herein, are substantially the same as the terminated employment agreement, and are guaranteed by the Company. On December 30, 2025, UHS of Delaware entered into an amended and restated employment agreement with Marc D. Miller pursuant to the terms of which Mr. Marc D. Miller will serve as CEO of the Company with a term scheduled to end on January 1, 2029, subject, however, to earlier termination, and subject further to automatic renewal for additional one-year periods unless either party elects otherwise.</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Pursuant to the terms of the employment agreement, as amended and restated, Marc Miller’s salary as our CEO will be $1,575,000 for 2026 which is a 5.0% increase over his 2025 base salary. Mr. Marc D. Miller is also entitled to an annual bonus opportunity target equal to 150% of his salary. The amount of the annual bonus for any year may be more or less than the target amount and will be determined by the Board of Directors in accordance with pre-established performance measures. Additionally, Mr. Marc D. Miller may also be paid during the term of his employment agreement, bonuses and other compensation as may from time to time be determined by the Board of Directors.</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Mr. Marc D. Miller participates in benefit plans and programs that are made available to other employees and will be eligible to receive annual awards under the Company’s long-term incentive plan(s) (“LTIP”) as in effect from time to time, which will be subject to conditions as are consistent with terms and conditions applicable to LTIP awards made to other senior executives of the Company, subject to certain acceleration rights upon a qualifying termination of employment as set forth in his employment agreement.</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Mr. Marc D. Miller receives certain executive perquisites, including, but not limited to, payment of certain automobile costs, sporting and cultural event tickets, and use of a private plane for personal purposes, which in certain circumstances, are subject to reimbursement by Mr. Marc D. Miller of the incremental costs incurred at market rates, and such other fringe benefits as the Compensation Committee of our Board of Directors may determine (as discussed in the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Analysis).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For a further description of the employment agreement, please refer to the </w:t>
      </w:r>
      <w:r>
        <w:rPr>
          <w:rFonts w:ascii="Arial" w:cs="Arial" w:eastAsia="Arial" w:hAnsi="Arial"/>
          <w:sz w:val="19"/>
          <w:szCs w:val="19"/>
          <w:i w:val="1"/>
          <w:iCs w:val="1"/>
          <w:color w:val="auto"/>
        </w:rPr>
        <w:t xml:space="preserve">Potential Payments Upon Termination or Change-in-Control </w:t>
      </w:r>
      <w:r>
        <w:rPr>
          <w:rFonts w:ascii="Arial" w:cs="Arial" w:eastAsia="Arial" w:hAnsi="Arial"/>
          <w:sz w:val="19"/>
          <w:szCs w:val="19"/>
          <w:color w:val="auto"/>
        </w:rPr>
        <w:t>section below. For a further description of the compensation setting process with respect to Mr. Marc D. Miller, please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refer to the </w:t>
      </w:r>
      <w:r>
        <w:rPr>
          <w:rFonts w:ascii="Arial" w:cs="Arial" w:eastAsia="Arial" w:hAnsi="Arial"/>
          <w:sz w:val="19"/>
          <w:szCs w:val="19"/>
          <w:i w:val="1"/>
          <w:iCs w:val="1"/>
          <w:color w:val="auto"/>
        </w:rPr>
        <w:t>Compensation Discussion and Analysis</w:t>
      </w:r>
      <w:r>
        <w:rPr>
          <w:rFonts w:ascii="Arial" w:cs="Arial" w:eastAsia="Arial" w:hAnsi="Arial"/>
          <w:sz w:val="19"/>
          <w:szCs w:val="19"/>
          <w:color w:val="auto"/>
        </w:rPr>
        <w:t xml:space="preserve"> section above. For a further description of Mr. Marc D. Miller’s benefits under the Company’s Supplemental Executive Retirement Income Plan, please refer to the </w:t>
      </w:r>
      <w:r>
        <w:rPr>
          <w:rFonts w:ascii="Arial" w:cs="Arial" w:eastAsia="Arial" w:hAnsi="Arial"/>
          <w:sz w:val="19"/>
          <w:szCs w:val="19"/>
          <w:i w:val="1"/>
          <w:iCs w:val="1"/>
          <w:color w:val="auto"/>
        </w:rPr>
        <w:t>Pension Benefits</w:t>
      </w:r>
      <w:r>
        <w:rPr>
          <w:rFonts w:ascii="Arial" w:cs="Arial" w:eastAsia="Arial" w:hAnsi="Arial"/>
          <w:sz w:val="19"/>
          <w:szCs w:val="19"/>
          <w:color w:val="auto"/>
        </w:rPr>
        <w:t xml:space="preserve"> section below.</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Alan B. Miller’s Employment Agreement as Executive Chairman</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Mr. Alan B. Miller was appointed Executive Chairman of the Board effective January 1, 2021. He had been Chairman of the Board and Chief Executive Officer since our inception in 1978 and also served as President from inception until 2009.</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Certain elements of Mr. Alan B. Miller’s compensation for 2025 were determined by the terms of his employment agreement that was entered into on December 23, 2020, with an effective date of January 1, 2021. On March 19, 2025, the employment agreement was terminated and replaced with an agreement with UHS of Delaware, a wholly owned subsidiary of the Company and, the employer of record for the Company’s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000052"/>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employees. The obligations of UHS of Delaware under such agreement, other than as set forth herein, are substantially the same as the terminated employment agreement, and are guaranteed by the Company. Pursuant to the terms of the employment agreement, Alan B. Miller will serve as Executive Chairman with a term scheduled to end on January 1, 2027, subject, however, to earlier termination, and subject further to automatic renewal for additional one year periods unless either party elects otherwise.</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Mr. Alan B. Miller’s salary as our Executive Chairman will be $1,164,375 for 2026 which is a 3.5% increase over his 2025 base salary. Additionally, Mr. Alan Miller may also be entitled to bonuses and other compensation as may from time to time be determined by the Board of Directors. Mr. Alan B. Miller will also be eligible to receive annual awards under the Company’s LTIP as in effect from time to time, which will be subject to conditions as are consistent with terms and conditions applicable to LTIP awards made to other senior executives of the Company, subject to certain acceleration rights upon a qualifying termination of employment as set forth in his employment agreement.</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Mr. Alan B. Miller participates in benefit plans and programs that are made available to other employees and he receives certain executive perquisites, including, but not limited to, split dollar life insurance benefits, payment of certain automobile costs, payment of country club dues, tax and accounting services, use of a private plane for personal purposes for up to 60 hours per year, subject to reimbursement by Mr. Alan B. Miller of the incremental costs incurred at market rates, and such other fringe benefits as the Compensation Committee of our Board of Directors may determine (as discussed in the </w:t>
      </w:r>
      <w:r>
        <w:rPr>
          <w:rFonts w:ascii="Arial" w:cs="Arial" w:eastAsia="Arial" w:hAnsi="Arial"/>
          <w:sz w:val="20"/>
          <w:szCs w:val="20"/>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i w:val="1"/>
          <w:iCs w:val="1"/>
          <w:color w:val="auto"/>
        </w:rPr>
        <w:t>Discussion and Analysis).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For a further description of the employment agreement, please refer to the </w:t>
      </w:r>
      <w:r>
        <w:rPr>
          <w:rFonts w:ascii="Arial" w:cs="Arial" w:eastAsia="Arial" w:hAnsi="Arial"/>
          <w:sz w:val="20"/>
          <w:szCs w:val="20"/>
          <w:i w:val="1"/>
          <w:iCs w:val="1"/>
          <w:color w:val="auto"/>
        </w:rPr>
        <w:t xml:space="preserve">Potential Payments Upon Termination or Change-in-Control </w:t>
      </w:r>
      <w:r>
        <w:rPr>
          <w:rFonts w:ascii="Arial" w:cs="Arial" w:eastAsia="Arial" w:hAnsi="Arial"/>
          <w:sz w:val="20"/>
          <w:szCs w:val="20"/>
          <w:color w:val="auto"/>
        </w:rPr>
        <w:t>section below. For a further description of the compensation setting process with respect to Mr. Alan B. Miller, please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refer to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section above. For a further description of Mr. Alan B. Miller’s benefits under the Company’s Executive Retirement Income Plan, please refer to the </w:t>
      </w:r>
      <w:r>
        <w:rPr>
          <w:rFonts w:ascii="Arial" w:cs="Arial" w:eastAsia="Arial" w:hAnsi="Arial"/>
          <w:sz w:val="20"/>
          <w:szCs w:val="20"/>
          <w:i w:val="1"/>
          <w:iCs w:val="1"/>
          <w:color w:val="auto"/>
        </w:rPr>
        <w:t>Pension Benefits</w:t>
      </w:r>
      <w:r>
        <w:rPr>
          <w:rFonts w:ascii="Arial" w:cs="Arial" w:eastAsia="Arial" w:hAnsi="Arial"/>
          <w:sz w:val="20"/>
          <w:szCs w:val="20"/>
          <w:color w:val="auto"/>
        </w:rPr>
        <w:t xml:space="preserve">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5" w:name="page56"/>
    <w:bookmarkEnd w:id="55"/>
    <w:p>
      <w:pPr>
        <w:ind w:right="4540"/>
        <w:spacing w:after="0" w:line="272" w:lineRule="auto"/>
        <w:rPr>
          <w:sz w:val="20"/>
          <w:szCs w:val="20"/>
          <w:color w:val="auto"/>
        </w:rPr>
      </w:pPr>
      <w:r>
        <w:rPr>
          <w:rFonts w:ascii="Arial" w:cs="Arial" w:eastAsia="Arial" w:hAnsi="Arial"/>
          <w:sz w:val="38"/>
          <w:szCs w:val="38"/>
          <w:b w:val="1"/>
          <w:bCs w:val="1"/>
          <w:color w:val="052666"/>
        </w:rPr>
        <w:t>OUTSTANDING EQUITY AWARDS AT DECEMBER 31, 2025</w:t>
      </w:r>
    </w:p>
    <w:p>
      <w:pPr>
        <w:spacing w:after="0" w:line="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table provides information about the number of outstanding equity awards held by our named executive officers at December 31, 2025.</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3"/>
          </w:tcPr>
          <w:p>
            <w:pPr>
              <w:ind w:left="700"/>
              <w:spacing w:after="0"/>
              <w:rPr>
                <w:sz w:val="20"/>
                <w:szCs w:val="20"/>
                <w:color w:val="auto"/>
              </w:rPr>
            </w:pPr>
            <w:r>
              <w:rPr>
                <w:rFonts w:ascii="Arial" w:cs="Arial" w:eastAsia="Arial" w:hAnsi="Arial"/>
                <w:sz w:val="11"/>
                <w:szCs w:val="11"/>
                <w:b w:val="1"/>
                <w:bCs w:val="1"/>
                <w:color w:val="052666"/>
              </w:rPr>
              <w:t>Option Awards (1.)</w:t>
            </w: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2"/>
          </w:tcPr>
          <w:p>
            <w:pPr>
              <w:jc w:val="right"/>
              <w:ind w:right="546"/>
              <w:spacing w:after="0"/>
              <w:rPr>
                <w:sz w:val="20"/>
                <w:szCs w:val="20"/>
                <w:color w:val="auto"/>
              </w:rPr>
            </w:pPr>
            <w:r>
              <w:rPr>
                <w:rFonts w:ascii="Arial" w:cs="Arial" w:eastAsia="Arial" w:hAnsi="Arial"/>
                <w:sz w:val="11"/>
                <w:szCs w:val="11"/>
                <w:b w:val="1"/>
                <w:bCs w:val="1"/>
                <w:color w:val="052666"/>
              </w:rPr>
              <w:t>Stock Awards (2.)</w:t>
            </w:r>
          </w:p>
        </w:tc>
        <w:tc>
          <w:tcPr>
            <w:tcW w:w="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052666"/>
              </w:rPr>
              <w:t>Equity</w:t>
            </w: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6"/>
              </w:rPr>
              <w:t>Incentive</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5"/>
              </w:rPr>
              <w:t>Equity</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4"/>
              </w:rPr>
              <w:t>Plan</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rPr>
              <w:t>Incentive</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6"/>
              </w:rPr>
              <w:t>Awards:</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rPr>
              <w:t>Plan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rPr>
              <w:t>Equity</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rPr>
              <w:t>Number</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rPr>
              <w:t>Awards:</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6"/>
              </w:rPr>
              <w:t>Incentive</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2666"/>
                <w:w w:val="96"/>
              </w:rPr>
              <w:t>Number</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5"/>
              </w:rPr>
              <w:t>of</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6"/>
              </w:rPr>
              <w:t>Market or</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4"/>
              </w:rPr>
              <w:t>Plan</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5"/>
              </w:rPr>
              <w:t>of</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8"/>
              </w:rPr>
              <w:t>Unearned</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8"/>
              </w:rPr>
              <w:t>Payout</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6"/>
              </w:rPr>
              <w:t>Awards:</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2666"/>
                <w:w w:val="97"/>
              </w:rPr>
              <w:t>Shares</w:t>
            </w:r>
          </w:p>
        </w:tc>
        <w:tc>
          <w:tcPr>
            <w:tcW w:w="260" w:type="dxa"/>
            <w:vAlign w:val="bottom"/>
          </w:tcPr>
          <w:p>
            <w:pPr>
              <w:spacing w:after="0"/>
              <w:rPr>
                <w:sz w:val="10"/>
                <w:szCs w:val="10"/>
                <w:color w:val="auto"/>
              </w:rPr>
            </w:pPr>
          </w:p>
        </w:tc>
        <w:tc>
          <w:tcPr>
            <w:tcW w:w="1080" w:type="dxa"/>
            <w:vAlign w:val="bottom"/>
          </w:tcPr>
          <w:p>
            <w:pPr>
              <w:jc w:val="center"/>
              <w:ind w:right="326"/>
              <w:spacing w:after="0" w:line="122" w:lineRule="exact"/>
              <w:rPr>
                <w:sz w:val="20"/>
                <w:szCs w:val="20"/>
                <w:color w:val="auto"/>
              </w:rPr>
            </w:pPr>
            <w:r>
              <w:rPr>
                <w:rFonts w:ascii="Arial" w:cs="Arial" w:eastAsia="Arial" w:hAnsi="Arial"/>
                <w:sz w:val="11"/>
                <w:szCs w:val="11"/>
                <w:b w:val="1"/>
                <w:bCs w:val="1"/>
                <w:color w:val="052666"/>
                <w:w w:val="95"/>
              </w:rPr>
              <w:t>Market</w:t>
            </w: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5"/>
              </w:rPr>
              <w:t>Shares,</w:t>
            </w:r>
          </w:p>
        </w:tc>
        <w:tc>
          <w:tcPr>
            <w:tcW w:w="380" w:type="dxa"/>
            <w:vAlign w:val="bottom"/>
          </w:tcPr>
          <w:p>
            <w:pPr>
              <w:spacing w:after="0"/>
              <w:rPr>
                <w:sz w:val="10"/>
                <w:szCs w:val="10"/>
                <w:color w:val="auto"/>
              </w:rPr>
            </w:pPr>
          </w:p>
        </w:tc>
        <w:tc>
          <w:tcPr>
            <w:tcW w:w="98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052666"/>
                <w:w w:val="98"/>
              </w:rPr>
              <w:t>Value of</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052666"/>
                <w:w w:val="98"/>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052666"/>
                <w:w w:val="98"/>
              </w:rPr>
              <w:t>Number of</w:t>
            </w:r>
          </w:p>
        </w:tc>
        <w:tc>
          <w:tcPr>
            <w:tcW w:w="12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8"/>
              </w:rPr>
              <w:t>Number of</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2666"/>
                <w:w w:val="96"/>
              </w:rPr>
              <w:t>or Units</w:t>
            </w:r>
          </w:p>
        </w:tc>
        <w:tc>
          <w:tcPr>
            <w:tcW w:w="260" w:type="dxa"/>
            <w:vAlign w:val="bottom"/>
          </w:tcPr>
          <w:p>
            <w:pPr>
              <w:spacing w:after="0"/>
              <w:rPr>
                <w:sz w:val="10"/>
                <w:szCs w:val="10"/>
                <w:color w:val="auto"/>
              </w:rPr>
            </w:pPr>
          </w:p>
        </w:tc>
        <w:tc>
          <w:tcPr>
            <w:tcW w:w="1080" w:type="dxa"/>
            <w:vAlign w:val="bottom"/>
          </w:tcPr>
          <w:p>
            <w:pPr>
              <w:jc w:val="center"/>
              <w:ind w:right="326"/>
              <w:spacing w:after="0" w:line="122" w:lineRule="exact"/>
              <w:rPr>
                <w:sz w:val="20"/>
                <w:szCs w:val="20"/>
                <w:color w:val="auto"/>
              </w:rPr>
            </w:pPr>
            <w:r>
              <w:rPr>
                <w:rFonts w:ascii="Arial" w:cs="Arial" w:eastAsia="Arial" w:hAnsi="Arial"/>
                <w:sz w:val="11"/>
                <w:szCs w:val="11"/>
                <w:b w:val="1"/>
                <w:bCs w:val="1"/>
                <w:color w:val="052666"/>
                <w:w w:val="98"/>
              </w:rPr>
              <w:t>Value of</w:t>
            </w: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rPr>
              <w:t>Units or</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4"/>
              </w:rPr>
              <w:t>Unearned</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052666"/>
                <w:w w:val="98"/>
              </w:rPr>
              <w:t>Securities</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052666"/>
                <w:w w:val="96"/>
              </w:rPr>
              <w:t>of Stock</w:t>
            </w:r>
          </w:p>
        </w:tc>
        <w:tc>
          <w:tcPr>
            <w:tcW w:w="260" w:type="dxa"/>
            <w:vAlign w:val="bottom"/>
          </w:tcPr>
          <w:p>
            <w:pPr>
              <w:spacing w:after="0"/>
              <w:rPr>
                <w:sz w:val="9"/>
                <w:szCs w:val="9"/>
                <w:color w:val="auto"/>
              </w:rPr>
            </w:pPr>
          </w:p>
        </w:tc>
        <w:tc>
          <w:tcPr>
            <w:tcW w:w="1080" w:type="dxa"/>
            <w:vAlign w:val="bottom"/>
          </w:tcPr>
          <w:p>
            <w:pPr>
              <w:jc w:val="center"/>
              <w:ind w:right="326"/>
              <w:spacing w:after="0" w:line="108" w:lineRule="exact"/>
              <w:rPr>
                <w:sz w:val="20"/>
                <w:szCs w:val="20"/>
                <w:color w:val="auto"/>
              </w:rPr>
            </w:pPr>
            <w:r>
              <w:rPr>
                <w:rFonts w:ascii="Arial" w:cs="Arial" w:eastAsia="Arial" w:hAnsi="Arial"/>
                <w:sz w:val="11"/>
                <w:szCs w:val="11"/>
                <w:b w:val="1"/>
                <w:bCs w:val="1"/>
                <w:color w:val="052666"/>
                <w:w w:val="98"/>
              </w:rPr>
              <w:t>Shares or</w:t>
            </w:r>
          </w:p>
        </w:tc>
        <w:tc>
          <w:tcPr>
            <w:tcW w:w="1040" w:type="dxa"/>
            <w:vAlign w:val="bottom"/>
          </w:tcPr>
          <w:p>
            <w:pPr>
              <w:jc w:val="center"/>
              <w:ind w:right="6"/>
              <w:spacing w:after="0" w:line="108" w:lineRule="exact"/>
              <w:rPr>
                <w:sz w:val="20"/>
                <w:szCs w:val="20"/>
                <w:color w:val="auto"/>
              </w:rPr>
            </w:pPr>
            <w:r>
              <w:rPr>
                <w:rFonts w:ascii="Arial" w:cs="Arial" w:eastAsia="Arial" w:hAnsi="Arial"/>
                <w:sz w:val="11"/>
                <w:szCs w:val="11"/>
                <w:b w:val="1"/>
                <w:bCs w:val="1"/>
                <w:color w:val="052666"/>
              </w:rPr>
              <w:t>Other</w:t>
            </w:r>
          </w:p>
        </w:tc>
        <w:tc>
          <w:tcPr>
            <w:tcW w:w="380" w:type="dxa"/>
            <w:vAlign w:val="bottom"/>
          </w:tcPr>
          <w:p>
            <w:pPr>
              <w:spacing w:after="0"/>
              <w:rPr>
                <w:sz w:val="9"/>
                <w:szCs w:val="9"/>
                <w:color w:val="auto"/>
              </w:rPr>
            </w:pPr>
          </w:p>
        </w:tc>
        <w:tc>
          <w:tcPr>
            <w:tcW w:w="98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052666"/>
              </w:rPr>
              <w:t>Shares,</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8"/>
              </w:rPr>
              <w:t>Securities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8"/>
              </w:rPr>
              <w:t>Securities</w:t>
            </w:r>
          </w:p>
        </w:tc>
        <w:tc>
          <w:tcPr>
            <w:tcW w:w="12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7"/>
              </w:rPr>
              <w:t>Underlying</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4"/>
              </w:rPr>
              <w:t>That</w:t>
            </w:r>
          </w:p>
        </w:tc>
        <w:tc>
          <w:tcPr>
            <w:tcW w:w="260" w:type="dxa"/>
            <w:vAlign w:val="bottom"/>
          </w:tcPr>
          <w:p>
            <w:pPr>
              <w:spacing w:after="0"/>
              <w:rPr>
                <w:sz w:val="10"/>
                <w:szCs w:val="10"/>
                <w:color w:val="auto"/>
              </w:rPr>
            </w:pPr>
          </w:p>
        </w:tc>
        <w:tc>
          <w:tcPr>
            <w:tcW w:w="1080" w:type="dxa"/>
            <w:vAlign w:val="bottom"/>
          </w:tcPr>
          <w:p>
            <w:pPr>
              <w:jc w:val="center"/>
              <w:ind w:right="306"/>
              <w:spacing w:after="0" w:line="122" w:lineRule="exact"/>
              <w:rPr>
                <w:sz w:val="20"/>
                <w:szCs w:val="20"/>
                <w:color w:val="auto"/>
              </w:rPr>
            </w:pPr>
            <w:r>
              <w:rPr>
                <w:rFonts w:ascii="Arial" w:cs="Arial" w:eastAsia="Arial" w:hAnsi="Arial"/>
                <w:sz w:val="11"/>
                <w:szCs w:val="11"/>
                <w:b w:val="1"/>
                <w:bCs w:val="1"/>
                <w:color w:val="052666"/>
                <w:w w:val="97"/>
              </w:rPr>
              <w:t>Units of</w:t>
            </w: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9"/>
              </w:rPr>
              <w:t>Rights</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6"/>
              </w:rPr>
              <w:t>Units or</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7"/>
              </w:rPr>
              <w:t>Underlying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7"/>
              </w:rPr>
              <w:t>Underlying</w:t>
            </w:r>
          </w:p>
        </w:tc>
        <w:tc>
          <w:tcPr>
            <w:tcW w:w="12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7"/>
              </w:rPr>
              <w:t>Unexercised</w:t>
            </w:r>
          </w:p>
        </w:tc>
        <w:tc>
          <w:tcPr>
            <w:tcW w:w="200" w:type="dxa"/>
            <w:vAlign w:val="bottom"/>
          </w:tcPr>
          <w:p>
            <w:pPr>
              <w:spacing w:after="0"/>
              <w:rPr>
                <w:sz w:val="10"/>
                <w:szCs w:val="10"/>
                <w:color w:val="auto"/>
              </w:rPr>
            </w:pPr>
          </w:p>
        </w:tc>
        <w:tc>
          <w:tcPr>
            <w:tcW w:w="60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5"/>
              </w:rPr>
              <w:t>Option</w:t>
            </w:r>
          </w:p>
        </w:tc>
        <w:tc>
          <w:tcPr>
            <w:tcW w:w="7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2666"/>
                <w:w w:val="95"/>
              </w:rPr>
              <w:t>Option</w:t>
            </w:r>
          </w:p>
        </w:tc>
        <w:tc>
          <w:tcPr>
            <w:tcW w:w="120" w:type="dxa"/>
            <w:vAlign w:val="bottom"/>
          </w:tcPr>
          <w:p>
            <w:pPr>
              <w:spacing w:after="0"/>
              <w:rPr>
                <w:sz w:val="10"/>
                <w:szCs w:val="10"/>
                <w:color w:val="auto"/>
              </w:rPr>
            </w:pPr>
          </w:p>
        </w:tc>
        <w:tc>
          <w:tcPr>
            <w:tcW w:w="9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8"/>
              </w:rPr>
              <w:t>Have</w:t>
            </w:r>
          </w:p>
        </w:tc>
        <w:tc>
          <w:tcPr>
            <w:tcW w:w="260" w:type="dxa"/>
            <w:vAlign w:val="bottom"/>
          </w:tcPr>
          <w:p>
            <w:pPr>
              <w:spacing w:after="0"/>
              <w:rPr>
                <w:sz w:val="10"/>
                <w:szCs w:val="10"/>
                <w:color w:val="auto"/>
              </w:rPr>
            </w:pPr>
          </w:p>
        </w:tc>
        <w:tc>
          <w:tcPr>
            <w:tcW w:w="1080" w:type="dxa"/>
            <w:vAlign w:val="bottom"/>
          </w:tcPr>
          <w:p>
            <w:pPr>
              <w:jc w:val="center"/>
              <w:ind w:right="326"/>
              <w:spacing w:after="0" w:line="122" w:lineRule="exact"/>
              <w:rPr>
                <w:sz w:val="20"/>
                <w:szCs w:val="20"/>
                <w:color w:val="auto"/>
              </w:rPr>
            </w:pPr>
            <w:r>
              <w:rPr>
                <w:rFonts w:ascii="Arial" w:cs="Arial" w:eastAsia="Arial" w:hAnsi="Arial"/>
                <w:sz w:val="11"/>
                <w:szCs w:val="11"/>
                <w:b w:val="1"/>
                <w:bCs w:val="1"/>
                <w:color w:val="052666"/>
                <w:w w:val="99"/>
              </w:rPr>
              <w:t>Stock</w:t>
            </w: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4"/>
              </w:rPr>
              <w:t>That</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5"/>
              </w:rPr>
              <w:t>Other Rights</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7"/>
              </w:rPr>
              <w:t>Unexercised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7"/>
              </w:rPr>
              <w:t>Unexercised</w:t>
            </w:r>
          </w:p>
        </w:tc>
        <w:tc>
          <w:tcPr>
            <w:tcW w:w="12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052666"/>
                <w:w w:val="98"/>
              </w:rPr>
              <w:t>Unearned</w:t>
            </w:r>
          </w:p>
        </w:tc>
        <w:tc>
          <w:tcPr>
            <w:tcW w:w="8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2666"/>
                <w:w w:val="97"/>
              </w:rPr>
              <w:t>Exercise</w:t>
            </w:r>
          </w:p>
        </w:tc>
        <w:tc>
          <w:tcPr>
            <w:tcW w:w="7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2666"/>
              </w:rPr>
              <w:t>Expiration</w:t>
            </w:r>
          </w:p>
        </w:tc>
        <w:tc>
          <w:tcPr>
            <w:tcW w:w="120" w:type="dxa"/>
            <w:vAlign w:val="bottom"/>
          </w:tcPr>
          <w:p>
            <w:pPr>
              <w:spacing w:after="0"/>
              <w:rPr>
                <w:sz w:val="10"/>
                <w:szCs w:val="10"/>
                <w:color w:val="auto"/>
              </w:rPr>
            </w:pPr>
          </w:p>
        </w:tc>
        <w:tc>
          <w:tcPr>
            <w:tcW w:w="9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052666"/>
                <w:w w:val="97"/>
              </w:rPr>
              <w:t>Not</w:t>
            </w:r>
          </w:p>
        </w:tc>
        <w:tc>
          <w:tcPr>
            <w:tcW w:w="260" w:type="dxa"/>
            <w:vAlign w:val="bottom"/>
          </w:tcPr>
          <w:p>
            <w:pPr>
              <w:spacing w:after="0"/>
              <w:rPr>
                <w:sz w:val="10"/>
                <w:szCs w:val="10"/>
                <w:color w:val="auto"/>
              </w:rPr>
            </w:pPr>
          </w:p>
        </w:tc>
        <w:tc>
          <w:tcPr>
            <w:tcW w:w="1080" w:type="dxa"/>
            <w:vAlign w:val="bottom"/>
          </w:tcPr>
          <w:p>
            <w:pPr>
              <w:jc w:val="center"/>
              <w:ind w:right="306"/>
              <w:spacing w:after="0" w:line="122" w:lineRule="exact"/>
              <w:rPr>
                <w:sz w:val="20"/>
                <w:szCs w:val="20"/>
                <w:color w:val="auto"/>
              </w:rPr>
            </w:pPr>
            <w:r>
              <w:rPr>
                <w:rFonts w:ascii="Arial" w:cs="Arial" w:eastAsia="Arial" w:hAnsi="Arial"/>
                <w:sz w:val="11"/>
                <w:szCs w:val="11"/>
                <w:b w:val="1"/>
                <w:bCs w:val="1"/>
                <w:color w:val="052666"/>
                <w:w w:val="98"/>
              </w:rPr>
              <w:t>That Have</w:t>
            </w:r>
          </w:p>
        </w:tc>
        <w:tc>
          <w:tcPr>
            <w:tcW w:w="1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2666"/>
                <w:w w:val="96"/>
              </w:rPr>
              <w:t>Have Not</w:t>
            </w:r>
          </w:p>
        </w:tc>
        <w:tc>
          <w:tcPr>
            <w:tcW w:w="380" w:type="dxa"/>
            <w:vAlign w:val="bottom"/>
          </w:tcPr>
          <w:p>
            <w:pPr>
              <w:spacing w:after="0"/>
              <w:rPr>
                <w:sz w:val="10"/>
                <w:szCs w:val="10"/>
                <w:color w:val="auto"/>
              </w:rPr>
            </w:pPr>
          </w:p>
        </w:tc>
        <w:tc>
          <w:tcPr>
            <w:tcW w:w="9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8"/>
              </w:rPr>
              <w:t>That Have</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052666"/>
                <w:w w:val="99"/>
              </w:rPr>
              <w:t>Options (#)</w:t>
            </w: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052666"/>
                <w:w w:val="99"/>
              </w:rPr>
              <w:t>Options (#)</w:t>
            </w:r>
          </w:p>
        </w:tc>
        <w:tc>
          <w:tcPr>
            <w:tcW w:w="120" w:type="dxa"/>
            <w:vAlign w:val="bottom"/>
            <w:tcBorders>
              <w:bottom w:val="single" w:sz="8" w:color="auto"/>
            </w:tcBorders>
          </w:tcPr>
          <w:p>
            <w:pPr>
              <w:spacing w:after="0"/>
              <w:rPr>
                <w:sz w:val="11"/>
                <w:szCs w:val="11"/>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052666"/>
              </w:rPr>
              <w:t>Options</w:t>
            </w:r>
          </w:p>
        </w:tc>
        <w:tc>
          <w:tcPr>
            <w:tcW w:w="200" w:type="dxa"/>
            <w:vAlign w:val="bottom"/>
          </w:tcPr>
          <w:p>
            <w:pPr>
              <w:spacing w:after="0"/>
              <w:rPr>
                <w:sz w:val="11"/>
                <w:szCs w:val="11"/>
                <w:color w:val="auto"/>
              </w:rPr>
            </w:pPr>
          </w:p>
        </w:tc>
        <w:tc>
          <w:tcPr>
            <w:tcW w:w="600" w:type="dxa"/>
            <w:vAlign w:val="bottom"/>
          </w:tcPr>
          <w:p>
            <w:pPr>
              <w:jc w:val="center"/>
              <w:ind w:right="166"/>
              <w:spacing w:after="0"/>
              <w:rPr>
                <w:sz w:val="20"/>
                <w:szCs w:val="20"/>
                <w:color w:val="auto"/>
              </w:rPr>
            </w:pPr>
            <w:r>
              <w:rPr>
                <w:rFonts w:ascii="Arial" w:cs="Arial" w:eastAsia="Arial" w:hAnsi="Arial"/>
                <w:sz w:val="11"/>
                <w:szCs w:val="11"/>
                <w:b w:val="1"/>
                <w:bCs w:val="1"/>
                <w:color w:val="052666"/>
                <w:w w:val="96"/>
              </w:rPr>
              <w:t>Price</w:t>
            </w:r>
          </w:p>
        </w:tc>
        <w:tc>
          <w:tcPr>
            <w:tcW w:w="740" w:type="dxa"/>
            <w:vAlign w:val="bottom"/>
          </w:tcPr>
          <w:p>
            <w:pPr>
              <w:jc w:val="center"/>
              <w:ind w:left="26"/>
              <w:spacing w:after="0"/>
              <w:rPr>
                <w:sz w:val="20"/>
                <w:szCs w:val="20"/>
                <w:color w:val="auto"/>
              </w:rPr>
            </w:pPr>
            <w:r>
              <w:rPr>
                <w:rFonts w:ascii="Arial" w:cs="Arial" w:eastAsia="Arial" w:hAnsi="Arial"/>
                <w:sz w:val="11"/>
                <w:szCs w:val="11"/>
                <w:b w:val="1"/>
                <w:bCs w:val="1"/>
                <w:color w:val="052666"/>
                <w:w w:val="92"/>
              </w:rPr>
              <w:t>Date</w:t>
            </w:r>
          </w:p>
        </w:tc>
        <w:tc>
          <w:tcPr>
            <w:tcW w:w="120" w:type="dxa"/>
            <w:vAlign w:val="bottom"/>
          </w:tcPr>
          <w:p>
            <w:pPr>
              <w:spacing w:after="0"/>
              <w:rPr>
                <w:sz w:val="11"/>
                <w:szCs w:val="11"/>
                <w:color w:val="auto"/>
              </w:rPr>
            </w:pP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052666"/>
                <w:w w:val="99"/>
              </w:rPr>
              <w:t>Vested</w:t>
            </w:r>
          </w:p>
        </w:tc>
        <w:tc>
          <w:tcPr>
            <w:tcW w:w="260" w:type="dxa"/>
            <w:vAlign w:val="bottom"/>
          </w:tcPr>
          <w:p>
            <w:pPr>
              <w:spacing w:after="0"/>
              <w:rPr>
                <w:sz w:val="11"/>
                <w:szCs w:val="11"/>
                <w:color w:val="auto"/>
              </w:rPr>
            </w:pPr>
          </w:p>
        </w:tc>
        <w:tc>
          <w:tcPr>
            <w:tcW w:w="1080" w:type="dxa"/>
            <w:vAlign w:val="bottom"/>
          </w:tcPr>
          <w:p>
            <w:pPr>
              <w:jc w:val="center"/>
              <w:ind w:right="306"/>
              <w:spacing w:after="0"/>
              <w:rPr>
                <w:sz w:val="20"/>
                <w:szCs w:val="20"/>
                <w:color w:val="auto"/>
              </w:rPr>
            </w:pPr>
            <w:r>
              <w:rPr>
                <w:rFonts w:ascii="Arial" w:cs="Arial" w:eastAsia="Arial" w:hAnsi="Arial"/>
                <w:sz w:val="11"/>
                <w:szCs w:val="11"/>
                <w:b w:val="1"/>
                <w:bCs w:val="1"/>
                <w:color w:val="052666"/>
                <w:w w:val="97"/>
              </w:rPr>
              <w:t>Not Vested</w:t>
            </w:r>
          </w:p>
        </w:tc>
        <w:tc>
          <w:tcPr>
            <w:tcW w:w="1040" w:type="dxa"/>
            <w:vAlign w:val="bottom"/>
          </w:tcPr>
          <w:p>
            <w:pPr>
              <w:jc w:val="center"/>
              <w:ind w:right="6"/>
              <w:spacing w:after="0"/>
              <w:rPr>
                <w:sz w:val="20"/>
                <w:szCs w:val="20"/>
                <w:color w:val="auto"/>
              </w:rPr>
            </w:pPr>
            <w:r>
              <w:rPr>
                <w:rFonts w:ascii="Arial" w:cs="Arial" w:eastAsia="Arial" w:hAnsi="Arial"/>
                <w:sz w:val="11"/>
                <w:szCs w:val="11"/>
                <w:b w:val="1"/>
                <w:bCs w:val="1"/>
                <w:color w:val="052666"/>
                <w:w w:val="94"/>
              </w:rPr>
              <w:t>Vested</w:t>
            </w:r>
          </w:p>
        </w:tc>
        <w:tc>
          <w:tcPr>
            <w:tcW w:w="380" w:type="dxa"/>
            <w:vAlign w:val="bottom"/>
          </w:tcPr>
          <w:p>
            <w:pPr>
              <w:spacing w:after="0"/>
              <w:rPr>
                <w:sz w:val="11"/>
                <w:szCs w:val="11"/>
                <w:color w:val="auto"/>
              </w:rPr>
            </w:pPr>
          </w:p>
        </w:tc>
        <w:tc>
          <w:tcPr>
            <w:tcW w:w="980" w:type="dxa"/>
            <w:vAlign w:val="bottom"/>
          </w:tcPr>
          <w:p>
            <w:pPr>
              <w:jc w:val="center"/>
              <w:ind w:right="166"/>
              <w:spacing w:after="0"/>
              <w:rPr>
                <w:sz w:val="20"/>
                <w:szCs w:val="20"/>
                <w:color w:val="auto"/>
              </w:rPr>
            </w:pPr>
            <w:r>
              <w:rPr>
                <w:rFonts w:ascii="Arial" w:cs="Arial" w:eastAsia="Arial" w:hAnsi="Arial"/>
                <w:sz w:val="11"/>
                <w:szCs w:val="11"/>
                <w:b w:val="1"/>
                <w:bCs w:val="1"/>
                <w:color w:val="052666"/>
                <w:w w:val="97"/>
              </w:rPr>
              <w:t>Not Vested</w:t>
            </w:r>
          </w:p>
        </w:tc>
        <w:tc>
          <w:tcPr>
            <w:tcW w:w="0" w:type="dxa"/>
            <w:vAlign w:val="bottom"/>
          </w:tcPr>
          <w:p>
            <w:pPr>
              <w:spacing w:after="0"/>
              <w:rPr>
                <w:sz w:val="1"/>
                <w:szCs w:val="1"/>
                <w:color w:val="auto"/>
              </w:rPr>
            </w:pPr>
          </w:p>
        </w:tc>
      </w:tr>
      <w:tr>
        <w:trPr>
          <w:trHeight w:val="115"/>
        </w:trPr>
        <w:tc>
          <w:tcPr>
            <w:tcW w:w="1360" w:type="dxa"/>
            <w:vAlign w:val="bottom"/>
            <w:tcBorders>
              <w:bottom w:val="single" w:sz="8" w:color="052666"/>
            </w:tcBorders>
          </w:tcPr>
          <w:p>
            <w:pPr>
              <w:ind w:left="20"/>
              <w:spacing w:after="0" w:line="115" w:lineRule="exact"/>
              <w:rPr>
                <w:sz w:val="20"/>
                <w:szCs w:val="20"/>
                <w:color w:val="auto"/>
              </w:rPr>
            </w:pPr>
            <w:r>
              <w:rPr>
                <w:rFonts w:ascii="Arial" w:cs="Arial" w:eastAsia="Arial" w:hAnsi="Arial"/>
                <w:sz w:val="11"/>
                <w:szCs w:val="11"/>
                <w:b w:val="1"/>
                <w:bCs w:val="1"/>
                <w:color w:val="052666"/>
              </w:rPr>
              <w:t>Name</w:t>
            </w:r>
          </w:p>
        </w:tc>
        <w:tc>
          <w:tcPr>
            <w:tcW w:w="120" w:type="dxa"/>
            <w:vAlign w:val="bottom"/>
            <w:tcBorders>
              <w:bottom w:val="single" w:sz="8" w:color="052666"/>
            </w:tcBorders>
          </w:tcPr>
          <w:p>
            <w:pPr>
              <w:spacing w:after="0"/>
              <w:rPr>
                <w:sz w:val="10"/>
                <w:szCs w:val="10"/>
                <w:color w:val="auto"/>
              </w:rPr>
            </w:pPr>
          </w:p>
        </w:tc>
        <w:tc>
          <w:tcPr>
            <w:tcW w:w="120" w:type="dxa"/>
            <w:vAlign w:val="bottom"/>
            <w:tcBorders>
              <w:bottom w:val="single" w:sz="8" w:color="052666"/>
            </w:tcBorders>
          </w:tcPr>
          <w:p>
            <w:pPr>
              <w:spacing w:after="0"/>
              <w:rPr>
                <w:sz w:val="10"/>
                <w:szCs w:val="10"/>
                <w:color w:val="auto"/>
              </w:rPr>
            </w:pPr>
          </w:p>
        </w:tc>
        <w:tc>
          <w:tcPr>
            <w:tcW w:w="800" w:type="dxa"/>
            <w:vAlign w:val="bottom"/>
            <w:tcBorders>
              <w:bottom w:val="single" w:sz="8" w:color="052666"/>
            </w:tcBorders>
          </w:tcPr>
          <w:p>
            <w:pPr>
              <w:jc w:val="center"/>
              <w:ind w:right="66"/>
              <w:spacing w:after="0" w:line="115" w:lineRule="exact"/>
              <w:rPr>
                <w:sz w:val="20"/>
                <w:szCs w:val="20"/>
                <w:color w:val="auto"/>
              </w:rPr>
            </w:pPr>
            <w:r>
              <w:rPr>
                <w:rFonts w:ascii="Arial" w:cs="Arial" w:eastAsia="Arial" w:hAnsi="Arial"/>
                <w:sz w:val="11"/>
                <w:szCs w:val="11"/>
                <w:b w:val="1"/>
                <w:bCs w:val="1"/>
                <w:color w:val="052666"/>
                <w:w w:val="98"/>
              </w:rPr>
              <w:t>Exercisable</w:t>
            </w:r>
          </w:p>
        </w:tc>
        <w:tc>
          <w:tcPr>
            <w:tcW w:w="120" w:type="dxa"/>
            <w:vAlign w:val="bottom"/>
            <w:tcBorders>
              <w:bottom w:val="single" w:sz="8" w:color="052666"/>
            </w:tcBorders>
          </w:tcPr>
          <w:p>
            <w:pPr>
              <w:spacing w:after="0"/>
              <w:rPr>
                <w:sz w:val="10"/>
                <w:szCs w:val="10"/>
                <w:color w:val="auto"/>
              </w:rPr>
            </w:pPr>
          </w:p>
        </w:tc>
        <w:tc>
          <w:tcPr>
            <w:tcW w:w="120" w:type="dxa"/>
            <w:vAlign w:val="bottom"/>
            <w:tcBorders>
              <w:bottom w:val="single" w:sz="8" w:color="052666"/>
            </w:tcBorders>
          </w:tcPr>
          <w:p>
            <w:pPr>
              <w:spacing w:after="0"/>
              <w:rPr>
                <w:sz w:val="10"/>
                <w:szCs w:val="10"/>
                <w:color w:val="auto"/>
              </w:rPr>
            </w:pPr>
          </w:p>
        </w:tc>
        <w:tc>
          <w:tcPr>
            <w:tcW w:w="920" w:type="dxa"/>
            <w:vAlign w:val="bottom"/>
            <w:tcBorders>
              <w:bottom w:val="single" w:sz="8" w:color="052666"/>
            </w:tcBorders>
            <w:gridSpan w:val="2"/>
          </w:tcPr>
          <w:p>
            <w:pPr>
              <w:jc w:val="center"/>
              <w:spacing w:after="0" w:line="115" w:lineRule="exact"/>
              <w:rPr>
                <w:sz w:val="20"/>
                <w:szCs w:val="20"/>
                <w:color w:val="auto"/>
              </w:rPr>
            </w:pPr>
            <w:r>
              <w:rPr>
                <w:rFonts w:ascii="Arial" w:cs="Arial" w:eastAsia="Arial" w:hAnsi="Arial"/>
                <w:sz w:val="11"/>
                <w:szCs w:val="11"/>
                <w:b w:val="1"/>
                <w:bCs w:val="1"/>
                <w:color w:val="052666"/>
                <w:w w:val="99"/>
              </w:rPr>
              <w:t>Unexercisable</w:t>
            </w:r>
          </w:p>
        </w:tc>
        <w:tc>
          <w:tcPr>
            <w:tcW w:w="120" w:type="dxa"/>
            <w:vAlign w:val="bottom"/>
            <w:tcBorders>
              <w:bottom w:val="single" w:sz="8" w:color="052666"/>
            </w:tcBorders>
          </w:tcPr>
          <w:p>
            <w:pPr>
              <w:spacing w:after="0"/>
              <w:rPr>
                <w:sz w:val="10"/>
                <w:szCs w:val="10"/>
                <w:color w:val="auto"/>
              </w:rPr>
            </w:pPr>
          </w:p>
        </w:tc>
        <w:tc>
          <w:tcPr>
            <w:tcW w:w="1180" w:type="dxa"/>
            <w:vAlign w:val="bottom"/>
            <w:tcBorders>
              <w:bottom w:val="single" w:sz="8" w:color="052666"/>
            </w:tcBorders>
          </w:tcPr>
          <w:p>
            <w:pPr>
              <w:jc w:val="center"/>
              <w:spacing w:after="0" w:line="115" w:lineRule="exact"/>
              <w:rPr>
                <w:sz w:val="20"/>
                <w:szCs w:val="20"/>
                <w:color w:val="auto"/>
              </w:rPr>
            </w:pPr>
            <w:r>
              <w:rPr>
                <w:rFonts w:ascii="Arial" w:cs="Arial" w:eastAsia="Arial" w:hAnsi="Arial"/>
                <w:sz w:val="11"/>
                <w:szCs w:val="11"/>
                <w:b w:val="1"/>
                <w:bCs w:val="1"/>
                <w:color w:val="052666"/>
              </w:rPr>
              <w:t>(#)</w:t>
            </w:r>
          </w:p>
        </w:tc>
        <w:tc>
          <w:tcPr>
            <w:tcW w:w="200" w:type="dxa"/>
            <w:vAlign w:val="bottom"/>
            <w:tcBorders>
              <w:bottom w:val="single" w:sz="8" w:color="052666"/>
            </w:tcBorders>
          </w:tcPr>
          <w:p>
            <w:pPr>
              <w:spacing w:after="0"/>
              <w:rPr>
                <w:sz w:val="10"/>
                <w:szCs w:val="10"/>
                <w:color w:val="auto"/>
              </w:rPr>
            </w:pPr>
          </w:p>
        </w:tc>
        <w:tc>
          <w:tcPr>
            <w:tcW w:w="600" w:type="dxa"/>
            <w:vAlign w:val="bottom"/>
            <w:tcBorders>
              <w:bottom w:val="single" w:sz="8" w:color="052666"/>
            </w:tcBorders>
          </w:tcPr>
          <w:p>
            <w:pPr>
              <w:ind w:left="120"/>
              <w:spacing w:after="0" w:line="115" w:lineRule="exact"/>
              <w:rPr>
                <w:sz w:val="20"/>
                <w:szCs w:val="20"/>
                <w:color w:val="auto"/>
              </w:rPr>
            </w:pPr>
            <w:r>
              <w:rPr>
                <w:rFonts w:ascii="Arial" w:cs="Arial" w:eastAsia="Arial" w:hAnsi="Arial"/>
                <w:sz w:val="11"/>
                <w:szCs w:val="11"/>
                <w:b w:val="1"/>
                <w:bCs w:val="1"/>
                <w:color w:val="052666"/>
              </w:rPr>
              <w:t>($)</w:t>
            </w:r>
          </w:p>
        </w:tc>
        <w:tc>
          <w:tcPr>
            <w:tcW w:w="740" w:type="dxa"/>
            <w:vAlign w:val="bottom"/>
            <w:tcBorders>
              <w:bottom w:val="single" w:sz="8" w:color="052666"/>
            </w:tcBorders>
          </w:tcPr>
          <w:p>
            <w:pPr>
              <w:spacing w:after="0"/>
              <w:rPr>
                <w:sz w:val="10"/>
                <w:szCs w:val="10"/>
                <w:color w:val="auto"/>
              </w:rPr>
            </w:pPr>
          </w:p>
        </w:tc>
        <w:tc>
          <w:tcPr>
            <w:tcW w:w="1100" w:type="dxa"/>
            <w:vAlign w:val="bottom"/>
            <w:tcBorders>
              <w:bottom w:val="single" w:sz="8" w:color="052666"/>
            </w:tcBorders>
            <w:gridSpan w:val="2"/>
          </w:tcPr>
          <w:p>
            <w:pPr>
              <w:jc w:val="center"/>
              <w:spacing w:after="0" w:line="115" w:lineRule="exact"/>
              <w:rPr>
                <w:sz w:val="20"/>
                <w:szCs w:val="20"/>
                <w:color w:val="auto"/>
              </w:rPr>
            </w:pPr>
            <w:r>
              <w:rPr>
                <w:rFonts w:ascii="Arial" w:cs="Arial" w:eastAsia="Arial" w:hAnsi="Arial"/>
                <w:sz w:val="11"/>
                <w:szCs w:val="11"/>
                <w:b w:val="1"/>
                <w:bCs w:val="1"/>
                <w:color w:val="052666"/>
              </w:rPr>
              <w:t>(#)</w:t>
            </w:r>
          </w:p>
        </w:tc>
        <w:tc>
          <w:tcPr>
            <w:tcW w:w="260" w:type="dxa"/>
            <w:vAlign w:val="bottom"/>
            <w:tcBorders>
              <w:bottom w:val="single" w:sz="8" w:color="052666"/>
            </w:tcBorders>
          </w:tcPr>
          <w:p>
            <w:pPr>
              <w:spacing w:after="0"/>
              <w:rPr>
                <w:sz w:val="10"/>
                <w:szCs w:val="10"/>
                <w:color w:val="auto"/>
              </w:rPr>
            </w:pPr>
          </w:p>
        </w:tc>
        <w:tc>
          <w:tcPr>
            <w:tcW w:w="1080" w:type="dxa"/>
            <w:vAlign w:val="bottom"/>
            <w:tcBorders>
              <w:bottom w:val="single" w:sz="8" w:color="052666"/>
            </w:tcBorders>
          </w:tcPr>
          <w:p>
            <w:pPr>
              <w:jc w:val="center"/>
              <w:ind w:right="326"/>
              <w:spacing w:after="0" w:line="115" w:lineRule="exact"/>
              <w:rPr>
                <w:sz w:val="20"/>
                <w:szCs w:val="20"/>
                <w:color w:val="auto"/>
              </w:rPr>
            </w:pPr>
            <w:r>
              <w:rPr>
                <w:rFonts w:ascii="Arial" w:cs="Arial" w:eastAsia="Arial" w:hAnsi="Arial"/>
                <w:sz w:val="11"/>
                <w:szCs w:val="11"/>
                <w:b w:val="1"/>
                <w:bCs w:val="1"/>
                <w:color w:val="052666"/>
              </w:rPr>
              <w:t>($)</w:t>
            </w:r>
          </w:p>
        </w:tc>
        <w:tc>
          <w:tcPr>
            <w:tcW w:w="1040" w:type="dxa"/>
            <w:vAlign w:val="bottom"/>
            <w:tcBorders>
              <w:bottom w:val="single" w:sz="8" w:color="052666"/>
            </w:tcBorders>
          </w:tcPr>
          <w:p>
            <w:pPr>
              <w:jc w:val="center"/>
              <w:ind w:right="6"/>
              <w:spacing w:after="0" w:line="115" w:lineRule="exact"/>
              <w:rPr>
                <w:sz w:val="20"/>
                <w:szCs w:val="20"/>
                <w:color w:val="auto"/>
              </w:rPr>
            </w:pPr>
            <w:r>
              <w:rPr>
                <w:rFonts w:ascii="Arial" w:cs="Arial" w:eastAsia="Arial" w:hAnsi="Arial"/>
                <w:sz w:val="11"/>
                <w:szCs w:val="11"/>
                <w:b w:val="1"/>
                <w:bCs w:val="1"/>
                <w:color w:val="052666"/>
              </w:rPr>
              <w:t>(#)</w:t>
            </w:r>
          </w:p>
        </w:tc>
        <w:tc>
          <w:tcPr>
            <w:tcW w:w="380" w:type="dxa"/>
            <w:vAlign w:val="bottom"/>
            <w:tcBorders>
              <w:bottom w:val="single" w:sz="8" w:color="052666"/>
            </w:tcBorders>
          </w:tcPr>
          <w:p>
            <w:pPr>
              <w:spacing w:after="0"/>
              <w:rPr>
                <w:sz w:val="10"/>
                <w:szCs w:val="10"/>
                <w:color w:val="auto"/>
              </w:rPr>
            </w:pPr>
          </w:p>
        </w:tc>
        <w:tc>
          <w:tcPr>
            <w:tcW w:w="980" w:type="dxa"/>
            <w:vAlign w:val="bottom"/>
            <w:tcBorders>
              <w:bottom w:val="single" w:sz="8" w:color="052666"/>
            </w:tcBorders>
          </w:tcPr>
          <w:p>
            <w:pPr>
              <w:jc w:val="center"/>
              <w:ind w:right="166"/>
              <w:spacing w:after="0" w:line="115" w:lineRule="exact"/>
              <w:rPr>
                <w:sz w:val="20"/>
                <w:szCs w:val="20"/>
                <w:color w:val="auto"/>
              </w:rPr>
            </w:pPr>
            <w:r>
              <w:rPr>
                <w:rFonts w:ascii="Arial" w:cs="Arial" w:eastAsia="Arial" w:hAnsi="Arial"/>
                <w:sz w:val="11"/>
                <w:szCs w:val="11"/>
                <w:b w:val="1"/>
                <w:bCs w:val="1"/>
                <w:color w:val="052666"/>
                <w:w w:val="96"/>
              </w:rPr>
              <w:t>($) (4.)</w:t>
            </w:r>
          </w:p>
        </w:tc>
        <w:tc>
          <w:tcPr>
            <w:tcW w:w="0" w:type="dxa"/>
            <w:vAlign w:val="bottom"/>
          </w:tcPr>
          <w:p>
            <w:pPr>
              <w:spacing w:after="0"/>
              <w:rPr>
                <w:sz w:val="1"/>
                <w:szCs w:val="1"/>
                <w:color w:val="auto"/>
              </w:rPr>
            </w:pPr>
          </w:p>
        </w:tc>
      </w:tr>
      <w:tr>
        <w:trPr>
          <w:trHeight w:val="142"/>
        </w:trPr>
        <w:tc>
          <w:tcPr>
            <w:tcW w:w="1360" w:type="dxa"/>
            <w:vAlign w:val="bottom"/>
            <w:shd w:val="clear" w:color="auto" w:fill="EDEDED"/>
          </w:tcPr>
          <w:p>
            <w:pPr>
              <w:ind w:left="20"/>
              <w:spacing w:after="0"/>
              <w:rPr>
                <w:sz w:val="20"/>
                <w:szCs w:val="20"/>
                <w:color w:val="auto"/>
              </w:rPr>
            </w:pPr>
            <w:r>
              <w:rPr>
                <w:rFonts w:ascii="Arial" w:cs="Arial" w:eastAsia="Arial" w:hAnsi="Arial"/>
                <w:sz w:val="11"/>
                <w:szCs w:val="11"/>
                <w:color w:val="auto"/>
              </w:rPr>
              <w:t>Marc D. Miller</w:t>
            </w:r>
          </w:p>
        </w:tc>
        <w:tc>
          <w:tcPr>
            <w:tcW w:w="120" w:type="dxa"/>
            <w:vAlign w:val="bottom"/>
            <w:shd w:val="clear" w:color="auto" w:fill="EDEDED"/>
          </w:tcPr>
          <w:p>
            <w:pPr>
              <w:spacing w:after="0"/>
              <w:rPr>
                <w:sz w:val="12"/>
                <w:szCs w:val="12"/>
                <w:color w:val="auto"/>
              </w:rPr>
            </w:pPr>
          </w:p>
        </w:tc>
        <w:tc>
          <w:tcPr>
            <w:tcW w:w="120" w:type="dxa"/>
            <w:vAlign w:val="bottom"/>
            <w:shd w:val="clear" w:color="auto" w:fill="EDEDED"/>
          </w:tcPr>
          <w:p>
            <w:pPr>
              <w:spacing w:after="0"/>
              <w:rPr>
                <w:sz w:val="12"/>
                <w:szCs w:val="12"/>
                <w:color w:val="auto"/>
              </w:rPr>
            </w:pPr>
          </w:p>
        </w:tc>
        <w:tc>
          <w:tcPr>
            <w:tcW w:w="800" w:type="dxa"/>
            <w:vAlign w:val="bottom"/>
            <w:shd w:val="clear" w:color="auto" w:fill="EDEDED"/>
          </w:tcPr>
          <w:p>
            <w:pPr>
              <w:spacing w:after="0"/>
              <w:rPr>
                <w:sz w:val="12"/>
                <w:szCs w:val="12"/>
                <w:color w:val="auto"/>
              </w:rPr>
            </w:pPr>
          </w:p>
        </w:tc>
        <w:tc>
          <w:tcPr>
            <w:tcW w:w="120" w:type="dxa"/>
            <w:vAlign w:val="bottom"/>
            <w:shd w:val="clear" w:color="auto" w:fill="EDEDED"/>
          </w:tcPr>
          <w:p>
            <w:pPr>
              <w:spacing w:after="0"/>
              <w:rPr>
                <w:sz w:val="12"/>
                <w:szCs w:val="12"/>
                <w:color w:val="auto"/>
              </w:rPr>
            </w:pPr>
          </w:p>
        </w:tc>
        <w:tc>
          <w:tcPr>
            <w:tcW w:w="120" w:type="dxa"/>
            <w:vAlign w:val="bottom"/>
            <w:shd w:val="clear" w:color="auto" w:fill="EDEDED"/>
          </w:tcPr>
          <w:p>
            <w:pPr>
              <w:spacing w:after="0"/>
              <w:rPr>
                <w:sz w:val="12"/>
                <w:szCs w:val="12"/>
                <w:color w:val="auto"/>
              </w:rPr>
            </w:pPr>
          </w:p>
        </w:tc>
        <w:tc>
          <w:tcPr>
            <w:tcW w:w="120" w:type="dxa"/>
            <w:vAlign w:val="bottom"/>
            <w:shd w:val="clear" w:color="auto" w:fill="EDEDED"/>
          </w:tcPr>
          <w:p>
            <w:pPr>
              <w:spacing w:after="0"/>
              <w:rPr>
                <w:sz w:val="12"/>
                <w:szCs w:val="12"/>
                <w:color w:val="auto"/>
              </w:rPr>
            </w:pPr>
          </w:p>
        </w:tc>
        <w:tc>
          <w:tcPr>
            <w:tcW w:w="800" w:type="dxa"/>
            <w:vAlign w:val="bottom"/>
            <w:shd w:val="clear" w:color="auto" w:fill="EDEDED"/>
          </w:tcPr>
          <w:p>
            <w:pPr>
              <w:spacing w:after="0"/>
              <w:rPr>
                <w:sz w:val="12"/>
                <w:szCs w:val="12"/>
                <w:color w:val="auto"/>
              </w:rPr>
            </w:pPr>
          </w:p>
        </w:tc>
        <w:tc>
          <w:tcPr>
            <w:tcW w:w="120" w:type="dxa"/>
            <w:vAlign w:val="bottom"/>
            <w:shd w:val="clear" w:color="auto" w:fill="EDEDED"/>
          </w:tcPr>
          <w:p>
            <w:pPr>
              <w:spacing w:after="0"/>
              <w:rPr>
                <w:sz w:val="12"/>
                <w:szCs w:val="12"/>
                <w:color w:val="auto"/>
              </w:rPr>
            </w:pPr>
          </w:p>
        </w:tc>
        <w:tc>
          <w:tcPr>
            <w:tcW w:w="1180" w:type="dxa"/>
            <w:vAlign w:val="bottom"/>
            <w:shd w:val="clear" w:color="auto" w:fill="EDEDED"/>
          </w:tcPr>
          <w:p>
            <w:pPr>
              <w:spacing w:after="0"/>
              <w:rPr>
                <w:sz w:val="12"/>
                <w:szCs w:val="12"/>
                <w:color w:val="auto"/>
              </w:rPr>
            </w:pPr>
          </w:p>
        </w:tc>
        <w:tc>
          <w:tcPr>
            <w:tcW w:w="200" w:type="dxa"/>
            <w:vAlign w:val="bottom"/>
            <w:shd w:val="clear" w:color="auto" w:fill="EDEDED"/>
          </w:tcPr>
          <w:p>
            <w:pPr>
              <w:spacing w:after="0"/>
              <w:rPr>
                <w:sz w:val="12"/>
                <w:szCs w:val="12"/>
                <w:color w:val="auto"/>
              </w:rPr>
            </w:pPr>
          </w:p>
        </w:tc>
        <w:tc>
          <w:tcPr>
            <w:tcW w:w="60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c>
          <w:tcPr>
            <w:tcW w:w="1100" w:type="dxa"/>
            <w:vAlign w:val="bottom"/>
            <w:gridSpan w:val="2"/>
            <w:shd w:val="clear" w:color="auto" w:fill="EDEDED"/>
          </w:tcPr>
          <w:p>
            <w:pPr>
              <w:jc w:val="right"/>
              <w:ind w:right="46"/>
              <w:spacing w:after="0"/>
              <w:rPr>
                <w:sz w:val="20"/>
                <w:szCs w:val="20"/>
                <w:color w:val="auto"/>
              </w:rPr>
            </w:pPr>
            <w:r>
              <w:rPr>
                <w:rFonts w:ascii="Arial" w:cs="Arial" w:eastAsia="Arial" w:hAnsi="Arial"/>
                <w:sz w:val="11"/>
                <w:szCs w:val="11"/>
                <w:color w:val="auto"/>
              </w:rPr>
              <w:t>17,066</w:t>
            </w:r>
          </w:p>
        </w:tc>
        <w:tc>
          <w:tcPr>
            <w:tcW w:w="26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3,720,729</w:t>
            </w:r>
          </w:p>
        </w:tc>
        <w:tc>
          <w:tcPr>
            <w:tcW w:w="104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63,036</w:t>
            </w:r>
          </w:p>
        </w:tc>
        <w:tc>
          <w:tcPr>
            <w:tcW w:w="3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(5.) $</w:t>
            </w:r>
          </w:p>
        </w:tc>
        <w:tc>
          <w:tcPr>
            <w:tcW w:w="98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13,743,109</w:t>
            </w:r>
          </w:p>
        </w:tc>
        <w:tc>
          <w:tcPr>
            <w:tcW w:w="0" w:type="dxa"/>
            <w:vAlign w:val="bottom"/>
          </w:tcPr>
          <w:p>
            <w:pPr>
              <w:spacing w:after="0"/>
              <w:rPr>
                <w:sz w:val="1"/>
                <w:szCs w:val="1"/>
                <w:color w:val="auto"/>
              </w:rPr>
            </w:pPr>
          </w:p>
        </w:tc>
      </w:tr>
      <w:tr>
        <w:trPr>
          <w:trHeight w:val="121"/>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spacing w:after="0"/>
              <w:rPr>
                <w:sz w:val="10"/>
                <w:szCs w:val="10"/>
                <w:color w:val="auto"/>
              </w:rPr>
            </w:pPr>
          </w:p>
        </w:tc>
        <w:tc>
          <w:tcPr>
            <w:tcW w:w="20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1100" w:type="dxa"/>
            <w:vAlign w:val="bottom"/>
            <w:gridSpan w:val="2"/>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28,077</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6,121,348</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28,446</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6,201,797</w:t>
            </w:r>
          </w:p>
        </w:tc>
        <w:tc>
          <w:tcPr>
            <w:tcW w:w="0" w:type="dxa"/>
            <w:vAlign w:val="bottom"/>
          </w:tcPr>
          <w:p>
            <w:pPr>
              <w:spacing w:after="0"/>
              <w:rPr>
                <w:sz w:val="1"/>
                <w:szCs w:val="1"/>
                <w:color w:val="auto"/>
              </w:rPr>
            </w:pPr>
          </w:p>
        </w:tc>
      </w:tr>
      <w:tr>
        <w:trPr>
          <w:trHeight w:val="122"/>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spacing w:after="0"/>
              <w:rPr>
                <w:sz w:val="10"/>
                <w:szCs w:val="10"/>
                <w:color w:val="auto"/>
              </w:rPr>
            </w:pPr>
          </w:p>
        </w:tc>
        <w:tc>
          <w:tcPr>
            <w:tcW w:w="20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28,077</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6,121,348</w:t>
            </w:r>
          </w:p>
        </w:tc>
        <w:tc>
          <w:tcPr>
            <w:tcW w:w="0" w:type="dxa"/>
            <w:vAlign w:val="bottom"/>
          </w:tcPr>
          <w:p>
            <w:pPr>
              <w:spacing w:after="0"/>
              <w:rPr>
                <w:sz w:val="1"/>
                <w:szCs w:val="1"/>
                <w:color w:val="auto"/>
              </w:rPr>
            </w:pPr>
          </w:p>
        </w:tc>
      </w:tr>
      <w:tr>
        <w:trPr>
          <w:trHeight w:val="122"/>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50,000</w:t>
            </w: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EDEDED"/>
          </w:tcPr>
          <w:p>
            <w:pPr>
              <w:ind w:left="120"/>
              <w:spacing w:after="0" w:line="122" w:lineRule="exact"/>
              <w:rPr>
                <w:sz w:val="20"/>
                <w:szCs w:val="20"/>
                <w:color w:val="auto"/>
              </w:rPr>
            </w:pPr>
            <w:r>
              <w:rPr>
                <w:rFonts w:ascii="Arial" w:cs="Arial" w:eastAsia="Arial" w:hAnsi="Arial"/>
                <w:sz w:val="11"/>
                <w:szCs w:val="11"/>
                <w:color w:val="auto"/>
              </w:rPr>
              <w:t>138.80</w:t>
            </w:r>
          </w:p>
        </w:tc>
        <w:tc>
          <w:tcPr>
            <w:tcW w:w="74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03/16/2026</w:t>
            </w: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50,425</w:t>
            </w: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EDEDED"/>
          </w:tcPr>
          <w:p>
            <w:pPr>
              <w:ind w:left="120"/>
              <w:spacing w:after="0" w:line="122" w:lineRule="exact"/>
              <w:rPr>
                <w:sz w:val="20"/>
                <w:szCs w:val="20"/>
                <w:color w:val="auto"/>
              </w:rPr>
            </w:pPr>
            <w:r>
              <w:rPr>
                <w:rFonts w:ascii="Arial" w:cs="Arial" w:eastAsia="Arial" w:hAnsi="Arial"/>
                <w:sz w:val="11"/>
                <w:szCs w:val="11"/>
                <w:color w:val="auto"/>
              </w:rPr>
              <w:t>152.68</w:t>
            </w:r>
          </w:p>
        </w:tc>
        <w:tc>
          <w:tcPr>
            <w:tcW w:w="74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03/16/2026</w:t>
            </w: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78,001</w:t>
            </w: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26,000</w:t>
            </w: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EDEDED"/>
          </w:tcPr>
          <w:p>
            <w:pPr>
              <w:ind w:left="120"/>
              <w:spacing w:after="0" w:line="122" w:lineRule="exact"/>
              <w:rPr>
                <w:sz w:val="20"/>
                <w:szCs w:val="20"/>
                <w:color w:val="auto"/>
              </w:rPr>
            </w:pPr>
            <w:r>
              <w:rPr>
                <w:rFonts w:ascii="Arial" w:cs="Arial" w:eastAsia="Arial" w:hAnsi="Arial"/>
                <w:sz w:val="11"/>
                <w:szCs w:val="11"/>
                <w:color w:val="auto"/>
              </w:rPr>
              <w:t>143.81</w:t>
            </w:r>
          </w:p>
        </w:tc>
        <w:tc>
          <w:tcPr>
            <w:tcW w:w="74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03/22/2027</w:t>
            </w: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136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59,612</w:t>
            </w:r>
          </w:p>
        </w:tc>
        <w:tc>
          <w:tcPr>
            <w:tcW w:w="12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59,611</w:t>
            </w:r>
          </w:p>
        </w:tc>
        <w:tc>
          <w:tcPr>
            <w:tcW w:w="120" w:type="dxa"/>
            <w:vAlign w:val="bottom"/>
            <w:shd w:val="clear" w:color="auto" w:fill="EDEDED"/>
          </w:tcPr>
          <w:p>
            <w:pPr>
              <w:spacing w:after="0"/>
              <w:rPr>
                <w:sz w:val="11"/>
                <w:szCs w:val="11"/>
                <w:color w:val="auto"/>
              </w:rPr>
            </w:pPr>
          </w:p>
        </w:tc>
        <w:tc>
          <w:tcPr>
            <w:tcW w:w="1180" w:type="dxa"/>
            <w:vAlign w:val="bottom"/>
            <w:shd w:val="clear" w:color="auto" w:fill="EDEDED"/>
          </w:tcPr>
          <w:p>
            <w:pPr>
              <w:ind w:left="940"/>
              <w:spacing w:after="0"/>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DEDED"/>
          </w:tcPr>
          <w:p>
            <w:pPr>
              <w:ind w:left="120"/>
              <w:spacing w:after="0"/>
              <w:rPr>
                <w:sz w:val="20"/>
                <w:szCs w:val="20"/>
                <w:color w:val="auto"/>
              </w:rPr>
            </w:pPr>
            <w:r>
              <w:rPr>
                <w:rFonts w:ascii="Arial" w:cs="Arial" w:eastAsia="Arial" w:hAnsi="Arial"/>
                <w:sz w:val="11"/>
                <w:szCs w:val="11"/>
                <w:color w:val="auto"/>
              </w:rPr>
              <w:t>117.65</w:t>
            </w:r>
          </w:p>
        </w:tc>
        <w:tc>
          <w:tcPr>
            <w:tcW w:w="7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03/14/2028</w:t>
            </w:r>
          </w:p>
        </w:tc>
        <w:tc>
          <w:tcPr>
            <w:tcW w:w="12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1"/>
                <w:szCs w:val="11"/>
                <w:color w:val="auto"/>
              </w:rPr>
            </w:pPr>
          </w:p>
        </w:tc>
        <w:tc>
          <w:tcPr>
            <w:tcW w:w="108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38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60" w:type="dxa"/>
            <w:vAlign w:val="bottom"/>
          </w:tcPr>
          <w:p>
            <w:pPr>
              <w:ind w:left="20"/>
              <w:spacing w:after="0" w:line="109" w:lineRule="exact"/>
              <w:rPr>
                <w:sz w:val="20"/>
                <w:szCs w:val="20"/>
                <w:color w:val="auto"/>
              </w:rPr>
            </w:pPr>
            <w:r>
              <w:rPr>
                <w:rFonts w:ascii="Arial" w:cs="Arial" w:eastAsia="Arial" w:hAnsi="Arial"/>
                <w:sz w:val="11"/>
                <w:szCs w:val="11"/>
                <w:color w:val="auto"/>
              </w:rPr>
              <w:t>Alan B. Miller</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gridSpan w:val="2"/>
          </w:tcPr>
          <w:p>
            <w:pPr>
              <w:jc w:val="right"/>
              <w:ind w:right="46"/>
              <w:spacing w:after="0" w:line="109" w:lineRule="exact"/>
              <w:rPr>
                <w:sz w:val="20"/>
                <w:szCs w:val="20"/>
                <w:color w:val="auto"/>
              </w:rPr>
            </w:pPr>
            <w:r>
              <w:rPr>
                <w:rFonts w:ascii="Arial" w:cs="Arial" w:eastAsia="Arial" w:hAnsi="Arial"/>
                <w:sz w:val="11"/>
                <w:szCs w:val="11"/>
                <w:color w:val="auto"/>
              </w:rPr>
              <w:t>8,974</w:t>
            </w:r>
          </w:p>
        </w:tc>
        <w:tc>
          <w:tcPr>
            <w:tcW w:w="260" w:type="dxa"/>
            <w:vAlign w:val="bottom"/>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186"/>
              <w:spacing w:after="0" w:line="109" w:lineRule="exact"/>
              <w:rPr>
                <w:sz w:val="20"/>
                <w:szCs w:val="20"/>
                <w:color w:val="auto"/>
              </w:rPr>
            </w:pPr>
            <w:r>
              <w:rPr>
                <w:rFonts w:ascii="Arial" w:cs="Arial" w:eastAsia="Arial" w:hAnsi="Arial"/>
                <w:sz w:val="11"/>
                <w:szCs w:val="11"/>
                <w:color w:val="auto"/>
              </w:rPr>
              <w:t>1,956,511</w:t>
            </w:r>
          </w:p>
        </w:tc>
        <w:tc>
          <w:tcPr>
            <w:tcW w:w="1040" w:type="dxa"/>
            <w:vAlign w:val="bottom"/>
          </w:tcPr>
          <w:p>
            <w:pPr>
              <w:jc w:val="right"/>
              <w:ind w:right="6"/>
              <w:spacing w:after="0" w:line="109" w:lineRule="exact"/>
              <w:rPr>
                <w:sz w:val="20"/>
                <w:szCs w:val="20"/>
                <w:color w:val="auto"/>
              </w:rPr>
            </w:pPr>
            <w:r>
              <w:rPr>
                <w:rFonts w:ascii="Arial" w:cs="Arial" w:eastAsia="Arial" w:hAnsi="Arial"/>
                <w:sz w:val="11"/>
                <w:szCs w:val="11"/>
                <w:color w:val="auto"/>
              </w:rPr>
              <w:t>33,149</w:t>
            </w:r>
          </w:p>
        </w:tc>
        <w:tc>
          <w:tcPr>
            <w:tcW w:w="380" w:type="dxa"/>
            <w:vAlign w:val="bottom"/>
          </w:tcPr>
          <w:p>
            <w:pPr>
              <w:jc w:val="right"/>
              <w:spacing w:after="0" w:line="109" w:lineRule="exact"/>
              <w:rPr>
                <w:sz w:val="20"/>
                <w:szCs w:val="20"/>
                <w:color w:val="auto"/>
              </w:rPr>
            </w:pPr>
            <w:r>
              <w:rPr>
                <w:rFonts w:ascii="Arial" w:cs="Arial" w:eastAsia="Arial" w:hAnsi="Arial"/>
                <w:sz w:val="11"/>
                <w:szCs w:val="11"/>
                <w:color w:val="auto"/>
              </w:rPr>
              <w:t>(5.) $</w:t>
            </w:r>
          </w:p>
        </w:tc>
        <w:tc>
          <w:tcPr>
            <w:tcW w:w="980" w:type="dxa"/>
            <w:vAlign w:val="bottom"/>
          </w:tcPr>
          <w:p>
            <w:pPr>
              <w:jc w:val="right"/>
              <w:ind w:right="66"/>
              <w:spacing w:after="0" w:line="109" w:lineRule="exact"/>
              <w:rPr>
                <w:sz w:val="20"/>
                <w:szCs w:val="20"/>
                <w:color w:val="auto"/>
              </w:rPr>
            </w:pPr>
            <w:r>
              <w:rPr>
                <w:rFonts w:ascii="Arial" w:cs="Arial" w:eastAsia="Arial" w:hAnsi="Arial"/>
                <w:sz w:val="11"/>
                <w:szCs w:val="11"/>
                <w:color w:val="auto"/>
              </w:rPr>
              <w:t>7,227,036</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14,213</w:t>
            </w:r>
          </w:p>
        </w:tc>
        <w:tc>
          <w:tcPr>
            <w:tcW w:w="260" w:type="dxa"/>
            <w:vAlign w:val="bottom"/>
          </w:tcPr>
          <w:p>
            <w:pPr>
              <w:spacing w:after="0"/>
              <w:rPr>
                <w:sz w:val="10"/>
                <w:szCs w:val="10"/>
                <w:color w:val="auto"/>
              </w:rPr>
            </w:pPr>
          </w:p>
        </w:tc>
        <w:tc>
          <w:tcPr>
            <w:tcW w:w="10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3,098,718</w:t>
            </w:r>
          </w:p>
        </w:tc>
        <w:tc>
          <w:tcPr>
            <w:tcW w:w="10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14,959</w:t>
            </w:r>
          </w:p>
        </w:tc>
        <w:tc>
          <w:tcPr>
            <w:tcW w:w="38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3,261,361</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0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14,213</w:t>
            </w:r>
          </w:p>
        </w:tc>
        <w:tc>
          <w:tcPr>
            <w:tcW w:w="38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3,098,718</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0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62,500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180" w:type="dxa"/>
            <w:vAlign w:val="bottom"/>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138.80</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03/16/2026</w:t>
            </w:r>
          </w:p>
        </w:tc>
        <w:tc>
          <w:tcPr>
            <w:tcW w:w="120" w:type="dxa"/>
            <w:vAlign w:val="bottom"/>
          </w:tcPr>
          <w:p>
            <w:pPr>
              <w:spacing w:after="0"/>
              <w:rPr>
                <w:sz w:val="10"/>
                <w:szCs w:val="10"/>
                <w:color w:val="auto"/>
              </w:rPr>
            </w:pPr>
          </w:p>
        </w:tc>
        <w:tc>
          <w:tcPr>
            <w:tcW w:w="9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0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0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70,212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180" w:type="dxa"/>
            <w:vAlign w:val="bottom"/>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152.68</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03/16/2026</w:t>
            </w:r>
          </w:p>
        </w:tc>
        <w:tc>
          <w:tcPr>
            <w:tcW w:w="120" w:type="dxa"/>
            <w:vAlign w:val="bottom"/>
          </w:tcPr>
          <w:p>
            <w:pPr>
              <w:spacing w:after="0"/>
              <w:rPr>
                <w:sz w:val="10"/>
                <w:szCs w:val="10"/>
                <w:color w:val="auto"/>
              </w:rPr>
            </w:pPr>
          </w:p>
        </w:tc>
        <w:tc>
          <w:tcPr>
            <w:tcW w:w="9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0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0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41,018</w:t>
            </w:r>
          </w:p>
        </w:tc>
        <w:tc>
          <w:tcPr>
            <w:tcW w:w="116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13,673</w:t>
            </w:r>
          </w:p>
        </w:tc>
        <w:tc>
          <w:tcPr>
            <w:tcW w:w="120" w:type="dxa"/>
            <w:vAlign w:val="bottom"/>
          </w:tcPr>
          <w:p>
            <w:pPr>
              <w:spacing w:after="0"/>
              <w:rPr>
                <w:sz w:val="10"/>
                <w:szCs w:val="10"/>
                <w:color w:val="auto"/>
              </w:rPr>
            </w:pPr>
          </w:p>
        </w:tc>
        <w:tc>
          <w:tcPr>
            <w:tcW w:w="1180" w:type="dxa"/>
            <w:vAlign w:val="bottom"/>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ind w:left="120"/>
              <w:spacing w:after="0" w:line="122" w:lineRule="exact"/>
              <w:rPr>
                <w:sz w:val="20"/>
                <w:szCs w:val="20"/>
                <w:color w:val="auto"/>
              </w:rPr>
            </w:pPr>
            <w:r>
              <w:rPr>
                <w:rFonts w:ascii="Arial" w:cs="Arial" w:eastAsia="Arial" w:hAnsi="Arial"/>
                <w:sz w:val="11"/>
                <w:szCs w:val="11"/>
                <w:color w:val="auto"/>
              </w:rPr>
              <w:t>143.81</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03/22/2027</w:t>
            </w:r>
          </w:p>
        </w:tc>
        <w:tc>
          <w:tcPr>
            <w:tcW w:w="120" w:type="dxa"/>
            <w:vAlign w:val="bottom"/>
          </w:tcPr>
          <w:p>
            <w:pPr>
              <w:spacing w:after="0"/>
              <w:rPr>
                <w:sz w:val="10"/>
                <w:szCs w:val="10"/>
                <w:color w:val="auto"/>
              </w:rPr>
            </w:pPr>
          </w:p>
        </w:tc>
        <w:tc>
          <w:tcPr>
            <w:tcW w:w="9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0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31,348</w:t>
            </w:r>
          </w:p>
        </w:tc>
        <w:tc>
          <w:tcPr>
            <w:tcW w:w="1160" w:type="dxa"/>
            <w:vAlign w:val="bottom"/>
            <w:gridSpan w:val="4"/>
          </w:tcPr>
          <w:p>
            <w:pPr>
              <w:jc w:val="right"/>
              <w:spacing w:after="0"/>
              <w:rPr>
                <w:sz w:val="20"/>
                <w:szCs w:val="20"/>
                <w:color w:val="auto"/>
              </w:rPr>
            </w:pPr>
            <w:r>
              <w:rPr>
                <w:rFonts w:ascii="Arial" w:cs="Arial" w:eastAsia="Arial" w:hAnsi="Arial"/>
                <w:sz w:val="11"/>
                <w:szCs w:val="11"/>
                <w:color w:val="auto"/>
              </w:rPr>
              <w:t>31,348</w:t>
            </w:r>
          </w:p>
        </w:tc>
        <w:tc>
          <w:tcPr>
            <w:tcW w:w="120" w:type="dxa"/>
            <w:vAlign w:val="bottom"/>
          </w:tcPr>
          <w:p>
            <w:pPr>
              <w:spacing w:after="0"/>
              <w:rPr>
                <w:sz w:val="11"/>
                <w:szCs w:val="11"/>
                <w:color w:val="auto"/>
              </w:rPr>
            </w:pPr>
          </w:p>
        </w:tc>
        <w:tc>
          <w:tcPr>
            <w:tcW w:w="1180" w:type="dxa"/>
            <w:vAlign w:val="bottom"/>
          </w:tcPr>
          <w:p>
            <w:pPr>
              <w:ind w:left="940"/>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ind w:left="120"/>
              <w:spacing w:after="0"/>
              <w:rPr>
                <w:sz w:val="20"/>
                <w:szCs w:val="20"/>
                <w:color w:val="auto"/>
              </w:rPr>
            </w:pPr>
            <w:r>
              <w:rPr>
                <w:rFonts w:ascii="Arial" w:cs="Arial" w:eastAsia="Arial" w:hAnsi="Arial"/>
                <w:sz w:val="11"/>
                <w:szCs w:val="11"/>
                <w:color w:val="auto"/>
              </w:rPr>
              <w:t>117.65</w:t>
            </w:r>
          </w:p>
        </w:tc>
        <w:tc>
          <w:tcPr>
            <w:tcW w:w="740" w:type="dxa"/>
            <w:vAlign w:val="bottom"/>
          </w:tcPr>
          <w:p>
            <w:pPr>
              <w:jc w:val="right"/>
              <w:spacing w:after="0"/>
              <w:rPr>
                <w:sz w:val="20"/>
                <w:szCs w:val="20"/>
                <w:color w:val="auto"/>
              </w:rPr>
            </w:pPr>
            <w:r>
              <w:rPr>
                <w:rFonts w:ascii="Arial" w:cs="Arial" w:eastAsia="Arial" w:hAnsi="Arial"/>
                <w:sz w:val="11"/>
                <w:szCs w:val="11"/>
                <w:color w:val="auto"/>
              </w:rPr>
              <w:t>03/14/2028</w:t>
            </w:r>
          </w:p>
        </w:tc>
        <w:tc>
          <w:tcPr>
            <w:tcW w:w="120" w:type="dxa"/>
            <w:vAlign w:val="bottom"/>
          </w:tcPr>
          <w:p>
            <w:pPr>
              <w:spacing w:after="0"/>
              <w:rPr>
                <w:sz w:val="11"/>
                <w:szCs w:val="11"/>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08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60" w:type="dxa"/>
            <w:vAlign w:val="bottom"/>
            <w:shd w:val="clear" w:color="auto" w:fill="EDEDED"/>
          </w:tcPr>
          <w:p>
            <w:pPr>
              <w:ind w:left="20"/>
              <w:spacing w:after="0" w:line="109" w:lineRule="exact"/>
              <w:rPr>
                <w:sz w:val="20"/>
                <w:szCs w:val="20"/>
                <w:color w:val="auto"/>
              </w:rPr>
            </w:pPr>
            <w:r>
              <w:rPr>
                <w:rFonts w:ascii="Arial" w:cs="Arial" w:eastAsia="Arial" w:hAnsi="Arial"/>
                <w:sz w:val="11"/>
                <w:szCs w:val="11"/>
                <w:color w:val="auto"/>
              </w:rPr>
              <w:t>Steve G. Filton</w:t>
            </w:r>
          </w:p>
        </w:tc>
        <w:tc>
          <w:tcPr>
            <w:tcW w:w="12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80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80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180" w:type="dxa"/>
            <w:vAlign w:val="bottom"/>
            <w:shd w:val="clear" w:color="auto" w:fill="EDEDED"/>
          </w:tcPr>
          <w:p>
            <w:pPr>
              <w:spacing w:after="0"/>
              <w:rPr>
                <w:sz w:val="9"/>
                <w:szCs w:val="9"/>
                <w:color w:val="auto"/>
              </w:rPr>
            </w:pPr>
          </w:p>
        </w:tc>
        <w:tc>
          <w:tcPr>
            <w:tcW w:w="200" w:type="dxa"/>
            <w:vAlign w:val="bottom"/>
            <w:shd w:val="clear" w:color="auto" w:fill="EDEDED"/>
          </w:tcPr>
          <w:p>
            <w:pPr>
              <w:spacing w:after="0"/>
              <w:rPr>
                <w:sz w:val="9"/>
                <w:szCs w:val="9"/>
                <w:color w:val="auto"/>
              </w:rPr>
            </w:pPr>
          </w:p>
        </w:tc>
        <w:tc>
          <w:tcPr>
            <w:tcW w:w="600" w:type="dxa"/>
            <w:vAlign w:val="bottom"/>
            <w:shd w:val="clear" w:color="auto" w:fill="EDEDED"/>
          </w:tcPr>
          <w:p>
            <w:pPr>
              <w:spacing w:after="0"/>
              <w:rPr>
                <w:sz w:val="9"/>
                <w:szCs w:val="9"/>
                <w:color w:val="auto"/>
              </w:rPr>
            </w:pPr>
          </w:p>
        </w:tc>
        <w:tc>
          <w:tcPr>
            <w:tcW w:w="740" w:type="dxa"/>
            <w:vAlign w:val="bottom"/>
            <w:shd w:val="clear" w:color="auto" w:fill="EDEDED"/>
          </w:tcPr>
          <w:p>
            <w:pPr>
              <w:spacing w:after="0"/>
              <w:rPr>
                <w:sz w:val="9"/>
                <w:szCs w:val="9"/>
                <w:color w:val="auto"/>
              </w:rPr>
            </w:pPr>
          </w:p>
        </w:tc>
        <w:tc>
          <w:tcPr>
            <w:tcW w:w="1100" w:type="dxa"/>
            <w:vAlign w:val="bottom"/>
            <w:gridSpan w:val="2"/>
            <w:shd w:val="clear" w:color="auto" w:fill="EDEDED"/>
          </w:tcPr>
          <w:p>
            <w:pPr>
              <w:jc w:val="right"/>
              <w:ind w:right="46"/>
              <w:spacing w:after="0" w:line="109" w:lineRule="exact"/>
              <w:rPr>
                <w:sz w:val="20"/>
                <w:szCs w:val="20"/>
                <w:color w:val="auto"/>
              </w:rPr>
            </w:pPr>
            <w:r>
              <w:rPr>
                <w:rFonts w:ascii="Arial" w:cs="Arial" w:eastAsia="Arial" w:hAnsi="Arial"/>
                <w:sz w:val="11"/>
                <w:szCs w:val="11"/>
                <w:color w:val="auto"/>
              </w:rPr>
              <w:t>4,344</w:t>
            </w:r>
          </w:p>
        </w:tc>
        <w:tc>
          <w:tcPr>
            <w:tcW w:w="260" w:type="dxa"/>
            <w:vAlign w:val="bottom"/>
            <w:shd w:val="clear" w:color="auto" w:fill="EDEDED"/>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080" w:type="dxa"/>
            <w:vAlign w:val="bottom"/>
            <w:shd w:val="clear" w:color="auto" w:fill="EDEDED"/>
          </w:tcPr>
          <w:p>
            <w:pPr>
              <w:jc w:val="right"/>
              <w:ind w:right="186"/>
              <w:spacing w:after="0" w:line="109" w:lineRule="exact"/>
              <w:rPr>
                <w:sz w:val="20"/>
                <w:szCs w:val="20"/>
                <w:color w:val="auto"/>
              </w:rPr>
            </w:pPr>
            <w:r>
              <w:rPr>
                <w:rFonts w:ascii="Arial" w:cs="Arial" w:eastAsia="Arial" w:hAnsi="Arial"/>
                <w:sz w:val="11"/>
                <w:szCs w:val="11"/>
                <w:color w:val="auto"/>
              </w:rPr>
              <w:t>947,079</w:t>
            </w:r>
          </w:p>
        </w:tc>
        <w:tc>
          <w:tcPr>
            <w:tcW w:w="1040" w:type="dxa"/>
            <w:vAlign w:val="bottom"/>
            <w:shd w:val="clear" w:color="auto" w:fill="EDEDED"/>
          </w:tcPr>
          <w:p>
            <w:pPr>
              <w:jc w:val="right"/>
              <w:ind w:right="6"/>
              <w:spacing w:after="0" w:line="109" w:lineRule="exact"/>
              <w:rPr>
                <w:sz w:val="20"/>
                <w:szCs w:val="20"/>
                <w:color w:val="auto"/>
              </w:rPr>
            </w:pPr>
            <w:r>
              <w:rPr>
                <w:rFonts w:ascii="Arial" w:cs="Arial" w:eastAsia="Arial" w:hAnsi="Arial"/>
                <w:sz w:val="11"/>
                <w:szCs w:val="11"/>
                <w:color w:val="auto"/>
              </w:rPr>
              <w:t>16,044</w:t>
            </w:r>
          </w:p>
        </w:tc>
        <w:tc>
          <w:tcPr>
            <w:tcW w:w="380" w:type="dxa"/>
            <w:vAlign w:val="bottom"/>
            <w:shd w:val="clear" w:color="auto" w:fill="EDEDED"/>
          </w:tcPr>
          <w:p>
            <w:pPr>
              <w:jc w:val="right"/>
              <w:spacing w:after="0" w:line="109" w:lineRule="exact"/>
              <w:rPr>
                <w:sz w:val="20"/>
                <w:szCs w:val="20"/>
                <w:color w:val="auto"/>
              </w:rPr>
            </w:pPr>
            <w:r>
              <w:rPr>
                <w:rFonts w:ascii="Arial" w:cs="Arial" w:eastAsia="Arial" w:hAnsi="Arial"/>
                <w:sz w:val="11"/>
                <w:szCs w:val="11"/>
                <w:color w:val="auto"/>
              </w:rPr>
              <w:t>(5.) $</w:t>
            </w:r>
          </w:p>
        </w:tc>
        <w:tc>
          <w:tcPr>
            <w:tcW w:w="980" w:type="dxa"/>
            <w:vAlign w:val="bottom"/>
            <w:shd w:val="clear" w:color="auto" w:fill="EDEDED"/>
          </w:tcPr>
          <w:p>
            <w:pPr>
              <w:jc w:val="right"/>
              <w:ind w:right="66"/>
              <w:spacing w:after="0" w:line="109" w:lineRule="exact"/>
              <w:rPr>
                <w:sz w:val="20"/>
                <w:szCs w:val="20"/>
                <w:color w:val="auto"/>
              </w:rPr>
            </w:pPr>
            <w:r>
              <w:rPr>
                <w:rFonts w:ascii="Arial" w:cs="Arial" w:eastAsia="Arial" w:hAnsi="Arial"/>
                <w:sz w:val="11"/>
                <w:szCs w:val="11"/>
                <w:color w:val="auto"/>
              </w:rPr>
              <w:t>3,497,913</w:t>
            </w:r>
          </w:p>
        </w:tc>
        <w:tc>
          <w:tcPr>
            <w:tcW w:w="0" w:type="dxa"/>
            <w:vAlign w:val="bottom"/>
          </w:tcPr>
          <w:p>
            <w:pPr>
              <w:spacing w:after="0"/>
              <w:rPr>
                <w:sz w:val="1"/>
                <w:szCs w:val="1"/>
                <w:color w:val="auto"/>
              </w:rPr>
            </w:pPr>
          </w:p>
        </w:tc>
      </w:tr>
      <w:tr>
        <w:trPr>
          <w:trHeight w:val="121"/>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spacing w:after="0"/>
              <w:rPr>
                <w:sz w:val="10"/>
                <w:szCs w:val="10"/>
                <w:color w:val="auto"/>
              </w:rPr>
            </w:pPr>
          </w:p>
        </w:tc>
        <w:tc>
          <w:tcPr>
            <w:tcW w:w="20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1100" w:type="dxa"/>
            <w:vAlign w:val="bottom"/>
            <w:gridSpan w:val="2"/>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6,879</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1,499,760</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7,240</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1,578,465</w:t>
            </w:r>
          </w:p>
        </w:tc>
        <w:tc>
          <w:tcPr>
            <w:tcW w:w="0" w:type="dxa"/>
            <w:vAlign w:val="bottom"/>
          </w:tcPr>
          <w:p>
            <w:pPr>
              <w:spacing w:after="0"/>
              <w:rPr>
                <w:sz w:val="1"/>
                <w:szCs w:val="1"/>
                <w:color w:val="auto"/>
              </w:rPr>
            </w:pPr>
          </w:p>
        </w:tc>
      </w:tr>
      <w:tr>
        <w:trPr>
          <w:trHeight w:val="122"/>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spacing w:after="0"/>
              <w:rPr>
                <w:sz w:val="10"/>
                <w:szCs w:val="10"/>
                <w:color w:val="auto"/>
              </w:rPr>
            </w:pPr>
          </w:p>
        </w:tc>
        <w:tc>
          <w:tcPr>
            <w:tcW w:w="20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6,879</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1,499,760</w:t>
            </w:r>
          </w:p>
        </w:tc>
        <w:tc>
          <w:tcPr>
            <w:tcW w:w="0" w:type="dxa"/>
            <w:vAlign w:val="bottom"/>
          </w:tcPr>
          <w:p>
            <w:pPr>
              <w:spacing w:after="0"/>
              <w:rPr>
                <w:sz w:val="1"/>
                <w:szCs w:val="1"/>
                <w:color w:val="auto"/>
              </w:rPr>
            </w:pPr>
          </w:p>
        </w:tc>
      </w:tr>
      <w:tr>
        <w:trPr>
          <w:trHeight w:val="122"/>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39,200</w:t>
            </w: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EDEDED"/>
          </w:tcPr>
          <w:p>
            <w:pPr>
              <w:ind w:left="120"/>
              <w:spacing w:after="0" w:line="122" w:lineRule="exact"/>
              <w:rPr>
                <w:sz w:val="20"/>
                <w:szCs w:val="20"/>
                <w:color w:val="auto"/>
              </w:rPr>
            </w:pPr>
            <w:r>
              <w:rPr>
                <w:rFonts w:ascii="Arial" w:cs="Arial" w:eastAsia="Arial" w:hAnsi="Arial"/>
                <w:sz w:val="11"/>
                <w:szCs w:val="11"/>
                <w:color w:val="auto"/>
              </w:rPr>
              <w:t>138.80</w:t>
            </w:r>
          </w:p>
        </w:tc>
        <w:tc>
          <w:tcPr>
            <w:tcW w:w="74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03/16/2026</w:t>
            </w: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44,037</w:t>
            </w: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EDEDED"/>
          </w:tcPr>
          <w:p>
            <w:pPr>
              <w:ind w:left="120"/>
              <w:spacing w:after="0" w:line="122" w:lineRule="exact"/>
              <w:rPr>
                <w:sz w:val="20"/>
                <w:szCs w:val="20"/>
                <w:color w:val="auto"/>
              </w:rPr>
            </w:pPr>
            <w:r>
              <w:rPr>
                <w:rFonts w:ascii="Arial" w:cs="Arial" w:eastAsia="Arial" w:hAnsi="Arial"/>
                <w:sz w:val="11"/>
                <w:szCs w:val="11"/>
                <w:color w:val="auto"/>
              </w:rPr>
              <w:t>152.68</w:t>
            </w:r>
          </w:p>
        </w:tc>
        <w:tc>
          <w:tcPr>
            <w:tcW w:w="74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03/16/2026</w:t>
            </w: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19,853</w:t>
            </w:r>
          </w:p>
        </w:tc>
        <w:tc>
          <w:tcPr>
            <w:tcW w:w="120" w:type="dxa"/>
            <w:vAlign w:val="bottom"/>
            <w:shd w:val="clear" w:color="auto" w:fill="EDEDED"/>
          </w:tcPr>
          <w:p>
            <w:pPr>
              <w:spacing w:after="0"/>
              <w:rPr>
                <w:sz w:val="10"/>
                <w:szCs w:val="10"/>
                <w:color w:val="auto"/>
              </w:rPr>
            </w:pPr>
          </w:p>
        </w:tc>
        <w:tc>
          <w:tcPr>
            <w:tcW w:w="1040" w:type="dxa"/>
            <w:vAlign w:val="bottom"/>
            <w:gridSpan w:val="3"/>
            <w:shd w:val="clear" w:color="auto" w:fill="EDEDED"/>
          </w:tcPr>
          <w:p>
            <w:pPr>
              <w:jc w:val="right"/>
              <w:spacing w:after="0" w:line="122" w:lineRule="exact"/>
              <w:rPr>
                <w:sz w:val="20"/>
                <w:szCs w:val="20"/>
                <w:color w:val="auto"/>
              </w:rPr>
            </w:pPr>
            <w:r>
              <w:rPr>
                <w:rFonts w:ascii="Arial" w:cs="Arial" w:eastAsia="Arial" w:hAnsi="Arial"/>
                <w:sz w:val="11"/>
                <w:szCs w:val="11"/>
                <w:color w:val="auto"/>
              </w:rPr>
              <w:t>6,618</w:t>
            </w: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EDEDED"/>
          </w:tcPr>
          <w:p>
            <w:pPr>
              <w:ind w:left="120"/>
              <w:spacing w:after="0" w:line="122" w:lineRule="exact"/>
              <w:rPr>
                <w:sz w:val="20"/>
                <w:szCs w:val="20"/>
                <w:color w:val="auto"/>
              </w:rPr>
            </w:pPr>
            <w:r>
              <w:rPr>
                <w:rFonts w:ascii="Arial" w:cs="Arial" w:eastAsia="Arial" w:hAnsi="Arial"/>
                <w:sz w:val="11"/>
                <w:szCs w:val="11"/>
                <w:color w:val="auto"/>
              </w:rPr>
              <w:t>143.81</w:t>
            </w:r>
          </w:p>
        </w:tc>
        <w:tc>
          <w:tcPr>
            <w:tcW w:w="74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03/22/2027</w:t>
            </w: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136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120" w:type="dxa"/>
            <w:vAlign w:val="bottom"/>
            <w:shd w:val="clear" w:color="auto" w:fill="EDEDED"/>
          </w:tcPr>
          <w:p>
            <w:pPr>
              <w:spacing w:after="0"/>
              <w:rPr>
                <w:sz w:val="11"/>
                <w:szCs w:val="11"/>
                <w:color w:val="auto"/>
              </w:rPr>
            </w:pPr>
          </w:p>
        </w:tc>
        <w:tc>
          <w:tcPr>
            <w:tcW w:w="8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15,173</w:t>
            </w:r>
          </w:p>
        </w:tc>
        <w:tc>
          <w:tcPr>
            <w:tcW w:w="120" w:type="dxa"/>
            <w:vAlign w:val="bottom"/>
            <w:shd w:val="clear" w:color="auto" w:fill="EDEDED"/>
          </w:tcPr>
          <w:p>
            <w:pPr>
              <w:spacing w:after="0"/>
              <w:rPr>
                <w:sz w:val="11"/>
                <w:szCs w:val="11"/>
                <w:color w:val="auto"/>
              </w:rPr>
            </w:pPr>
          </w:p>
        </w:tc>
        <w:tc>
          <w:tcPr>
            <w:tcW w:w="1040" w:type="dxa"/>
            <w:vAlign w:val="bottom"/>
            <w:gridSpan w:val="3"/>
            <w:shd w:val="clear" w:color="auto" w:fill="EDEDED"/>
          </w:tcPr>
          <w:p>
            <w:pPr>
              <w:jc w:val="right"/>
              <w:spacing w:after="0"/>
              <w:rPr>
                <w:sz w:val="20"/>
                <w:szCs w:val="20"/>
                <w:color w:val="auto"/>
              </w:rPr>
            </w:pPr>
            <w:r>
              <w:rPr>
                <w:rFonts w:ascii="Arial" w:cs="Arial" w:eastAsia="Arial" w:hAnsi="Arial"/>
                <w:sz w:val="11"/>
                <w:szCs w:val="11"/>
                <w:color w:val="auto"/>
              </w:rPr>
              <w:t>15,172</w:t>
            </w:r>
          </w:p>
        </w:tc>
        <w:tc>
          <w:tcPr>
            <w:tcW w:w="120" w:type="dxa"/>
            <w:vAlign w:val="bottom"/>
            <w:shd w:val="clear" w:color="auto" w:fill="EDEDED"/>
          </w:tcPr>
          <w:p>
            <w:pPr>
              <w:spacing w:after="0"/>
              <w:rPr>
                <w:sz w:val="11"/>
                <w:szCs w:val="11"/>
                <w:color w:val="auto"/>
              </w:rPr>
            </w:pPr>
          </w:p>
        </w:tc>
        <w:tc>
          <w:tcPr>
            <w:tcW w:w="1180" w:type="dxa"/>
            <w:vAlign w:val="bottom"/>
            <w:shd w:val="clear" w:color="auto" w:fill="EDEDED"/>
          </w:tcPr>
          <w:p>
            <w:pPr>
              <w:ind w:left="940"/>
              <w:spacing w:after="0"/>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DEDED"/>
          </w:tcPr>
          <w:p>
            <w:pPr>
              <w:ind w:left="120"/>
              <w:spacing w:after="0"/>
              <w:rPr>
                <w:sz w:val="20"/>
                <w:szCs w:val="20"/>
                <w:color w:val="auto"/>
              </w:rPr>
            </w:pPr>
            <w:r>
              <w:rPr>
                <w:rFonts w:ascii="Arial" w:cs="Arial" w:eastAsia="Arial" w:hAnsi="Arial"/>
                <w:sz w:val="11"/>
                <w:szCs w:val="11"/>
                <w:color w:val="auto"/>
              </w:rPr>
              <w:t>117.65</w:t>
            </w:r>
          </w:p>
        </w:tc>
        <w:tc>
          <w:tcPr>
            <w:tcW w:w="7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03/14/2028</w:t>
            </w:r>
          </w:p>
        </w:tc>
        <w:tc>
          <w:tcPr>
            <w:tcW w:w="12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1"/>
                <w:szCs w:val="11"/>
                <w:color w:val="auto"/>
              </w:rPr>
            </w:pPr>
          </w:p>
        </w:tc>
        <w:tc>
          <w:tcPr>
            <w:tcW w:w="1080" w:type="dxa"/>
            <w:vAlign w:val="bottom"/>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380" w:type="dxa"/>
            <w:vAlign w:val="bottom"/>
            <w:shd w:val="clear" w:color="auto" w:fill="EDEDED"/>
          </w:tcPr>
          <w:p>
            <w:pPr>
              <w:spacing w:after="0"/>
              <w:rPr>
                <w:sz w:val="11"/>
                <w:szCs w:val="11"/>
                <w:color w:val="auto"/>
              </w:rPr>
            </w:pPr>
          </w:p>
        </w:tc>
        <w:tc>
          <w:tcPr>
            <w:tcW w:w="98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60" w:type="dxa"/>
            <w:vAlign w:val="bottom"/>
          </w:tcPr>
          <w:p>
            <w:pPr>
              <w:ind w:left="20"/>
              <w:spacing w:after="0" w:line="109" w:lineRule="exact"/>
              <w:rPr>
                <w:sz w:val="20"/>
                <w:szCs w:val="20"/>
                <w:color w:val="auto"/>
              </w:rPr>
            </w:pPr>
            <w:r>
              <w:rPr>
                <w:rFonts w:ascii="Arial" w:cs="Arial" w:eastAsia="Arial" w:hAnsi="Arial"/>
                <w:sz w:val="11"/>
                <w:szCs w:val="11"/>
                <w:color w:val="auto"/>
              </w:rPr>
              <w:t>Edward H. Sim (3.)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gridSpan w:val="2"/>
          </w:tcPr>
          <w:p>
            <w:pPr>
              <w:jc w:val="right"/>
              <w:ind w:right="46"/>
              <w:spacing w:after="0" w:line="109" w:lineRule="exact"/>
              <w:rPr>
                <w:sz w:val="20"/>
                <w:szCs w:val="20"/>
                <w:color w:val="auto"/>
              </w:rPr>
            </w:pPr>
            <w:r>
              <w:rPr>
                <w:rFonts w:ascii="Arial" w:cs="Arial" w:eastAsia="Arial" w:hAnsi="Arial"/>
                <w:sz w:val="11"/>
                <w:szCs w:val="11"/>
                <w:color w:val="auto"/>
              </w:rPr>
              <w:t>4,061</w:t>
            </w:r>
          </w:p>
        </w:tc>
        <w:tc>
          <w:tcPr>
            <w:tcW w:w="260" w:type="dxa"/>
            <w:vAlign w:val="bottom"/>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186"/>
              <w:spacing w:after="0" w:line="109" w:lineRule="exact"/>
              <w:rPr>
                <w:sz w:val="20"/>
                <w:szCs w:val="20"/>
                <w:color w:val="auto"/>
              </w:rPr>
            </w:pPr>
            <w:r>
              <w:rPr>
                <w:rFonts w:ascii="Arial" w:cs="Arial" w:eastAsia="Arial" w:hAnsi="Arial"/>
                <w:sz w:val="11"/>
                <w:szCs w:val="11"/>
                <w:color w:val="auto"/>
              </w:rPr>
              <w:t>885,379</w:t>
            </w:r>
          </w:p>
        </w:tc>
        <w:tc>
          <w:tcPr>
            <w:tcW w:w="1040" w:type="dxa"/>
            <w:vAlign w:val="bottom"/>
          </w:tcPr>
          <w:p>
            <w:pPr>
              <w:jc w:val="right"/>
              <w:ind w:right="6"/>
              <w:spacing w:after="0" w:line="109" w:lineRule="exact"/>
              <w:rPr>
                <w:sz w:val="20"/>
                <w:szCs w:val="20"/>
                <w:color w:val="auto"/>
              </w:rPr>
            </w:pPr>
            <w:r>
              <w:rPr>
                <w:rFonts w:ascii="Arial" w:cs="Arial" w:eastAsia="Arial" w:hAnsi="Arial"/>
                <w:sz w:val="11"/>
                <w:szCs w:val="11"/>
                <w:color w:val="auto"/>
              </w:rPr>
              <w:t>15,000</w:t>
            </w:r>
          </w:p>
        </w:tc>
        <w:tc>
          <w:tcPr>
            <w:tcW w:w="380" w:type="dxa"/>
            <w:vAlign w:val="bottom"/>
          </w:tcPr>
          <w:p>
            <w:pPr>
              <w:jc w:val="right"/>
              <w:spacing w:after="0" w:line="109" w:lineRule="exact"/>
              <w:rPr>
                <w:sz w:val="20"/>
                <w:szCs w:val="20"/>
                <w:color w:val="auto"/>
              </w:rPr>
            </w:pPr>
            <w:r>
              <w:rPr>
                <w:rFonts w:ascii="Arial" w:cs="Arial" w:eastAsia="Arial" w:hAnsi="Arial"/>
                <w:sz w:val="11"/>
                <w:szCs w:val="11"/>
                <w:color w:val="auto"/>
              </w:rPr>
              <w:t>(5.) $</w:t>
            </w:r>
          </w:p>
        </w:tc>
        <w:tc>
          <w:tcPr>
            <w:tcW w:w="980" w:type="dxa"/>
            <w:vAlign w:val="bottom"/>
          </w:tcPr>
          <w:p>
            <w:pPr>
              <w:jc w:val="right"/>
              <w:ind w:right="66"/>
              <w:spacing w:after="0" w:line="109" w:lineRule="exact"/>
              <w:rPr>
                <w:sz w:val="20"/>
                <w:szCs w:val="20"/>
                <w:color w:val="auto"/>
              </w:rPr>
            </w:pPr>
            <w:r>
              <w:rPr>
                <w:rFonts w:ascii="Arial" w:cs="Arial" w:eastAsia="Arial" w:hAnsi="Arial"/>
                <w:sz w:val="11"/>
                <w:szCs w:val="11"/>
                <w:color w:val="auto"/>
              </w:rPr>
              <w:t>3,270,300</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6,431</w:t>
            </w:r>
          </w:p>
        </w:tc>
        <w:tc>
          <w:tcPr>
            <w:tcW w:w="260" w:type="dxa"/>
            <w:vAlign w:val="bottom"/>
          </w:tcPr>
          <w:p>
            <w:pPr>
              <w:spacing w:after="0"/>
              <w:rPr>
                <w:sz w:val="10"/>
                <w:szCs w:val="10"/>
                <w:color w:val="auto"/>
              </w:rPr>
            </w:pPr>
          </w:p>
        </w:tc>
        <w:tc>
          <w:tcPr>
            <w:tcW w:w="10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1,402,087</w:t>
            </w:r>
          </w:p>
        </w:tc>
        <w:tc>
          <w:tcPr>
            <w:tcW w:w="1040" w:type="dxa"/>
            <w:vAlign w:val="bottom"/>
          </w:tcPr>
          <w:p>
            <w:pPr>
              <w:jc w:val="right"/>
              <w:ind w:right="6"/>
              <w:spacing w:after="0" w:line="122" w:lineRule="exact"/>
              <w:rPr>
                <w:sz w:val="20"/>
                <w:szCs w:val="20"/>
                <w:color w:val="auto"/>
              </w:rPr>
            </w:pPr>
            <w:r>
              <w:rPr>
                <w:rFonts w:ascii="Arial" w:cs="Arial" w:eastAsia="Arial" w:hAnsi="Arial"/>
                <w:sz w:val="11"/>
                <w:szCs w:val="11"/>
                <w:color w:val="auto"/>
              </w:rPr>
              <w:t>6,769</w:t>
            </w:r>
          </w:p>
        </w:tc>
        <w:tc>
          <w:tcPr>
            <w:tcW w:w="38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1,475,777</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0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line="122" w:lineRule="exact"/>
              <w:rPr>
                <w:sz w:val="20"/>
                <w:szCs w:val="20"/>
                <w:color w:val="auto"/>
              </w:rPr>
            </w:pPr>
            <w:r>
              <w:rPr>
                <w:rFonts w:ascii="Arial" w:cs="Arial" w:eastAsia="Arial" w:hAnsi="Arial"/>
                <w:sz w:val="11"/>
                <w:szCs w:val="11"/>
                <w:color w:val="auto"/>
              </w:rPr>
              <w:t>6,431</w:t>
            </w:r>
          </w:p>
        </w:tc>
        <w:tc>
          <w:tcPr>
            <w:tcW w:w="38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1,402,087</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25,000</w:t>
            </w:r>
          </w:p>
        </w:tc>
        <w:tc>
          <w:tcPr>
            <w:tcW w:w="1160" w:type="dxa"/>
            <w:vAlign w:val="bottom"/>
            <w:gridSpan w:val="4"/>
          </w:tcPr>
          <w:p>
            <w:pPr>
              <w:jc w:val="right"/>
              <w:spacing w:after="0"/>
              <w:rPr>
                <w:sz w:val="20"/>
                <w:szCs w:val="20"/>
                <w:color w:val="auto"/>
              </w:rPr>
            </w:pPr>
            <w:r>
              <w:rPr>
                <w:rFonts w:ascii="Arial" w:cs="Arial" w:eastAsia="Arial" w:hAnsi="Arial"/>
                <w:sz w:val="11"/>
                <w:szCs w:val="11"/>
                <w:color w:val="auto"/>
              </w:rPr>
              <w:t>25,000</w:t>
            </w:r>
          </w:p>
        </w:tc>
        <w:tc>
          <w:tcPr>
            <w:tcW w:w="120" w:type="dxa"/>
            <w:vAlign w:val="bottom"/>
          </w:tcPr>
          <w:p>
            <w:pPr>
              <w:spacing w:after="0"/>
              <w:rPr>
                <w:sz w:val="11"/>
                <w:szCs w:val="11"/>
                <w:color w:val="auto"/>
              </w:rPr>
            </w:pPr>
          </w:p>
        </w:tc>
        <w:tc>
          <w:tcPr>
            <w:tcW w:w="1180" w:type="dxa"/>
            <w:vAlign w:val="bottom"/>
          </w:tcPr>
          <w:p>
            <w:pPr>
              <w:ind w:left="940"/>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ind w:left="120"/>
              <w:spacing w:after="0"/>
              <w:rPr>
                <w:sz w:val="20"/>
                <w:szCs w:val="20"/>
                <w:color w:val="auto"/>
              </w:rPr>
            </w:pPr>
            <w:r>
              <w:rPr>
                <w:rFonts w:ascii="Arial" w:cs="Arial" w:eastAsia="Arial" w:hAnsi="Arial"/>
                <w:sz w:val="11"/>
                <w:szCs w:val="11"/>
                <w:color w:val="auto"/>
              </w:rPr>
              <w:t>145.65</w:t>
            </w:r>
          </w:p>
        </w:tc>
        <w:tc>
          <w:tcPr>
            <w:tcW w:w="740" w:type="dxa"/>
            <w:vAlign w:val="bottom"/>
          </w:tcPr>
          <w:p>
            <w:pPr>
              <w:jc w:val="right"/>
              <w:spacing w:after="0"/>
              <w:rPr>
                <w:sz w:val="20"/>
                <w:szCs w:val="20"/>
                <w:color w:val="auto"/>
              </w:rPr>
            </w:pPr>
            <w:r>
              <w:rPr>
                <w:rFonts w:ascii="Arial" w:cs="Arial" w:eastAsia="Arial" w:hAnsi="Arial"/>
                <w:sz w:val="11"/>
                <w:szCs w:val="11"/>
                <w:color w:val="auto"/>
              </w:rPr>
              <w:t>01/17/2028</w:t>
            </w:r>
          </w:p>
        </w:tc>
        <w:tc>
          <w:tcPr>
            <w:tcW w:w="120" w:type="dxa"/>
            <w:vAlign w:val="bottom"/>
          </w:tcPr>
          <w:p>
            <w:pPr>
              <w:spacing w:after="0"/>
              <w:rPr>
                <w:sz w:val="11"/>
                <w:szCs w:val="11"/>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08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1360" w:type="dxa"/>
            <w:vAlign w:val="bottom"/>
            <w:shd w:val="clear" w:color="auto" w:fill="EDEDED"/>
          </w:tcPr>
          <w:p>
            <w:pPr>
              <w:ind w:left="20"/>
              <w:spacing w:after="0" w:line="109" w:lineRule="exact"/>
              <w:rPr>
                <w:sz w:val="20"/>
                <w:szCs w:val="20"/>
                <w:color w:val="auto"/>
              </w:rPr>
            </w:pPr>
            <w:r>
              <w:rPr>
                <w:rFonts w:ascii="Arial" w:cs="Arial" w:eastAsia="Arial" w:hAnsi="Arial"/>
                <w:sz w:val="11"/>
                <w:szCs w:val="11"/>
                <w:color w:val="auto"/>
              </w:rPr>
              <w:t>Matthew J. Peterson</w:t>
            </w:r>
          </w:p>
        </w:tc>
        <w:tc>
          <w:tcPr>
            <w:tcW w:w="12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80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80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1180" w:type="dxa"/>
            <w:vAlign w:val="bottom"/>
            <w:shd w:val="clear" w:color="auto" w:fill="EDEDED"/>
          </w:tcPr>
          <w:p>
            <w:pPr>
              <w:spacing w:after="0"/>
              <w:rPr>
                <w:sz w:val="9"/>
                <w:szCs w:val="9"/>
                <w:color w:val="auto"/>
              </w:rPr>
            </w:pPr>
          </w:p>
        </w:tc>
        <w:tc>
          <w:tcPr>
            <w:tcW w:w="200" w:type="dxa"/>
            <w:vAlign w:val="bottom"/>
            <w:shd w:val="clear" w:color="auto" w:fill="EDEDED"/>
          </w:tcPr>
          <w:p>
            <w:pPr>
              <w:spacing w:after="0"/>
              <w:rPr>
                <w:sz w:val="9"/>
                <w:szCs w:val="9"/>
                <w:color w:val="auto"/>
              </w:rPr>
            </w:pPr>
          </w:p>
        </w:tc>
        <w:tc>
          <w:tcPr>
            <w:tcW w:w="600" w:type="dxa"/>
            <w:vAlign w:val="bottom"/>
            <w:shd w:val="clear" w:color="auto" w:fill="EDEDED"/>
          </w:tcPr>
          <w:p>
            <w:pPr>
              <w:spacing w:after="0"/>
              <w:rPr>
                <w:sz w:val="9"/>
                <w:szCs w:val="9"/>
                <w:color w:val="auto"/>
              </w:rPr>
            </w:pPr>
          </w:p>
        </w:tc>
        <w:tc>
          <w:tcPr>
            <w:tcW w:w="740" w:type="dxa"/>
            <w:vAlign w:val="bottom"/>
            <w:shd w:val="clear" w:color="auto" w:fill="EDEDED"/>
          </w:tcPr>
          <w:p>
            <w:pPr>
              <w:spacing w:after="0"/>
              <w:rPr>
                <w:sz w:val="9"/>
                <w:szCs w:val="9"/>
                <w:color w:val="auto"/>
              </w:rPr>
            </w:pPr>
          </w:p>
        </w:tc>
        <w:tc>
          <w:tcPr>
            <w:tcW w:w="1100" w:type="dxa"/>
            <w:vAlign w:val="bottom"/>
            <w:gridSpan w:val="2"/>
            <w:shd w:val="clear" w:color="auto" w:fill="EDEDED"/>
          </w:tcPr>
          <w:p>
            <w:pPr>
              <w:jc w:val="right"/>
              <w:ind w:right="46"/>
              <w:spacing w:after="0" w:line="109" w:lineRule="exact"/>
              <w:rPr>
                <w:sz w:val="20"/>
                <w:szCs w:val="20"/>
                <w:color w:val="auto"/>
              </w:rPr>
            </w:pPr>
            <w:r>
              <w:rPr>
                <w:rFonts w:ascii="Arial" w:cs="Arial" w:eastAsia="Arial" w:hAnsi="Arial"/>
                <w:sz w:val="11"/>
                <w:szCs w:val="11"/>
                <w:color w:val="auto"/>
              </w:rPr>
              <w:t>3,568</w:t>
            </w:r>
          </w:p>
        </w:tc>
        <w:tc>
          <w:tcPr>
            <w:tcW w:w="260" w:type="dxa"/>
            <w:vAlign w:val="bottom"/>
            <w:shd w:val="clear" w:color="auto" w:fill="EDEDED"/>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080" w:type="dxa"/>
            <w:vAlign w:val="bottom"/>
            <w:shd w:val="clear" w:color="auto" w:fill="EDEDED"/>
          </w:tcPr>
          <w:p>
            <w:pPr>
              <w:jc w:val="right"/>
              <w:ind w:right="186"/>
              <w:spacing w:after="0" w:line="109" w:lineRule="exact"/>
              <w:rPr>
                <w:sz w:val="20"/>
                <w:szCs w:val="20"/>
                <w:color w:val="auto"/>
              </w:rPr>
            </w:pPr>
            <w:r>
              <w:rPr>
                <w:rFonts w:ascii="Arial" w:cs="Arial" w:eastAsia="Arial" w:hAnsi="Arial"/>
                <w:sz w:val="11"/>
                <w:szCs w:val="11"/>
                <w:color w:val="auto"/>
              </w:rPr>
              <w:t>777,895</w:t>
            </w:r>
          </w:p>
        </w:tc>
        <w:tc>
          <w:tcPr>
            <w:tcW w:w="1040" w:type="dxa"/>
            <w:vAlign w:val="bottom"/>
            <w:shd w:val="clear" w:color="auto" w:fill="EDEDED"/>
          </w:tcPr>
          <w:p>
            <w:pPr>
              <w:jc w:val="right"/>
              <w:ind w:right="6"/>
              <w:spacing w:after="0" w:line="109" w:lineRule="exact"/>
              <w:rPr>
                <w:sz w:val="20"/>
                <w:szCs w:val="20"/>
                <w:color w:val="auto"/>
              </w:rPr>
            </w:pPr>
            <w:r>
              <w:rPr>
                <w:rFonts w:ascii="Arial" w:cs="Arial" w:eastAsia="Arial" w:hAnsi="Arial"/>
                <w:sz w:val="11"/>
                <w:szCs w:val="11"/>
                <w:color w:val="auto"/>
              </w:rPr>
              <w:t>13,181</w:t>
            </w:r>
          </w:p>
        </w:tc>
        <w:tc>
          <w:tcPr>
            <w:tcW w:w="380" w:type="dxa"/>
            <w:vAlign w:val="bottom"/>
            <w:shd w:val="clear" w:color="auto" w:fill="EDEDED"/>
          </w:tcPr>
          <w:p>
            <w:pPr>
              <w:jc w:val="right"/>
              <w:spacing w:after="0" w:line="109" w:lineRule="exact"/>
              <w:rPr>
                <w:sz w:val="20"/>
                <w:szCs w:val="20"/>
                <w:color w:val="auto"/>
              </w:rPr>
            </w:pPr>
            <w:r>
              <w:rPr>
                <w:rFonts w:ascii="Arial" w:cs="Arial" w:eastAsia="Arial" w:hAnsi="Arial"/>
                <w:sz w:val="11"/>
                <w:szCs w:val="11"/>
                <w:color w:val="auto"/>
              </w:rPr>
              <w:t>(5.) $</w:t>
            </w:r>
          </w:p>
        </w:tc>
        <w:tc>
          <w:tcPr>
            <w:tcW w:w="980" w:type="dxa"/>
            <w:vAlign w:val="bottom"/>
            <w:shd w:val="clear" w:color="auto" w:fill="EDEDED"/>
          </w:tcPr>
          <w:p>
            <w:pPr>
              <w:jc w:val="right"/>
              <w:ind w:right="66"/>
              <w:spacing w:after="0" w:line="109" w:lineRule="exact"/>
              <w:rPr>
                <w:sz w:val="20"/>
                <w:szCs w:val="20"/>
                <w:color w:val="auto"/>
              </w:rPr>
            </w:pPr>
            <w:r>
              <w:rPr>
                <w:rFonts w:ascii="Arial" w:cs="Arial" w:eastAsia="Arial" w:hAnsi="Arial"/>
                <w:sz w:val="11"/>
                <w:szCs w:val="11"/>
                <w:color w:val="auto"/>
              </w:rPr>
              <w:t>2,873,613</w:t>
            </w:r>
          </w:p>
        </w:tc>
        <w:tc>
          <w:tcPr>
            <w:tcW w:w="0" w:type="dxa"/>
            <w:vAlign w:val="bottom"/>
          </w:tcPr>
          <w:p>
            <w:pPr>
              <w:spacing w:after="0"/>
              <w:rPr>
                <w:sz w:val="1"/>
                <w:szCs w:val="1"/>
                <w:color w:val="auto"/>
              </w:rPr>
            </w:pPr>
          </w:p>
        </w:tc>
      </w:tr>
      <w:tr>
        <w:trPr>
          <w:trHeight w:val="121"/>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spacing w:after="0"/>
              <w:rPr>
                <w:sz w:val="10"/>
                <w:szCs w:val="10"/>
                <w:color w:val="auto"/>
              </w:rPr>
            </w:pPr>
          </w:p>
        </w:tc>
        <w:tc>
          <w:tcPr>
            <w:tcW w:w="20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1100" w:type="dxa"/>
            <w:vAlign w:val="bottom"/>
            <w:gridSpan w:val="2"/>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5,651</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1,232,031</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5,948</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1,296,783</w:t>
            </w:r>
          </w:p>
        </w:tc>
        <w:tc>
          <w:tcPr>
            <w:tcW w:w="0" w:type="dxa"/>
            <w:vAlign w:val="bottom"/>
          </w:tcPr>
          <w:p>
            <w:pPr>
              <w:spacing w:after="0"/>
              <w:rPr>
                <w:sz w:val="1"/>
                <w:szCs w:val="1"/>
                <w:color w:val="auto"/>
              </w:rPr>
            </w:pPr>
          </w:p>
        </w:tc>
      </w:tr>
      <w:tr>
        <w:trPr>
          <w:trHeight w:val="122"/>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spacing w:after="0"/>
              <w:rPr>
                <w:sz w:val="10"/>
                <w:szCs w:val="10"/>
                <w:color w:val="auto"/>
              </w:rPr>
            </w:pPr>
          </w:p>
        </w:tc>
        <w:tc>
          <w:tcPr>
            <w:tcW w:w="20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5,651</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1,232,031</w:t>
            </w:r>
          </w:p>
        </w:tc>
        <w:tc>
          <w:tcPr>
            <w:tcW w:w="0" w:type="dxa"/>
            <w:vAlign w:val="bottom"/>
          </w:tcPr>
          <w:p>
            <w:pPr>
              <w:spacing w:after="0"/>
              <w:rPr>
                <w:sz w:val="1"/>
                <w:szCs w:val="1"/>
                <w:color w:val="auto"/>
              </w:rPr>
            </w:pPr>
          </w:p>
        </w:tc>
      </w:tr>
      <w:tr>
        <w:trPr>
          <w:trHeight w:val="121"/>
        </w:trPr>
        <w:tc>
          <w:tcPr>
            <w:tcW w:w="136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5,436</w:t>
            </w:r>
          </w:p>
        </w:tc>
        <w:tc>
          <w:tcPr>
            <w:tcW w:w="1160" w:type="dxa"/>
            <w:vAlign w:val="bottom"/>
            <w:gridSpan w:val="4"/>
            <w:shd w:val="clear" w:color="auto" w:fill="EDEDED"/>
          </w:tcPr>
          <w:p>
            <w:pPr>
              <w:jc w:val="right"/>
              <w:spacing w:after="0" w:line="122" w:lineRule="exact"/>
              <w:rPr>
                <w:sz w:val="20"/>
                <w:szCs w:val="20"/>
                <w:color w:val="auto"/>
              </w:rPr>
            </w:pPr>
            <w:r>
              <w:rPr>
                <w:rFonts w:ascii="Arial" w:cs="Arial" w:eastAsia="Arial" w:hAnsi="Arial"/>
                <w:sz w:val="11"/>
                <w:szCs w:val="11"/>
                <w:color w:val="auto"/>
              </w:rPr>
              <w:t>5,436</w:t>
            </w:r>
          </w:p>
        </w:tc>
        <w:tc>
          <w:tcPr>
            <w:tcW w:w="120" w:type="dxa"/>
            <w:vAlign w:val="bottom"/>
            <w:shd w:val="clear" w:color="auto" w:fill="EDEDED"/>
          </w:tcPr>
          <w:p>
            <w:pPr>
              <w:spacing w:after="0"/>
              <w:rPr>
                <w:sz w:val="10"/>
                <w:szCs w:val="10"/>
                <w:color w:val="auto"/>
              </w:rPr>
            </w:pPr>
          </w:p>
        </w:tc>
        <w:tc>
          <w:tcPr>
            <w:tcW w:w="1180" w:type="dxa"/>
            <w:vAlign w:val="bottom"/>
            <w:shd w:val="clear" w:color="auto" w:fill="EDEDED"/>
          </w:tcPr>
          <w:p>
            <w:pPr>
              <w:ind w:left="9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EDEDED"/>
          </w:tcPr>
          <w:p>
            <w:pPr>
              <w:ind w:left="120"/>
              <w:spacing w:after="0" w:line="122" w:lineRule="exact"/>
              <w:rPr>
                <w:sz w:val="20"/>
                <w:szCs w:val="20"/>
                <w:color w:val="auto"/>
              </w:rPr>
            </w:pPr>
            <w:r>
              <w:rPr>
                <w:rFonts w:ascii="Arial" w:cs="Arial" w:eastAsia="Arial" w:hAnsi="Arial"/>
                <w:sz w:val="11"/>
                <w:szCs w:val="11"/>
                <w:color w:val="auto"/>
              </w:rPr>
              <w:t>143.81</w:t>
            </w:r>
          </w:p>
        </w:tc>
        <w:tc>
          <w:tcPr>
            <w:tcW w:w="74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03/22/2027</w:t>
            </w: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60" w:type="dxa"/>
            <w:vAlign w:val="bottom"/>
            <w:shd w:val="clear" w:color="auto" w:fill="EDEDED"/>
          </w:tcPr>
          <w:p>
            <w:pPr>
              <w:spacing w:after="0"/>
              <w:rPr>
                <w:sz w:val="10"/>
                <w:szCs w:val="10"/>
                <w:color w:val="auto"/>
              </w:rPr>
            </w:pPr>
          </w:p>
        </w:tc>
        <w:tc>
          <w:tcPr>
            <w:tcW w:w="1080" w:type="dxa"/>
            <w:vAlign w:val="bottom"/>
            <w:shd w:val="clear" w:color="auto" w:fill="EDEDED"/>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1360" w:type="dxa"/>
            <w:vAlign w:val="bottom"/>
            <w:tcBorders>
              <w:bottom w:val="single" w:sz="8" w:color="EDEDED"/>
            </w:tcBorders>
            <w:shd w:val="clear" w:color="auto" w:fill="EDEDED"/>
          </w:tcPr>
          <w:p>
            <w:pPr>
              <w:spacing w:after="0"/>
              <w:rPr>
                <w:sz w:val="13"/>
                <w:szCs w:val="13"/>
                <w:color w:val="auto"/>
              </w:rPr>
            </w:pPr>
          </w:p>
        </w:tc>
        <w:tc>
          <w:tcPr>
            <w:tcW w:w="120" w:type="dxa"/>
            <w:vAlign w:val="bottom"/>
            <w:tcBorders>
              <w:bottom w:val="single" w:sz="8" w:color="EDEDED"/>
            </w:tcBorders>
            <w:shd w:val="clear" w:color="auto" w:fill="EDEDED"/>
          </w:tcPr>
          <w:p>
            <w:pPr>
              <w:spacing w:after="0"/>
              <w:rPr>
                <w:sz w:val="13"/>
                <w:szCs w:val="13"/>
                <w:color w:val="auto"/>
              </w:rPr>
            </w:pPr>
          </w:p>
        </w:tc>
        <w:tc>
          <w:tcPr>
            <w:tcW w:w="120" w:type="dxa"/>
            <w:vAlign w:val="bottom"/>
            <w:tcBorders>
              <w:bottom w:val="single" w:sz="8" w:color="EDEDED"/>
            </w:tcBorders>
            <w:shd w:val="clear" w:color="auto" w:fill="EDEDED"/>
          </w:tcPr>
          <w:p>
            <w:pPr>
              <w:spacing w:after="0"/>
              <w:rPr>
                <w:sz w:val="13"/>
                <w:szCs w:val="13"/>
                <w:color w:val="auto"/>
              </w:rPr>
            </w:pPr>
          </w:p>
        </w:tc>
        <w:tc>
          <w:tcPr>
            <w:tcW w:w="8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1"/>
                <w:szCs w:val="11"/>
                <w:color w:val="auto"/>
              </w:rPr>
              <w:t>6,232</w:t>
            </w:r>
          </w:p>
        </w:tc>
        <w:tc>
          <w:tcPr>
            <w:tcW w:w="1160" w:type="dxa"/>
            <w:vAlign w:val="bottom"/>
            <w:tcBorders>
              <w:bottom w:val="single" w:sz="8" w:color="EDEDED"/>
            </w:tcBorders>
            <w:gridSpan w:val="4"/>
            <w:shd w:val="clear" w:color="auto" w:fill="EDEDED"/>
          </w:tcPr>
          <w:p>
            <w:pPr>
              <w:jc w:val="right"/>
              <w:spacing w:after="0"/>
              <w:rPr>
                <w:sz w:val="20"/>
                <w:szCs w:val="20"/>
                <w:color w:val="auto"/>
              </w:rPr>
            </w:pPr>
            <w:r>
              <w:rPr>
                <w:rFonts w:ascii="Arial" w:cs="Arial" w:eastAsia="Arial" w:hAnsi="Arial"/>
                <w:sz w:val="11"/>
                <w:szCs w:val="11"/>
                <w:color w:val="auto"/>
              </w:rPr>
              <w:t>12,464</w:t>
            </w:r>
          </w:p>
        </w:tc>
        <w:tc>
          <w:tcPr>
            <w:tcW w:w="120" w:type="dxa"/>
            <w:vAlign w:val="bottom"/>
            <w:tcBorders>
              <w:bottom w:val="single" w:sz="8" w:color="EDEDED"/>
            </w:tcBorders>
            <w:shd w:val="clear" w:color="auto" w:fill="EDEDED"/>
          </w:tcPr>
          <w:p>
            <w:pPr>
              <w:spacing w:after="0"/>
              <w:rPr>
                <w:sz w:val="13"/>
                <w:szCs w:val="13"/>
                <w:color w:val="auto"/>
              </w:rPr>
            </w:pPr>
          </w:p>
        </w:tc>
        <w:tc>
          <w:tcPr>
            <w:tcW w:w="1180" w:type="dxa"/>
            <w:vAlign w:val="bottom"/>
            <w:tcBorders>
              <w:bottom w:val="single" w:sz="8" w:color="EDEDED"/>
            </w:tcBorders>
            <w:shd w:val="clear" w:color="auto" w:fill="EDEDED"/>
          </w:tcPr>
          <w:p>
            <w:pPr>
              <w:ind w:left="9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EDEDED"/>
            </w:tcBorders>
            <w:shd w:val="clear" w:color="auto" w:fill="EDEDED"/>
          </w:tcPr>
          <w:p>
            <w:pPr>
              <w:ind w:left="120"/>
              <w:spacing w:after="0"/>
              <w:rPr>
                <w:sz w:val="20"/>
                <w:szCs w:val="20"/>
                <w:color w:val="auto"/>
              </w:rPr>
            </w:pPr>
            <w:r>
              <w:rPr>
                <w:rFonts w:ascii="Arial" w:cs="Arial" w:eastAsia="Arial" w:hAnsi="Arial"/>
                <w:sz w:val="11"/>
                <w:szCs w:val="11"/>
                <w:color w:val="auto"/>
              </w:rPr>
              <w:t>117.65</w:t>
            </w:r>
          </w:p>
        </w:tc>
        <w:tc>
          <w:tcPr>
            <w:tcW w:w="7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1"/>
                <w:szCs w:val="11"/>
                <w:color w:val="auto"/>
              </w:rPr>
              <w:t>03/14/2028</w:t>
            </w:r>
          </w:p>
        </w:tc>
        <w:tc>
          <w:tcPr>
            <w:tcW w:w="120" w:type="dxa"/>
            <w:vAlign w:val="bottom"/>
            <w:tcBorders>
              <w:bottom w:val="single" w:sz="8" w:color="EDEDED"/>
            </w:tcBorders>
            <w:shd w:val="clear" w:color="auto" w:fill="EDEDED"/>
          </w:tcPr>
          <w:p>
            <w:pPr>
              <w:spacing w:after="0"/>
              <w:rPr>
                <w:sz w:val="13"/>
                <w:szCs w:val="13"/>
                <w:color w:val="auto"/>
              </w:rPr>
            </w:pPr>
          </w:p>
        </w:tc>
        <w:tc>
          <w:tcPr>
            <w:tcW w:w="980" w:type="dxa"/>
            <w:vAlign w:val="bottom"/>
            <w:tcBorders>
              <w:bottom w:val="single" w:sz="8" w:color="EDEDED"/>
            </w:tcBorders>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EDEDED"/>
            </w:tcBorders>
            <w:shd w:val="clear" w:color="auto" w:fill="EDEDED"/>
          </w:tcPr>
          <w:p>
            <w:pPr>
              <w:spacing w:after="0"/>
              <w:rPr>
                <w:sz w:val="13"/>
                <w:szCs w:val="13"/>
                <w:color w:val="auto"/>
              </w:rPr>
            </w:pPr>
          </w:p>
        </w:tc>
        <w:tc>
          <w:tcPr>
            <w:tcW w:w="1080" w:type="dxa"/>
            <w:vAlign w:val="bottom"/>
            <w:tcBorders>
              <w:bottom w:val="single" w:sz="8" w:color="EDEDED"/>
            </w:tcBorders>
            <w:shd w:val="clear" w:color="auto" w:fill="EDEDED"/>
          </w:tcPr>
          <w:p>
            <w:pPr>
              <w:jc w:val="right"/>
              <w:ind w:right="18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EDEDED"/>
            </w:tcBorders>
            <w:shd w:val="clear" w:color="auto" w:fill="EDEDED"/>
          </w:tcPr>
          <w:p>
            <w:pPr>
              <w:spacing w:after="0"/>
              <w:rPr>
                <w:sz w:val="13"/>
                <w:szCs w:val="13"/>
                <w:color w:val="auto"/>
              </w:rPr>
            </w:pPr>
          </w:p>
        </w:tc>
        <w:tc>
          <w:tcPr>
            <w:tcW w:w="98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36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80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80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18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74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260" w:type="dxa"/>
            <w:vAlign w:val="bottom"/>
            <w:shd w:val="clear" w:color="auto" w:fill="7F7F7F"/>
          </w:tcPr>
          <w:p>
            <w:pPr>
              <w:spacing w:after="0" w:line="20" w:lineRule="exact"/>
              <w:rPr>
                <w:sz w:val="1"/>
                <w:szCs w:val="1"/>
                <w:color w:val="auto"/>
              </w:rPr>
            </w:pPr>
          </w:p>
        </w:tc>
        <w:tc>
          <w:tcPr>
            <w:tcW w:w="1080" w:type="dxa"/>
            <w:vAlign w:val="bottom"/>
            <w:shd w:val="clear" w:color="auto" w:fill="7F7F7F"/>
          </w:tcPr>
          <w:p>
            <w:pPr>
              <w:spacing w:after="0" w:line="20" w:lineRule="exact"/>
              <w:rPr>
                <w:sz w:val="1"/>
                <w:szCs w:val="1"/>
                <w:color w:val="auto"/>
              </w:rPr>
            </w:pPr>
          </w:p>
        </w:tc>
        <w:tc>
          <w:tcPr>
            <w:tcW w:w="1040" w:type="dxa"/>
            <w:vAlign w:val="bottom"/>
            <w:shd w:val="clear" w:color="auto" w:fill="7F7F7F"/>
          </w:tcPr>
          <w:p>
            <w:pPr>
              <w:spacing w:after="0" w:line="20" w:lineRule="exact"/>
              <w:rPr>
                <w:sz w:val="1"/>
                <w:szCs w:val="1"/>
                <w:color w:val="auto"/>
              </w:rPr>
            </w:pPr>
          </w:p>
        </w:tc>
        <w:tc>
          <w:tcPr>
            <w:tcW w:w="380" w:type="dxa"/>
            <w:vAlign w:val="bottom"/>
            <w:shd w:val="clear" w:color="auto" w:fill="7F7F7F"/>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00" w:hanging="372"/>
        <w:spacing w:after="0" w:line="257" w:lineRule="auto"/>
        <w:tabs>
          <w:tab w:leader="none" w:pos="500" w:val="left"/>
        </w:tabs>
        <w:numPr>
          <w:ilvl w:val="0"/>
          <w:numId w:val="45"/>
        </w:numPr>
        <w:rPr>
          <w:rFonts w:ascii="Arial" w:cs="Arial" w:eastAsia="Arial" w:hAnsi="Arial"/>
          <w:sz w:val="20"/>
          <w:szCs w:val="20"/>
          <w:color w:val="auto"/>
        </w:rPr>
      </w:pPr>
      <w:r>
        <w:rPr>
          <w:rFonts w:ascii="Arial" w:cs="Arial" w:eastAsia="Arial" w:hAnsi="Arial"/>
          <w:sz w:val="20"/>
          <w:szCs w:val="20"/>
          <w:i w:val="1"/>
          <w:iCs w:val="1"/>
          <w:color w:val="auto"/>
        </w:rPr>
        <w:t>Stock option awards</w:t>
      </w:r>
      <w:r>
        <w:rPr>
          <w:rFonts w:ascii="Arial" w:cs="Arial" w:eastAsia="Arial" w:hAnsi="Arial"/>
          <w:sz w:val="20"/>
          <w:szCs w:val="20"/>
          <w:color w:val="auto"/>
        </w:rPr>
        <w:t>. All stock options are scheduled to vest ratably on the first, second, third and fourth anniversary dates</w:t>
      </w:r>
      <w:r>
        <w:rPr>
          <w:rFonts w:ascii="Arial" w:cs="Arial" w:eastAsia="Arial" w:hAnsi="Arial"/>
          <w:sz w:val="20"/>
          <w:szCs w:val="20"/>
          <w:i w:val="1"/>
          <w:iCs w:val="1"/>
          <w:color w:val="auto"/>
        </w:rPr>
        <w:t xml:space="preserve"> </w:t>
      </w:r>
      <w:r>
        <w:rPr>
          <w:rFonts w:ascii="Arial" w:cs="Arial" w:eastAsia="Arial" w:hAnsi="Arial"/>
          <w:sz w:val="20"/>
          <w:szCs w:val="20"/>
          <w:color w:val="auto"/>
        </w:rPr>
        <w:t>from the date of grant.</w:t>
      </w:r>
    </w:p>
    <w:p>
      <w:pPr>
        <w:spacing w:after="0" w:line="47" w:lineRule="exact"/>
        <w:rPr>
          <w:rFonts w:ascii="Arial" w:cs="Arial" w:eastAsia="Arial" w:hAnsi="Arial"/>
          <w:sz w:val="20"/>
          <w:szCs w:val="20"/>
          <w:color w:val="auto"/>
        </w:rPr>
      </w:pPr>
    </w:p>
    <w:p>
      <w:pPr>
        <w:ind w:left="520"/>
        <w:spacing w:after="0"/>
        <w:rPr>
          <w:rFonts w:ascii="Arial" w:cs="Arial" w:eastAsia="Arial" w:hAnsi="Arial"/>
          <w:sz w:val="20"/>
          <w:szCs w:val="20"/>
          <w:color w:val="auto"/>
        </w:rPr>
      </w:pPr>
      <w:r>
        <w:rPr>
          <w:rFonts w:ascii="Arial" w:cs="Arial" w:eastAsia="Arial" w:hAnsi="Arial"/>
          <w:sz w:val="20"/>
          <w:szCs w:val="20"/>
          <w:color w:val="auto"/>
        </w:rPr>
        <w:t>The applicable grant dates for the options indicated above are set forth below:</w:t>
      </w:r>
    </w:p>
    <w:p>
      <w:pPr>
        <w:spacing w:after="0" w:line="94" w:lineRule="exact"/>
        <w:rPr>
          <w:rFonts w:ascii="Arial" w:cs="Arial" w:eastAsia="Arial" w:hAnsi="Arial"/>
          <w:sz w:val="20"/>
          <w:szCs w:val="20"/>
          <w:color w:val="auto"/>
        </w:rPr>
      </w:pPr>
    </w:p>
    <w:p>
      <w:pPr>
        <w:ind w:left="640" w:hanging="123"/>
        <w:spacing w:after="0"/>
        <w:tabs>
          <w:tab w:leader="none" w:pos="640" w:val="left"/>
        </w:tabs>
        <w:numPr>
          <w:ilvl w:val="1"/>
          <w:numId w:val="45"/>
        </w:numPr>
        <w:rPr>
          <w:rFonts w:ascii="Times New Roman" w:cs="Times New Roman" w:eastAsia="Times New Roman" w:hAnsi="Times New Roman"/>
          <w:sz w:val="20"/>
          <w:szCs w:val="20"/>
          <w:color w:val="052666"/>
        </w:rPr>
      </w:pPr>
      <w:r>
        <w:rPr>
          <w:rFonts w:ascii="Arial" w:cs="Arial" w:eastAsia="Arial" w:hAnsi="Arial"/>
          <w:sz w:val="20"/>
          <w:szCs w:val="20"/>
          <w:color w:val="auto"/>
        </w:rPr>
        <w:t>On March 17, 2021, stock options were granted with an exercise price of $138.80.</w:t>
      </w:r>
    </w:p>
    <w:p>
      <w:pPr>
        <w:spacing w:after="0" w:line="106" w:lineRule="exact"/>
        <w:rPr>
          <w:rFonts w:ascii="Times New Roman" w:cs="Times New Roman" w:eastAsia="Times New Roman" w:hAnsi="Times New Roman"/>
          <w:sz w:val="20"/>
          <w:szCs w:val="20"/>
          <w:color w:val="052666"/>
        </w:rPr>
      </w:pPr>
    </w:p>
    <w:p>
      <w:pPr>
        <w:ind w:left="640" w:hanging="123"/>
        <w:spacing w:after="0"/>
        <w:tabs>
          <w:tab w:leader="none" w:pos="640" w:val="left"/>
        </w:tabs>
        <w:numPr>
          <w:ilvl w:val="1"/>
          <w:numId w:val="45"/>
        </w:numPr>
        <w:rPr>
          <w:rFonts w:ascii="Times New Roman" w:cs="Times New Roman" w:eastAsia="Times New Roman" w:hAnsi="Times New Roman"/>
          <w:sz w:val="20"/>
          <w:szCs w:val="20"/>
          <w:color w:val="052666"/>
        </w:rPr>
      </w:pPr>
      <w:r>
        <w:rPr>
          <w:rFonts w:ascii="Arial" w:cs="Arial" w:eastAsia="Arial" w:hAnsi="Arial"/>
          <w:sz w:val="20"/>
          <w:szCs w:val="20"/>
          <w:color w:val="auto"/>
        </w:rPr>
        <w:t>On March 17, 2021, premium stock options were granted with a 10% premium exercise price of $152.68.</w:t>
      </w:r>
    </w:p>
    <w:p>
      <w:pPr>
        <w:spacing w:after="0" w:line="106" w:lineRule="exact"/>
        <w:rPr>
          <w:rFonts w:ascii="Times New Roman" w:cs="Times New Roman" w:eastAsia="Times New Roman" w:hAnsi="Times New Roman"/>
          <w:sz w:val="20"/>
          <w:szCs w:val="20"/>
          <w:color w:val="052666"/>
        </w:rPr>
      </w:pPr>
    </w:p>
    <w:p>
      <w:pPr>
        <w:ind w:left="640" w:hanging="123"/>
        <w:spacing w:after="0"/>
        <w:tabs>
          <w:tab w:leader="none" w:pos="640" w:val="left"/>
        </w:tabs>
        <w:numPr>
          <w:ilvl w:val="1"/>
          <w:numId w:val="45"/>
        </w:numPr>
        <w:rPr>
          <w:rFonts w:ascii="Times New Roman" w:cs="Times New Roman" w:eastAsia="Times New Roman" w:hAnsi="Times New Roman"/>
          <w:sz w:val="20"/>
          <w:szCs w:val="20"/>
          <w:color w:val="052666"/>
        </w:rPr>
      </w:pPr>
      <w:r>
        <w:rPr>
          <w:rFonts w:ascii="Arial" w:cs="Arial" w:eastAsia="Arial" w:hAnsi="Arial"/>
          <w:sz w:val="20"/>
          <w:szCs w:val="20"/>
          <w:color w:val="auto"/>
        </w:rPr>
        <w:t>On March 23, 2022, stock options were granted with an exercise price of $143.81.</w:t>
      </w:r>
    </w:p>
    <w:p>
      <w:pPr>
        <w:spacing w:after="0" w:line="106" w:lineRule="exact"/>
        <w:rPr>
          <w:rFonts w:ascii="Times New Roman" w:cs="Times New Roman" w:eastAsia="Times New Roman" w:hAnsi="Times New Roman"/>
          <w:sz w:val="20"/>
          <w:szCs w:val="20"/>
          <w:color w:val="052666"/>
        </w:rPr>
      </w:pPr>
    </w:p>
    <w:p>
      <w:pPr>
        <w:ind w:left="640" w:hanging="123"/>
        <w:spacing w:after="0"/>
        <w:tabs>
          <w:tab w:leader="none" w:pos="640" w:val="left"/>
        </w:tabs>
        <w:numPr>
          <w:ilvl w:val="1"/>
          <w:numId w:val="45"/>
        </w:numPr>
        <w:rPr>
          <w:rFonts w:ascii="Times New Roman" w:cs="Times New Roman" w:eastAsia="Times New Roman" w:hAnsi="Times New Roman"/>
          <w:sz w:val="20"/>
          <w:szCs w:val="20"/>
          <w:color w:val="052666"/>
        </w:rPr>
      </w:pPr>
      <w:r>
        <w:rPr>
          <w:rFonts w:ascii="Arial" w:cs="Arial" w:eastAsia="Arial" w:hAnsi="Arial"/>
          <w:sz w:val="20"/>
          <w:szCs w:val="20"/>
          <w:color w:val="auto"/>
        </w:rPr>
        <w:t>On January 18, 2023, stock options were granted with an exercise price of $145.65</w:t>
      </w:r>
    </w:p>
    <w:p>
      <w:pPr>
        <w:spacing w:after="0" w:line="106" w:lineRule="exact"/>
        <w:rPr>
          <w:rFonts w:ascii="Times New Roman" w:cs="Times New Roman" w:eastAsia="Times New Roman" w:hAnsi="Times New Roman"/>
          <w:sz w:val="20"/>
          <w:szCs w:val="20"/>
          <w:color w:val="052666"/>
        </w:rPr>
      </w:pPr>
    </w:p>
    <w:p>
      <w:pPr>
        <w:ind w:left="640" w:hanging="123"/>
        <w:spacing w:after="0"/>
        <w:tabs>
          <w:tab w:leader="none" w:pos="640" w:val="left"/>
        </w:tabs>
        <w:numPr>
          <w:ilvl w:val="1"/>
          <w:numId w:val="45"/>
        </w:numPr>
        <w:rPr>
          <w:rFonts w:ascii="Times New Roman" w:cs="Times New Roman" w:eastAsia="Times New Roman" w:hAnsi="Times New Roman"/>
          <w:sz w:val="20"/>
          <w:szCs w:val="20"/>
          <w:color w:val="052666"/>
        </w:rPr>
      </w:pPr>
      <w:r>
        <w:rPr>
          <w:rFonts w:ascii="Arial" w:cs="Arial" w:eastAsia="Arial" w:hAnsi="Arial"/>
          <w:sz w:val="20"/>
          <w:szCs w:val="20"/>
          <w:color w:val="auto"/>
        </w:rPr>
        <w:t>On March 15, 2023, stock options were granted with an exercise price of $117.65.</w:t>
      </w:r>
    </w:p>
    <w:p>
      <w:pPr>
        <w:spacing w:after="0" w:line="106" w:lineRule="exact"/>
        <w:rPr>
          <w:rFonts w:ascii="Times New Roman" w:cs="Times New Roman" w:eastAsia="Times New Roman" w:hAnsi="Times New Roman"/>
          <w:sz w:val="20"/>
          <w:szCs w:val="20"/>
          <w:color w:val="052666"/>
        </w:rPr>
      </w:pPr>
    </w:p>
    <w:p>
      <w:pPr>
        <w:jc w:val="both"/>
        <w:ind w:left="500" w:hanging="372"/>
        <w:spacing w:after="0" w:line="237" w:lineRule="auto"/>
        <w:tabs>
          <w:tab w:leader="none" w:pos="500" w:val="left"/>
        </w:tabs>
        <w:numPr>
          <w:ilvl w:val="0"/>
          <w:numId w:val="45"/>
        </w:numPr>
        <w:rPr>
          <w:rFonts w:ascii="Arial" w:cs="Arial" w:eastAsia="Arial" w:hAnsi="Arial"/>
          <w:sz w:val="20"/>
          <w:szCs w:val="20"/>
          <w:color w:val="auto"/>
        </w:rPr>
      </w:pPr>
      <w:r>
        <w:rPr>
          <w:rFonts w:ascii="Arial" w:cs="Arial" w:eastAsia="Arial" w:hAnsi="Arial"/>
          <w:sz w:val="20"/>
          <w:szCs w:val="20"/>
          <w:i w:val="1"/>
          <w:iCs w:val="1"/>
          <w:color w:val="auto"/>
        </w:rPr>
        <w:t>Performance-Based Restricted Stock Units</w:t>
      </w:r>
      <w:r>
        <w:rPr>
          <w:rFonts w:ascii="Arial" w:cs="Arial" w:eastAsia="Arial" w:hAnsi="Arial"/>
          <w:sz w:val="20"/>
          <w:szCs w:val="20"/>
          <w:color w:val="auto"/>
        </w:rPr>
        <w:t>. On March 21, 2024 and March 19, 2025, 100% of the annual target stock-based compensation awards for our CEO and other NEOs, were issued in the form of performance-based RSUs and time-based RSUs. The performance-based RSUs are earned based upon achievement of the three-year growth in our adjusted earnings before interest, taxes,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000052"/>
        </w:rPr>
        <w:t>Outstanding Equity Awards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left="500"/>
        <w:spacing w:after="0" w:line="241" w:lineRule="auto"/>
        <w:rPr>
          <w:sz w:val="20"/>
          <w:szCs w:val="20"/>
          <w:color w:val="auto"/>
        </w:rPr>
      </w:pPr>
      <w:r>
        <w:rPr>
          <w:rFonts w:ascii="Arial" w:cs="Arial" w:eastAsia="Arial" w:hAnsi="Arial"/>
          <w:sz w:val="20"/>
          <w:szCs w:val="20"/>
          <w:color w:val="auto"/>
        </w:rPr>
        <w:t>amortization, and the impacts of other income/expenses, as compared to a target range of pre-established thresholds. The time-based RSUs are scheduled to vest in four equal installments on the first, second, third and fourth anniversaries of the grant date.</w:t>
      </w:r>
    </w:p>
    <w:p>
      <w:pPr>
        <w:spacing w:after="0" w:line="23" w:lineRule="exact"/>
        <w:rPr>
          <w:sz w:val="20"/>
          <w:szCs w:val="20"/>
          <w:color w:val="auto"/>
        </w:rPr>
      </w:pPr>
    </w:p>
    <w:p>
      <w:pPr>
        <w:jc w:val="both"/>
        <w:ind w:left="500" w:hanging="372"/>
        <w:spacing w:after="0" w:line="241" w:lineRule="auto"/>
        <w:tabs>
          <w:tab w:leader="none" w:pos="5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Mr. Sim was hired by the Company in December, 2022. In connection with the commencement of his employment, Mr. Sim was awarded 50,000 stock options in January, 2023, with an exercise price of $145.65, that are scheduled to vest ratably over four years and expire in five years.</w:t>
      </w:r>
    </w:p>
    <w:p>
      <w:pPr>
        <w:spacing w:after="0" w:line="36" w:lineRule="exact"/>
        <w:rPr>
          <w:rFonts w:ascii="Arial" w:cs="Arial" w:eastAsia="Arial" w:hAnsi="Arial"/>
          <w:sz w:val="20"/>
          <w:szCs w:val="20"/>
          <w:color w:val="auto"/>
        </w:rPr>
      </w:pPr>
    </w:p>
    <w:p>
      <w:pPr>
        <w:ind w:left="500" w:hanging="372"/>
        <w:spacing w:after="0" w:line="257" w:lineRule="auto"/>
        <w:tabs>
          <w:tab w:leader="none" w:pos="5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Based on the closing sale price of the Class B Common Stock on the New York Stock Exchange on December 31, 2025 of $218.02 per share.</w:t>
      </w:r>
    </w:p>
    <w:p>
      <w:pPr>
        <w:spacing w:after="0" w:line="6" w:lineRule="exact"/>
        <w:rPr>
          <w:rFonts w:ascii="Arial" w:cs="Arial" w:eastAsia="Arial" w:hAnsi="Arial"/>
          <w:sz w:val="20"/>
          <w:szCs w:val="20"/>
          <w:color w:val="auto"/>
        </w:rPr>
      </w:pPr>
    </w:p>
    <w:p>
      <w:pPr>
        <w:ind w:left="500" w:hanging="372"/>
        <w:spacing w:after="0"/>
        <w:tabs>
          <w:tab w:leader="none" w:pos="5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Amounts reflect the vesting of the 2023 PBRSUs at 150% of the target awards, as discussed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7" w:name="page58"/>
    <w:bookmarkEnd w:id="57"/>
    <w:p>
      <w:pPr>
        <w:spacing w:after="0"/>
        <w:rPr>
          <w:sz w:val="20"/>
          <w:szCs w:val="20"/>
          <w:color w:val="auto"/>
        </w:rPr>
      </w:pPr>
      <w:r>
        <w:rPr>
          <w:rFonts w:ascii="Arial" w:cs="Arial" w:eastAsia="Arial" w:hAnsi="Arial"/>
          <w:sz w:val="40"/>
          <w:szCs w:val="40"/>
          <w:b w:val="1"/>
          <w:bCs w:val="1"/>
          <w:color w:val="052666"/>
        </w:rPr>
        <w:t>OPTION EXERCISES AND STOCK VESTED</w:t>
      </w:r>
    </w:p>
    <w:p>
      <w:pPr>
        <w:spacing w:after="0" w:line="200" w:lineRule="exact"/>
        <w:rPr>
          <w:sz w:val="20"/>
          <w:szCs w:val="20"/>
          <w:color w:val="auto"/>
        </w:rPr>
      </w:pP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table provides information about stock option exercises by, and the vesting of stock for, our named executive officers during fiscal year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Borders>
              <w:bottom w:val="single" w:sz="8" w:color="auto"/>
            </w:tcBorders>
            <w:gridSpan w:val="3"/>
          </w:tcPr>
          <w:p>
            <w:pPr>
              <w:jc w:val="right"/>
              <w:ind w:right="1262"/>
              <w:spacing w:after="0"/>
              <w:rPr>
                <w:sz w:val="20"/>
                <w:szCs w:val="20"/>
                <w:color w:val="auto"/>
              </w:rPr>
            </w:pPr>
            <w:r>
              <w:rPr>
                <w:rFonts w:ascii="Arial" w:cs="Arial" w:eastAsia="Arial" w:hAnsi="Arial"/>
                <w:sz w:val="14"/>
                <w:szCs w:val="14"/>
                <w:b w:val="1"/>
                <w:bCs w:val="1"/>
                <w:color w:val="052666"/>
              </w:rPr>
              <w:t>Option Awards</w:t>
            </w:r>
          </w:p>
        </w:tc>
        <w:tc>
          <w:tcPr>
            <w:tcW w:w="120" w:type="dxa"/>
            <w:vAlign w:val="bottom"/>
          </w:tcPr>
          <w:p>
            <w:pPr>
              <w:spacing w:after="0"/>
              <w:rPr>
                <w:sz w:val="14"/>
                <w:szCs w:val="14"/>
                <w:color w:val="auto"/>
              </w:rPr>
            </w:pPr>
          </w:p>
        </w:tc>
        <w:tc>
          <w:tcPr>
            <w:tcW w:w="3640" w:type="dxa"/>
            <w:vAlign w:val="bottom"/>
            <w:tcBorders>
              <w:bottom w:val="single" w:sz="8" w:color="auto"/>
            </w:tcBorders>
            <w:gridSpan w:val="3"/>
          </w:tcPr>
          <w:p>
            <w:pPr>
              <w:jc w:val="right"/>
              <w:ind w:right="1202"/>
              <w:spacing w:after="0"/>
              <w:rPr>
                <w:sz w:val="20"/>
                <w:szCs w:val="20"/>
                <w:color w:val="auto"/>
              </w:rPr>
            </w:pPr>
            <w:r>
              <w:rPr>
                <w:rFonts w:ascii="Arial" w:cs="Arial" w:eastAsia="Arial" w:hAnsi="Arial"/>
                <w:sz w:val="14"/>
                <w:szCs w:val="14"/>
                <w:b w:val="1"/>
                <w:bCs w:val="1"/>
                <w:color w:val="052666"/>
              </w:rPr>
              <w:t>Stock Awards (1.)</w:t>
            </w:r>
          </w:p>
        </w:tc>
      </w:tr>
      <w:tr>
        <w:trPr>
          <w:trHeight w:val="146"/>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center"/>
              <w:ind w:right="44"/>
              <w:spacing w:after="0" w:line="147" w:lineRule="exact"/>
              <w:rPr>
                <w:sz w:val="20"/>
                <w:szCs w:val="20"/>
                <w:color w:val="auto"/>
              </w:rPr>
            </w:pPr>
            <w:r>
              <w:rPr>
                <w:rFonts w:ascii="Arial" w:cs="Arial" w:eastAsia="Arial" w:hAnsi="Arial"/>
                <w:sz w:val="14"/>
                <w:szCs w:val="14"/>
                <w:b w:val="1"/>
                <w:bCs w:val="1"/>
                <w:color w:val="052666"/>
              </w:rPr>
              <w:t>Number of Shares</w:t>
            </w:r>
          </w:p>
        </w:tc>
        <w:tc>
          <w:tcPr>
            <w:tcW w:w="280" w:type="dxa"/>
            <w:vAlign w:val="bottom"/>
          </w:tcPr>
          <w:p>
            <w:pPr>
              <w:spacing w:after="0"/>
              <w:rPr>
                <w:sz w:val="12"/>
                <w:szCs w:val="12"/>
                <w:color w:val="auto"/>
              </w:rPr>
            </w:pPr>
          </w:p>
        </w:tc>
        <w:tc>
          <w:tcPr>
            <w:tcW w:w="1440" w:type="dxa"/>
            <w:vAlign w:val="bottom"/>
          </w:tcPr>
          <w:p>
            <w:pPr>
              <w:jc w:val="center"/>
              <w:ind w:right="202"/>
              <w:spacing w:after="0" w:line="147" w:lineRule="exact"/>
              <w:rPr>
                <w:sz w:val="20"/>
                <w:szCs w:val="20"/>
                <w:color w:val="auto"/>
              </w:rPr>
            </w:pPr>
            <w:r>
              <w:rPr>
                <w:rFonts w:ascii="Arial" w:cs="Arial" w:eastAsia="Arial" w:hAnsi="Arial"/>
                <w:sz w:val="14"/>
                <w:szCs w:val="14"/>
                <w:b w:val="1"/>
                <w:bCs w:val="1"/>
                <w:color w:val="052666"/>
              </w:rPr>
              <w:t>Value Realized</w:t>
            </w:r>
          </w:p>
        </w:tc>
        <w:tc>
          <w:tcPr>
            <w:tcW w:w="120" w:type="dxa"/>
            <w:vAlign w:val="bottom"/>
          </w:tcPr>
          <w:p>
            <w:pPr>
              <w:spacing w:after="0"/>
              <w:rPr>
                <w:sz w:val="12"/>
                <w:szCs w:val="12"/>
                <w:color w:val="auto"/>
              </w:rPr>
            </w:pPr>
          </w:p>
        </w:tc>
        <w:tc>
          <w:tcPr>
            <w:tcW w:w="1860" w:type="dxa"/>
            <w:vAlign w:val="bottom"/>
          </w:tcPr>
          <w:p>
            <w:pPr>
              <w:jc w:val="center"/>
              <w:ind w:right="68"/>
              <w:spacing w:after="0" w:line="147" w:lineRule="exact"/>
              <w:rPr>
                <w:sz w:val="20"/>
                <w:szCs w:val="20"/>
                <w:color w:val="auto"/>
              </w:rPr>
            </w:pPr>
            <w:r>
              <w:rPr>
                <w:rFonts w:ascii="Arial" w:cs="Arial" w:eastAsia="Arial" w:hAnsi="Arial"/>
                <w:sz w:val="14"/>
                <w:szCs w:val="14"/>
                <w:b w:val="1"/>
                <w:bCs w:val="1"/>
                <w:color w:val="052666"/>
              </w:rPr>
              <w:t>Number of Shares</w:t>
            </w:r>
          </w:p>
        </w:tc>
        <w:tc>
          <w:tcPr>
            <w:tcW w:w="300" w:type="dxa"/>
            <w:vAlign w:val="bottom"/>
          </w:tcPr>
          <w:p>
            <w:pPr>
              <w:spacing w:after="0"/>
              <w:rPr>
                <w:sz w:val="12"/>
                <w:szCs w:val="12"/>
                <w:color w:val="auto"/>
              </w:rPr>
            </w:pPr>
          </w:p>
        </w:tc>
        <w:tc>
          <w:tcPr>
            <w:tcW w:w="148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052666"/>
              </w:rPr>
              <w:t>Value Realized</w:t>
            </w: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ind w:right="64"/>
              <w:spacing w:after="0"/>
              <w:rPr>
                <w:sz w:val="20"/>
                <w:szCs w:val="20"/>
                <w:color w:val="auto"/>
              </w:rPr>
            </w:pPr>
            <w:r>
              <w:rPr>
                <w:rFonts w:ascii="Arial" w:cs="Arial" w:eastAsia="Arial" w:hAnsi="Arial"/>
                <w:sz w:val="14"/>
                <w:szCs w:val="14"/>
                <w:b w:val="1"/>
                <w:bCs w:val="1"/>
                <w:color w:val="052666"/>
              </w:rPr>
              <w:t>Acquired on Exercise</w:t>
            </w:r>
          </w:p>
        </w:tc>
        <w:tc>
          <w:tcPr>
            <w:tcW w:w="280" w:type="dxa"/>
            <w:vAlign w:val="bottom"/>
          </w:tcPr>
          <w:p>
            <w:pPr>
              <w:spacing w:after="0"/>
              <w:rPr>
                <w:sz w:val="14"/>
                <w:szCs w:val="14"/>
                <w:color w:val="auto"/>
              </w:rPr>
            </w:pPr>
          </w:p>
        </w:tc>
        <w:tc>
          <w:tcPr>
            <w:tcW w:w="1440" w:type="dxa"/>
            <w:vAlign w:val="bottom"/>
          </w:tcPr>
          <w:p>
            <w:pPr>
              <w:jc w:val="center"/>
              <w:ind w:right="202"/>
              <w:spacing w:after="0"/>
              <w:rPr>
                <w:sz w:val="20"/>
                <w:szCs w:val="20"/>
                <w:color w:val="auto"/>
              </w:rPr>
            </w:pPr>
            <w:r>
              <w:rPr>
                <w:rFonts w:ascii="Arial" w:cs="Arial" w:eastAsia="Arial" w:hAnsi="Arial"/>
                <w:sz w:val="14"/>
                <w:szCs w:val="14"/>
                <w:b w:val="1"/>
                <w:bCs w:val="1"/>
                <w:color w:val="052666"/>
              </w:rPr>
              <w:t>on Exercise</w:t>
            </w:r>
          </w:p>
        </w:tc>
        <w:tc>
          <w:tcPr>
            <w:tcW w:w="120" w:type="dxa"/>
            <w:vAlign w:val="bottom"/>
          </w:tcPr>
          <w:p>
            <w:pPr>
              <w:spacing w:after="0"/>
              <w:rPr>
                <w:sz w:val="14"/>
                <w:szCs w:val="14"/>
                <w:color w:val="auto"/>
              </w:rPr>
            </w:pPr>
          </w:p>
        </w:tc>
        <w:tc>
          <w:tcPr>
            <w:tcW w:w="1860" w:type="dxa"/>
            <w:vAlign w:val="bottom"/>
          </w:tcPr>
          <w:p>
            <w:pPr>
              <w:jc w:val="center"/>
              <w:ind w:right="68"/>
              <w:spacing w:after="0"/>
              <w:rPr>
                <w:sz w:val="20"/>
                <w:szCs w:val="20"/>
                <w:color w:val="auto"/>
              </w:rPr>
            </w:pPr>
            <w:r>
              <w:rPr>
                <w:rFonts w:ascii="Arial" w:cs="Arial" w:eastAsia="Arial" w:hAnsi="Arial"/>
                <w:sz w:val="14"/>
                <w:szCs w:val="14"/>
                <w:b w:val="1"/>
                <w:bCs w:val="1"/>
                <w:color w:val="052666"/>
              </w:rPr>
              <w:t>Acquired on Vesting</w:t>
            </w:r>
          </w:p>
        </w:tc>
        <w:tc>
          <w:tcPr>
            <w:tcW w:w="300" w:type="dxa"/>
            <w:vAlign w:val="bottom"/>
          </w:tcPr>
          <w:p>
            <w:pPr>
              <w:spacing w:after="0"/>
              <w:rPr>
                <w:sz w:val="14"/>
                <w:szCs w:val="14"/>
                <w:color w:val="auto"/>
              </w:rPr>
            </w:pPr>
          </w:p>
        </w:tc>
        <w:tc>
          <w:tcPr>
            <w:tcW w:w="1480" w:type="dxa"/>
            <w:vAlign w:val="bottom"/>
          </w:tcPr>
          <w:p>
            <w:pPr>
              <w:jc w:val="center"/>
              <w:ind w:right="222"/>
              <w:spacing w:after="0"/>
              <w:rPr>
                <w:sz w:val="20"/>
                <w:szCs w:val="20"/>
                <w:color w:val="auto"/>
              </w:rPr>
            </w:pPr>
            <w:r>
              <w:rPr>
                <w:rFonts w:ascii="Arial" w:cs="Arial" w:eastAsia="Arial" w:hAnsi="Arial"/>
                <w:sz w:val="14"/>
                <w:szCs w:val="14"/>
                <w:b w:val="1"/>
                <w:bCs w:val="1"/>
                <w:color w:val="052666"/>
              </w:rPr>
              <w:t>on Vesting</w:t>
            </w:r>
          </w:p>
        </w:tc>
      </w:tr>
      <w:tr>
        <w:trPr>
          <w:trHeight w:val="171"/>
        </w:trPr>
        <w:tc>
          <w:tcPr>
            <w:tcW w:w="3780" w:type="dxa"/>
            <w:vAlign w:val="bottom"/>
            <w:tcBorders>
              <w:bottom w:val="single" w:sz="8" w:color="052666"/>
            </w:tcBorders>
          </w:tcPr>
          <w:p>
            <w:pPr>
              <w:ind w:left="40"/>
              <w:spacing w:after="0"/>
              <w:rPr>
                <w:sz w:val="20"/>
                <w:szCs w:val="20"/>
                <w:color w:val="auto"/>
              </w:rPr>
            </w:pPr>
            <w:r>
              <w:rPr>
                <w:rFonts w:ascii="Arial" w:cs="Arial" w:eastAsia="Arial" w:hAnsi="Arial"/>
                <w:sz w:val="14"/>
                <w:szCs w:val="14"/>
                <w:b w:val="1"/>
                <w:bCs w:val="1"/>
                <w:color w:val="052666"/>
              </w:rPr>
              <w:t>Name</w:t>
            </w:r>
          </w:p>
        </w:tc>
        <w:tc>
          <w:tcPr>
            <w:tcW w:w="1980" w:type="dxa"/>
            <w:vAlign w:val="bottom"/>
            <w:tcBorders>
              <w:bottom w:val="single" w:sz="8" w:color="052666"/>
            </w:tcBorders>
            <w:gridSpan w:val="2"/>
          </w:tcPr>
          <w:p>
            <w:pPr>
              <w:jc w:val="center"/>
              <w:spacing w:after="0"/>
              <w:rPr>
                <w:sz w:val="20"/>
                <w:szCs w:val="20"/>
                <w:color w:val="auto"/>
              </w:rPr>
            </w:pPr>
            <w:r>
              <w:rPr>
                <w:rFonts w:ascii="Arial" w:cs="Arial" w:eastAsia="Arial" w:hAnsi="Arial"/>
                <w:sz w:val="14"/>
                <w:szCs w:val="14"/>
                <w:b w:val="1"/>
                <w:bCs w:val="1"/>
                <w:color w:val="052666"/>
              </w:rPr>
              <w:t>(#)</w:t>
            </w:r>
          </w:p>
        </w:tc>
        <w:tc>
          <w:tcPr>
            <w:tcW w:w="280" w:type="dxa"/>
            <w:vAlign w:val="bottom"/>
            <w:tcBorders>
              <w:bottom w:val="single" w:sz="8" w:color="052666"/>
            </w:tcBorders>
          </w:tcPr>
          <w:p>
            <w:pPr>
              <w:spacing w:after="0"/>
              <w:rPr>
                <w:sz w:val="14"/>
                <w:szCs w:val="14"/>
                <w:color w:val="auto"/>
              </w:rPr>
            </w:pPr>
          </w:p>
        </w:tc>
        <w:tc>
          <w:tcPr>
            <w:tcW w:w="1440" w:type="dxa"/>
            <w:vAlign w:val="bottom"/>
            <w:tcBorders>
              <w:bottom w:val="single" w:sz="8" w:color="052666"/>
            </w:tcBorders>
          </w:tcPr>
          <w:p>
            <w:pPr>
              <w:jc w:val="center"/>
              <w:ind w:right="182"/>
              <w:spacing w:after="0"/>
              <w:rPr>
                <w:sz w:val="20"/>
                <w:szCs w:val="20"/>
                <w:color w:val="auto"/>
              </w:rPr>
            </w:pPr>
            <w:r>
              <w:rPr>
                <w:rFonts w:ascii="Arial" w:cs="Arial" w:eastAsia="Arial" w:hAnsi="Arial"/>
                <w:sz w:val="14"/>
                <w:szCs w:val="14"/>
                <w:b w:val="1"/>
                <w:bCs w:val="1"/>
                <w:color w:val="052666"/>
              </w:rPr>
              <w:t>($)</w:t>
            </w:r>
          </w:p>
        </w:tc>
        <w:tc>
          <w:tcPr>
            <w:tcW w:w="1980" w:type="dxa"/>
            <w:vAlign w:val="bottom"/>
            <w:tcBorders>
              <w:bottom w:val="single" w:sz="8" w:color="052666"/>
            </w:tcBorders>
            <w:gridSpan w:val="2"/>
          </w:tcPr>
          <w:p>
            <w:pPr>
              <w:jc w:val="center"/>
              <w:spacing w:after="0"/>
              <w:rPr>
                <w:sz w:val="20"/>
                <w:szCs w:val="20"/>
                <w:color w:val="auto"/>
              </w:rPr>
            </w:pPr>
            <w:r>
              <w:rPr>
                <w:rFonts w:ascii="Arial" w:cs="Arial" w:eastAsia="Arial" w:hAnsi="Arial"/>
                <w:sz w:val="14"/>
                <w:szCs w:val="14"/>
                <w:b w:val="1"/>
                <w:bCs w:val="1"/>
                <w:color w:val="052666"/>
              </w:rPr>
              <w:t>(#)</w:t>
            </w:r>
          </w:p>
        </w:tc>
        <w:tc>
          <w:tcPr>
            <w:tcW w:w="300" w:type="dxa"/>
            <w:vAlign w:val="bottom"/>
            <w:tcBorders>
              <w:bottom w:val="single" w:sz="8" w:color="052666"/>
            </w:tcBorders>
          </w:tcPr>
          <w:p>
            <w:pPr>
              <w:spacing w:after="0"/>
              <w:rPr>
                <w:sz w:val="14"/>
                <w:szCs w:val="14"/>
                <w:color w:val="auto"/>
              </w:rPr>
            </w:pPr>
          </w:p>
        </w:tc>
        <w:tc>
          <w:tcPr>
            <w:tcW w:w="1480" w:type="dxa"/>
            <w:vAlign w:val="bottom"/>
            <w:tcBorders>
              <w:bottom w:val="single" w:sz="8" w:color="052666"/>
            </w:tcBorders>
          </w:tcPr>
          <w:p>
            <w:pPr>
              <w:jc w:val="center"/>
              <w:ind w:right="222"/>
              <w:spacing w:after="0"/>
              <w:rPr>
                <w:sz w:val="20"/>
                <w:szCs w:val="20"/>
                <w:color w:val="auto"/>
              </w:rPr>
            </w:pPr>
            <w:r>
              <w:rPr>
                <w:rFonts w:ascii="Arial" w:cs="Arial" w:eastAsia="Arial" w:hAnsi="Arial"/>
                <w:sz w:val="14"/>
                <w:szCs w:val="14"/>
                <w:b w:val="1"/>
                <w:bCs w:val="1"/>
                <w:color w:val="052666"/>
              </w:rPr>
              <w:t>($)</w:t>
            </w:r>
          </w:p>
        </w:tc>
      </w:tr>
      <w:tr>
        <w:trPr>
          <w:trHeight w:val="223"/>
        </w:trPr>
        <w:tc>
          <w:tcPr>
            <w:tcW w:w="3780" w:type="dxa"/>
            <w:vAlign w:val="bottom"/>
            <w:shd w:val="clear" w:color="auto" w:fill="EDEDED"/>
          </w:tcPr>
          <w:p>
            <w:pPr>
              <w:ind w:left="40"/>
              <w:spacing w:after="0"/>
              <w:rPr>
                <w:sz w:val="20"/>
                <w:szCs w:val="20"/>
                <w:color w:val="auto"/>
              </w:rPr>
            </w:pPr>
            <w:r>
              <w:rPr>
                <w:rFonts w:ascii="Arial" w:cs="Arial" w:eastAsia="Arial" w:hAnsi="Arial"/>
                <w:sz w:val="16"/>
                <w:szCs w:val="16"/>
                <w:color w:val="auto"/>
              </w:rPr>
              <w:t>Marc D. Miller</w:t>
            </w:r>
          </w:p>
        </w:tc>
        <w:tc>
          <w:tcPr>
            <w:tcW w:w="1980" w:type="dxa"/>
            <w:vAlign w:val="bottom"/>
            <w:gridSpan w:val="2"/>
            <w:shd w:val="clear" w:color="auto" w:fill="EDEDED"/>
          </w:tcPr>
          <w:p>
            <w:pPr>
              <w:jc w:val="right"/>
              <w:ind w:right="64"/>
              <w:spacing w:after="0"/>
              <w:rPr>
                <w:sz w:val="20"/>
                <w:szCs w:val="20"/>
                <w:color w:val="auto"/>
              </w:rPr>
            </w:pPr>
            <w:r>
              <w:rPr>
                <w:rFonts w:ascii="Arial" w:cs="Arial" w:eastAsia="Arial" w:hAnsi="Arial"/>
                <w:sz w:val="16"/>
                <w:szCs w:val="16"/>
                <w:color w:val="auto"/>
              </w:rPr>
              <w:t>219,220</w:t>
            </w:r>
          </w:p>
        </w:tc>
        <w:tc>
          <w:tcPr>
            <w:tcW w:w="2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auto"/>
              </w:rPr>
              <w:t>18,746,576</w:t>
            </w:r>
          </w:p>
        </w:tc>
        <w:tc>
          <w:tcPr>
            <w:tcW w:w="1980" w:type="dxa"/>
            <w:vAlign w:val="bottom"/>
            <w:gridSpan w:val="2"/>
            <w:shd w:val="clear" w:color="auto" w:fill="EDEDED"/>
          </w:tcPr>
          <w:p>
            <w:pPr>
              <w:jc w:val="right"/>
              <w:ind w:right="48"/>
              <w:spacing w:after="0"/>
              <w:rPr>
                <w:sz w:val="20"/>
                <w:szCs w:val="20"/>
                <w:color w:val="auto"/>
              </w:rPr>
            </w:pPr>
            <w:r>
              <w:rPr>
                <w:rFonts w:ascii="Arial" w:cs="Arial" w:eastAsia="Arial" w:hAnsi="Arial"/>
                <w:sz w:val="16"/>
                <w:szCs w:val="16"/>
                <w:color w:val="auto"/>
              </w:rPr>
              <w:t>55,276</w:t>
            </w:r>
          </w:p>
        </w:tc>
        <w:tc>
          <w:tcPr>
            <w:tcW w:w="3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EDEDED"/>
          </w:tcPr>
          <w:p>
            <w:pPr>
              <w:jc w:val="right"/>
              <w:ind w:right="62"/>
              <w:spacing w:after="0"/>
              <w:rPr>
                <w:sz w:val="20"/>
                <w:szCs w:val="20"/>
                <w:color w:val="auto"/>
              </w:rPr>
            </w:pPr>
            <w:r>
              <w:rPr>
                <w:rFonts w:ascii="Arial" w:cs="Arial" w:eastAsia="Arial" w:hAnsi="Arial"/>
                <w:sz w:val="16"/>
                <w:szCs w:val="16"/>
                <w:color w:val="auto"/>
              </w:rPr>
              <w:t>9,278,314</w:t>
            </w:r>
          </w:p>
        </w:tc>
      </w:tr>
      <w:tr>
        <w:trPr>
          <w:trHeight w:val="229"/>
        </w:trPr>
        <w:tc>
          <w:tcPr>
            <w:tcW w:w="3780" w:type="dxa"/>
            <w:vAlign w:val="bottom"/>
          </w:tcPr>
          <w:p>
            <w:pPr>
              <w:ind w:left="40"/>
              <w:spacing w:after="0"/>
              <w:rPr>
                <w:sz w:val="20"/>
                <w:szCs w:val="20"/>
                <w:color w:val="auto"/>
              </w:rPr>
            </w:pPr>
            <w:r>
              <w:rPr>
                <w:rFonts w:ascii="Arial" w:cs="Arial" w:eastAsia="Arial" w:hAnsi="Arial"/>
                <w:sz w:val="16"/>
                <w:szCs w:val="16"/>
                <w:color w:val="auto"/>
              </w:rPr>
              <w:t>Alan B. Miller</w:t>
            </w:r>
          </w:p>
        </w:tc>
        <w:tc>
          <w:tcPr>
            <w:tcW w:w="1980" w:type="dxa"/>
            <w:vAlign w:val="bottom"/>
            <w:gridSpan w:val="2"/>
          </w:tcPr>
          <w:p>
            <w:pPr>
              <w:jc w:val="right"/>
              <w:ind w:right="64"/>
              <w:spacing w:after="0"/>
              <w:rPr>
                <w:sz w:val="20"/>
                <w:szCs w:val="20"/>
                <w:color w:val="auto"/>
              </w:rPr>
            </w:pPr>
            <w:r>
              <w:rPr>
                <w:rFonts w:ascii="Arial" w:cs="Arial" w:eastAsia="Arial" w:hAnsi="Arial"/>
                <w:sz w:val="16"/>
                <w:szCs w:val="16"/>
                <w:color w:val="auto"/>
              </w:rPr>
              <w:t>562,313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52,799,962</w:t>
            </w:r>
          </w:p>
        </w:tc>
        <w:tc>
          <w:tcPr>
            <w:tcW w:w="1980" w:type="dxa"/>
            <w:vAlign w:val="bottom"/>
            <w:gridSpan w:val="2"/>
          </w:tcPr>
          <w:p>
            <w:pPr>
              <w:jc w:val="right"/>
              <w:ind w:right="48"/>
              <w:spacing w:after="0"/>
              <w:rPr>
                <w:sz w:val="20"/>
                <w:szCs w:val="20"/>
                <w:color w:val="auto"/>
              </w:rPr>
            </w:pPr>
            <w:r>
              <w:rPr>
                <w:rFonts w:ascii="Arial" w:cs="Arial" w:eastAsia="Arial" w:hAnsi="Arial"/>
                <w:sz w:val="16"/>
                <w:szCs w:val="16"/>
                <w:color w:val="auto"/>
              </w:rPr>
              <w:t>29,068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4,879,193</w:t>
            </w:r>
          </w:p>
        </w:tc>
      </w:tr>
      <w:tr>
        <w:trPr>
          <w:trHeight w:val="230"/>
        </w:trPr>
        <w:tc>
          <w:tcPr>
            <w:tcW w:w="3780" w:type="dxa"/>
            <w:vAlign w:val="bottom"/>
            <w:shd w:val="clear" w:color="auto" w:fill="EDEDED"/>
          </w:tcPr>
          <w:p>
            <w:pPr>
              <w:ind w:left="40"/>
              <w:spacing w:after="0"/>
              <w:rPr>
                <w:sz w:val="20"/>
                <w:szCs w:val="20"/>
                <w:color w:val="auto"/>
              </w:rPr>
            </w:pPr>
            <w:r>
              <w:rPr>
                <w:rFonts w:ascii="Arial" w:cs="Arial" w:eastAsia="Arial" w:hAnsi="Arial"/>
                <w:sz w:val="16"/>
                <w:szCs w:val="16"/>
                <w:color w:val="auto"/>
              </w:rPr>
              <w:t>Steve G. Filton</w:t>
            </w:r>
          </w:p>
        </w:tc>
        <w:tc>
          <w:tcPr>
            <w:tcW w:w="100" w:type="dxa"/>
            <w:vAlign w:val="bottom"/>
            <w:shd w:val="clear" w:color="auto" w:fill="EDEDED"/>
          </w:tcPr>
          <w:p>
            <w:pPr>
              <w:spacing w:after="0"/>
              <w:rPr>
                <w:sz w:val="19"/>
                <w:szCs w:val="19"/>
                <w:color w:val="auto"/>
              </w:rPr>
            </w:pPr>
          </w:p>
        </w:tc>
        <w:tc>
          <w:tcPr>
            <w:tcW w:w="1880" w:type="dxa"/>
            <w:vAlign w:val="bottom"/>
            <w:shd w:val="clear" w:color="auto" w:fill="EDEDED"/>
          </w:tcPr>
          <w:p>
            <w:pPr>
              <w:jc w:val="right"/>
              <w:ind w:right="64"/>
              <w:spacing w:after="0"/>
              <w:rPr>
                <w:sz w:val="20"/>
                <w:szCs w:val="20"/>
                <w:color w:val="auto"/>
              </w:rPr>
            </w:pPr>
            <w:r>
              <w:rPr>
                <w:rFonts w:ascii="Arial" w:cs="Arial" w:eastAsia="Arial" w:hAnsi="Arial"/>
                <w:sz w:val="16"/>
                <w:szCs w:val="16"/>
                <w:color w:val="auto"/>
              </w:rPr>
              <w:t>—</w:t>
            </w:r>
          </w:p>
        </w:tc>
        <w:tc>
          <w:tcPr>
            <w:tcW w:w="2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EDEDED"/>
          </w:tcPr>
          <w:p>
            <w:pPr>
              <w:jc w:val="right"/>
              <w:ind w:right="48"/>
              <w:spacing w:after="0"/>
              <w:rPr>
                <w:sz w:val="20"/>
                <w:szCs w:val="20"/>
                <w:color w:val="auto"/>
              </w:rPr>
            </w:pPr>
            <w:r>
              <w:rPr>
                <w:rFonts w:ascii="Arial" w:cs="Arial" w:eastAsia="Arial" w:hAnsi="Arial"/>
                <w:sz w:val="16"/>
                <w:szCs w:val="16"/>
                <w:color w:val="auto"/>
              </w:rPr>
              <w:t>14,069</w:t>
            </w:r>
          </w:p>
        </w:tc>
        <w:tc>
          <w:tcPr>
            <w:tcW w:w="3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EDEDED"/>
          </w:tcPr>
          <w:p>
            <w:pPr>
              <w:jc w:val="right"/>
              <w:ind w:right="62"/>
              <w:spacing w:after="0"/>
              <w:rPr>
                <w:sz w:val="20"/>
                <w:szCs w:val="20"/>
                <w:color w:val="auto"/>
              </w:rPr>
            </w:pPr>
            <w:r>
              <w:rPr>
                <w:rFonts w:ascii="Arial" w:cs="Arial" w:eastAsia="Arial" w:hAnsi="Arial"/>
                <w:sz w:val="16"/>
                <w:szCs w:val="16"/>
                <w:color w:val="auto"/>
              </w:rPr>
              <w:t>2,361,542</w:t>
            </w:r>
          </w:p>
        </w:tc>
      </w:tr>
      <w:tr>
        <w:trPr>
          <w:trHeight w:val="229"/>
        </w:trPr>
        <w:tc>
          <w:tcPr>
            <w:tcW w:w="3780" w:type="dxa"/>
            <w:vAlign w:val="bottom"/>
          </w:tcPr>
          <w:p>
            <w:pPr>
              <w:ind w:left="40"/>
              <w:spacing w:after="0"/>
              <w:rPr>
                <w:sz w:val="20"/>
                <w:szCs w:val="20"/>
                <w:color w:val="auto"/>
              </w:rPr>
            </w:pPr>
            <w:r>
              <w:rPr>
                <w:rFonts w:ascii="Arial" w:cs="Arial" w:eastAsia="Arial" w:hAnsi="Arial"/>
                <w:sz w:val="16"/>
                <w:szCs w:val="16"/>
                <w:color w:val="auto"/>
              </w:rPr>
              <w:t>Edward H. Sim</w:t>
            </w:r>
          </w:p>
        </w:tc>
        <w:tc>
          <w:tcPr>
            <w:tcW w:w="100" w:type="dxa"/>
            <w:vAlign w:val="bottom"/>
          </w:tcPr>
          <w:p>
            <w:pPr>
              <w:spacing w:after="0"/>
              <w:rPr>
                <w:sz w:val="19"/>
                <w:szCs w:val="19"/>
                <w:color w:val="auto"/>
              </w:rPr>
            </w:pPr>
          </w:p>
        </w:tc>
        <w:tc>
          <w:tcPr>
            <w:tcW w:w="188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980" w:type="dxa"/>
            <w:vAlign w:val="bottom"/>
            <w:gridSpan w:val="2"/>
          </w:tcPr>
          <w:p>
            <w:pPr>
              <w:jc w:val="right"/>
              <w:ind w:right="48"/>
              <w:spacing w:after="0"/>
              <w:rPr>
                <w:sz w:val="20"/>
                <w:szCs w:val="20"/>
                <w:color w:val="auto"/>
              </w:rPr>
            </w:pPr>
            <w:r>
              <w:rPr>
                <w:rFonts w:ascii="Arial" w:cs="Arial" w:eastAsia="Arial" w:hAnsi="Arial"/>
                <w:sz w:val="16"/>
                <w:szCs w:val="16"/>
                <w:color w:val="auto"/>
              </w:rPr>
              <w:t>1,354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241,960</w:t>
            </w:r>
          </w:p>
        </w:tc>
      </w:tr>
      <w:tr>
        <w:trPr>
          <w:trHeight w:val="250"/>
        </w:trPr>
        <w:tc>
          <w:tcPr>
            <w:tcW w:w="378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6"/>
                <w:szCs w:val="16"/>
                <w:color w:val="auto"/>
              </w:rPr>
              <w:t>Matthew J. Peterson</w:t>
            </w:r>
          </w:p>
        </w:tc>
        <w:tc>
          <w:tcPr>
            <w:tcW w:w="100" w:type="dxa"/>
            <w:vAlign w:val="bottom"/>
            <w:tcBorders>
              <w:bottom w:val="single" w:sz="8" w:color="EDEDED"/>
            </w:tcBorders>
            <w:shd w:val="clear" w:color="auto" w:fill="EDEDED"/>
          </w:tcPr>
          <w:p>
            <w:pPr>
              <w:spacing w:after="0"/>
              <w:rPr>
                <w:sz w:val="21"/>
                <w:szCs w:val="21"/>
                <w:color w:val="auto"/>
              </w:rPr>
            </w:pPr>
          </w:p>
        </w:tc>
        <w:tc>
          <w:tcPr>
            <w:tcW w:w="1880" w:type="dxa"/>
            <w:vAlign w:val="bottom"/>
            <w:tcBorders>
              <w:bottom w:val="single" w:sz="8" w:color="EDEDED"/>
            </w:tcBorders>
            <w:shd w:val="clear" w:color="auto" w:fill="EDEDED"/>
          </w:tcPr>
          <w:p>
            <w:pPr>
              <w:jc w:val="right"/>
              <w:ind w:right="64"/>
              <w:spacing w:after="0"/>
              <w:rPr>
                <w:sz w:val="20"/>
                <w:szCs w:val="20"/>
                <w:color w:val="auto"/>
              </w:rPr>
            </w:pPr>
            <w:r>
              <w:rPr>
                <w:rFonts w:ascii="Arial" w:cs="Arial" w:eastAsia="Arial" w:hAnsi="Arial"/>
                <w:sz w:val="16"/>
                <w:szCs w:val="16"/>
                <w:color w:val="auto"/>
              </w:rPr>
              <w:t>17,890</w:t>
            </w:r>
          </w:p>
        </w:tc>
        <w:tc>
          <w:tcPr>
            <w:tcW w:w="2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DEDED"/>
            </w:tcBorders>
            <w:shd w:val="clear" w:color="auto" w:fill="EDEDED"/>
          </w:tcPr>
          <w:p>
            <w:pPr>
              <w:jc w:val="right"/>
              <w:ind w:right="42"/>
              <w:spacing w:after="0"/>
              <w:rPr>
                <w:sz w:val="20"/>
                <w:szCs w:val="20"/>
                <w:color w:val="auto"/>
              </w:rPr>
            </w:pPr>
            <w:r>
              <w:rPr>
                <w:rFonts w:ascii="Arial" w:cs="Arial" w:eastAsia="Arial" w:hAnsi="Arial"/>
                <w:sz w:val="16"/>
                <w:szCs w:val="16"/>
                <w:color w:val="auto"/>
              </w:rPr>
              <w:t>1,413,427</w:t>
            </w:r>
          </w:p>
        </w:tc>
        <w:tc>
          <w:tcPr>
            <w:tcW w:w="1980" w:type="dxa"/>
            <w:vAlign w:val="bottom"/>
            <w:tcBorders>
              <w:bottom w:val="single" w:sz="8" w:color="EDEDED"/>
            </w:tcBorders>
            <w:gridSpan w:val="2"/>
            <w:shd w:val="clear" w:color="auto" w:fill="EDEDED"/>
          </w:tcPr>
          <w:p>
            <w:pPr>
              <w:jc w:val="right"/>
              <w:ind w:right="48"/>
              <w:spacing w:after="0"/>
              <w:rPr>
                <w:sz w:val="20"/>
                <w:szCs w:val="20"/>
                <w:color w:val="auto"/>
              </w:rPr>
            </w:pPr>
            <w:r>
              <w:rPr>
                <w:rFonts w:ascii="Arial" w:cs="Arial" w:eastAsia="Arial" w:hAnsi="Arial"/>
                <w:sz w:val="16"/>
                <w:szCs w:val="16"/>
                <w:color w:val="auto"/>
              </w:rPr>
              <w:t>11,558</w:t>
            </w:r>
          </w:p>
        </w:tc>
        <w:tc>
          <w:tcPr>
            <w:tcW w:w="3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DEDED"/>
            </w:tcBorders>
            <w:shd w:val="clear" w:color="auto" w:fill="EDEDED"/>
          </w:tcPr>
          <w:p>
            <w:pPr>
              <w:jc w:val="right"/>
              <w:ind w:right="62"/>
              <w:spacing w:after="0"/>
              <w:rPr>
                <w:sz w:val="20"/>
                <w:szCs w:val="20"/>
                <w:color w:val="auto"/>
              </w:rPr>
            </w:pPr>
            <w:r>
              <w:rPr>
                <w:rFonts w:ascii="Arial" w:cs="Arial" w:eastAsia="Arial" w:hAnsi="Arial"/>
                <w:sz w:val="16"/>
                <w:szCs w:val="16"/>
                <w:color w:val="auto"/>
              </w:rPr>
              <w:t>1,940,065</w:t>
            </w:r>
          </w:p>
        </w:tc>
      </w:tr>
      <w:tr>
        <w:trPr>
          <w:trHeight w:val="20"/>
        </w:trPr>
        <w:tc>
          <w:tcPr>
            <w:tcW w:w="378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18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44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86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r>
    </w:tbl>
    <w:p>
      <w:pPr>
        <w:spacing w:after="0" w:line="194" w:lineRule="exact"/>
        <w:rPr>
          <w:sz w:val="20"/>
          <w:szCs w:val="20"/>
          <w:color w:val="auto"/>
        </w:rPr>
      </w:pPr>
    </w:p>
    <w:p>
      <w:pPr>
        <w:jc w:val="both"/>
        <w:ind w:left="500" w:hanging="372"/>
        <w:spacing w:after="0" w:line="234" w:lineRule="auto"/>
        <w:tabs>
          <w:tab w:leader="none" w:pos="5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Amounts reflected include: (i) the March, 2025 vesting of performance-based RSUs granted in March, 2022 (2022 PBRSUs) on which the performance period ended December 31, 2024, and; (ii) time-based RSUs granted in March, 2024, 25% of which vested in March, 2025. In March, 2025, our Compensation Committee determined that 112% of the target Adjusted EBITDA applicable to the 2022 PBRSUs had been achieved and therefore 150% of the target 2022 PBRSUs were earned and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58" w:name="page59"/>
    <w:bookmarkEnd w:id="58"/>
    <w:p>
      <w:pPr>
        <w:spacing w:after="0"/>
        <w:rPr>
          <w:sz w:val="20"/>
          <w:szCs w:val="20"/>
          <w:color w:val="auto"/>
        </w:rPr>
      </w:pPr>
      <w:r>
        <w:rPr>
          <w:rFonts w:ascii="Arial" w:cs="Arial" w:eastAsia="Arial" w:hAnsi="Arial"/>
          <w:sz w:val="40"/>
          <w:szCs w:val="40"/>
          <w:b w:val="1"/>
          <w:bCs w:val="1"/>
          <w:color w:val="052666"/>
        </w:rPr>
        <w:t>PENSION BENEFITS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Executive Retirement Income Plan</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 1993, the Board of Directors adopted the Executive Retirement Income Plan (“ERIP”), which was subsequently closed to new participants effective January 1, 2015. Pursuant to the terms of the ERIP, certain management or other highly compensated employees, who had been previously designated as plan participants by our Board of Directors prior to December 31, 2014, and who had completed at least 10 years of active employment with us, were eligible to receive retirement income benefits.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Subject to certain conditions, the monthly ERIP benefit is payable to a participant who retires after he or she reaches age 62 (applicable to participants added to the plan before 2008) or age 65 (applicable to participants added to the plan after January 1, 2008). The benefit is equal to 3% of the employee’s average monthly base salary over the three years preceding retirement multiplied by the number of qualified years (not to exceed 10) of the participant’s employment with us.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Upon attaining the qualified age of retirement as stipulated in the plan, subject to certain conditions, payment of ERIP benefits are made to participants in 60 monthly installments following their retirement date. In certain circumstances, the participant may elect to receive the present value of the payments in one lump sum or receive payments over a period of 10 years.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2018, upon commencement of the Supplemental Executive Retirement Income Plan (“SERIP”), as discussed below, certain participants of the ERIP, who had not yet approached their qualified age of retirement, were given the option to remain in the ERIP or convert their participation into the SERIP. Please see S</w:t>
      </w:r>
      <w:r>
        <w:rPr>
          <w:rFonts w:ascii="Arial" w:cs="Arial" w:eastAsia="Arial" w:hAnsi="Arial"/>
          <w:sz w:val="20"/>
          <w:szCs w:val="20"/>
          <w:i w:val="1"/>
          <w:iCs w:val="1"/>
          <w:color w:val="auto"/>
        </w:rPr>
        <w:t>upplemental Executive Retirement Income Plan</w:t>
      </w:r>
      <w:r>
        <w:rPr>
          <w:rFonts w:ascii="Arial" w:cs="Arial" w:eastAsia="Arial" w:hAnsi="Arial"/>
          <w:sz w:val="20"/>
          <w:szCs w:val="20"/>
          <w:color w:val="auto"/>
        </w:rPr>
        <w:t xml:space="preserve"> below for additional disclosure related to participants who elected to convert from the ERIP to the SERIP.</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Mr. Alan B. Miller remains a participant in the ERIP. Mr. Alan B. Miller’s aggregate benefit payable under the ERIP (for the 60 months in which the participant receives benefits), assuming retirement as of December 31, 2025, amounted to approximately $2.3 million. Pursuant to Alan B. Miller’s employment contract with UHS of Delaware dated March 19, 2025, for purposes of the ERIP, the monthly compensation for the three years preceding retirement shall be deemed to be the average monthly compensation for the three years ended immediately prior to January 1, 2021. As discussed below, Marc D. Miller and Steve G. Filton converted their ERIP participation into the SERIP. Edward H. Sim and Matthew J. Peterson were not previously an ERIP participants.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tables provide information about pension benefits pursuant to our ERIP for our named executive officer, as described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20" w:type="dxa"/>
            <w:vAlign w:val="bottom"/>
          </w:tcPr>
          <w:p>
            <w:pPr>
              <w:jc w:val="center"/>
              <w:ind w:left="207"/>
              <w:spacing w:after="0"/>
              <w:rPr>
                <w:sz w:val="20"/>
                <w:szCs w:val="20"/>
                <w:color w:val="auto"/>
              </w:rPr>
            </w:pPr>
            <w:r>
              <w:rPr>
                <w:rFonts w:ascii="Arial" w:cs="Arial" w:eastAsia="Arial" w:hAnsi="Arial"/>
                <w:sz w:val="14"/>
                <w:szCs w:val="14"/>
                <w:b w:val="1"/>
                <w:bCs w:val="1"/>
                <w:color w:val="052666"/>
              </w:rPr>
              <w:t>Number</w:t>
            </w: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420" w:type="dxa"/>
            <w:vAlign w:val="bottom"/>
          </w:tcPr>
          <w:p>
            <w:pPr>
              <w:jc w:val="center"/>
              <w:ind w:left="207"/>
              <w:spacing w:after="0"/>
              <w:rPr>
                <w:sz w:val="20"/>
                <w:szCs w:val="20"/>
                <w:color w:val="auto"/>
              </w:rPr>
            </w:pPr>
            <w:r>
              <w:rPr>
                <w:rFonts w:ascii="Arial" w:cs="Arial" w:eastAsia="Arial" w:hAnsi="Arial"/>
                <w:sz w:val="14"/>
                <w:szCs w:val="14"/>
                <w:b w:val="1"/>
                <w:bCs w:val="1"/>
                <w:color w:val="052666"/>
              </w:rPr>
              <w:t>of Years</w:t>
            </w:r>
          </w:p>
        </w:tc>
        <w:tc>
          <w:tcPr>
            <w:tcW w:w="440" w:type="dxa"/>
            <w:vAlign w:val="bottom"/>
          </w:tcPr>
          <w:p>
            <w:pPr>
              <w:spacing w:after="0"/>
              <w:rPr>
                <w:sz w:val="14"/>
                <w:szCs w:val="14"/>
                <w:color w:val="auto"/>
              </w:rPr>
            </w:pPr>
          </w:p>
        </w:tc>
        <w:tc>
          <w:tcPr>
            <w:tcW w:w="1440" w:type="dxa"/>
            <w:vAlign w:val="bottom"/>
          </w:tcPr>
          <w:p>
            <w:pPr>
              <w:jc w:val="center"/>
              <w:ind w:right="366"/>
              <w:spacing w:after="0"/>
              <w:rPr>
                <w:sz w:val="20"/>
                <w:szCs w:val="20"/>
                <w:color w:val="auto"/>
              </w:rPr>
            </w:pPr>
            <w:r>
              <w:rPr>
                <w:rFonts w:ascii="Arial" w:cs="Arial" w:eastAsia="Arial" w:hAnsi="Arial"/>
                <w:sz w:val="14"/>
                <w:szCs w:val="14"/>
                <w:b w:val="1"/>
                <w:bCs w:val="1"/>
                <w:color w:val="052666"/>
              </w:rPr>
              <w:t>Value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52666"/>
              </w:rPr>
              <w:t>Payments</w:t>
            </w:r>
          </w:p>
        </w:tc>
      </w:tr>
      <w:tr>
        <w:trPr>
          <w:trHeight w:val="162"/>
        </w:trPr>
        <w:tc>
          <w:tcPr>
            <w:tcW w:w="6520" w:type="dxa"/>
            <w:vAlign w:val="bottom"/>
          </w:tcPr>
          <w:p>
            <w:pPr>
              <w:spacing w:after="0"/>
              <w:rPr>
                <w:sz w:val="14"/>
                <w:szCs w:val="14"/>
                <w:color w:val="auto"/>
              </w:rPr>
            </w:pPr>
          </w:p>
        </w:tc>
        <w:tc>
          <w:tcPr>
            <w:tcW w:w="1420" w:type="dxa"/>
            <w:vAlign w:val="bottom"/>
          </w:tcPr>
          <w:p>
            <w:pPr>
              <w:jc w:val="center"/>
              <w:ind w:left="207"/>
              <w:spacing w:after="0"/>
              <w:rPr>
                <w:sz w:val="20"/>
                <w:szCs w:val="20"/>
                <w:color w:val="auto"/>
              </w:rPr>
            </w:pPr>
            <w:r>
              <w:rPr>
                <w:rFonts w:ascii="Arial" w:cs="Arial" w:eastAsia="Arial" w:hAnsi="Arial"/>
                <w:sz w:val="14"/>
                <w:szCs w:val="14"/>
                <w:b w:val="1"/>
                <w:bCs w:val="1"/>
                <w:color w:val="052666"/>
              </w:rPr>
              <w:t>Credited</w:t>
            </w:r>
          </w:p>
        </w:tc>
        <w:tc>
          <w:tcPr>
            <w:tcW w:w="440" w:type="dxa"/>
            <w:vAlign w:val="bottom"/>
          </w:tcPr>
          <w:p>
            <w:pPr>
              <w:spacing w:after="0"/>
              <w:rPr>
                <w:sz w:val="14"/>
                <w:szCs w:val="14"/>
                <w:color w:val="auto"/>
              </w:rPr>
            </w:pPr>
          </w:p>
        </w:tc>
        <w:tc>
          <w:tcPr>
            <w:tcW w:w="1440" w:type="dxa"/>
            <w:vAlign w:val="bottom"/>
          </w:tcPr>
          <w:p>
            <w:pPr>
              <w:jc w:val="center"/>
              <w:ind w:right="386"/>
              <w:spacing w:after="0"/>
              <w:rPr>
                <w:sz w:val="20"/>
                <w:szCs w:val="20"/>
                <w:color w:val="auto"/>
              </w:rPr>
            </w:pPr>
            <w:r>
              <w:rPr>
                <w:rFonts w:ascii="Arial" w:cs="Arial" w:eastAsia="Arial" w:hAnsi="Arial"/>
                <w:sz w:val="14"/>
                <w:szCs w:val="14"/>
                <w:b w:val="1"/>
                <w:bCs w:val="1"/>
                <w:color w:val="052666"/>
              </w:rPr>
              <w:t>Accumulated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52666"/>
              </w:rPr>
              <w:t>During</w:t>
            </w:r>
          </w:p>
        </w:tc>
      </w:tr>
      <w:tr>
        <w:trPr>
          <w:trHeight w:val="162"/>
        </w:trPr>
        <w:tc>
          <w:tcPr>
            <w:tcW w:w="6520" w:type="dxa"/>
            <w:vAlign w:val="bottom"/>
          </w:tcPr>
          <w:p>
            <w:pPr>
              <w:spacing w:after="0"/>
              <w:rPr>
                <w:sz w:val="14"/>
                <w:szCs w:val="14"/>
                <w:color w:val="auto"/>
              </w:rPr>
            </w:pPr>
          </w:p>
        </w:tc>
        <w:tc>
          <w:tcPr>
            <w:tcW w:w="1420" w:type="dxa"/>
            <w:vAlign w:val="bottom"/>
          </w:tcPr>
          <w:p>
            <w:pPr>
              <w:jc w:val="center"/>
              <w:ind w:left="207"/>
              <w:spacing w:after="0"/>
              <w:rPr>
                <w:sz w:val="20"/>
                <w:szCs w:val="20"/>
                <w:color w:val="auto"/>
              </w:rPr>
            </w:pPr>
            <w:r>
              <w:rPr>
                <w:rFonts w:ascii="Arial" w:cs="Arial" w:eastAsia="Arial" w:hAnsi="Arial"/>
                <w:sz w:val="14"/>
                <w:szCs w:val="14"/>
                <w:b w:val="1"/>
                <w:bCs w:val="1"/>
                <w:color w:val="052666"/>
              </w:rPr>
              <w:t>Service</w:t>
            </w:r>
          </w:p>
        </w:tc>
        <w:tc>
          <w:tcPr>
            <w:tcW w:w="440" w:type="dxa"/>
            <w:vAlign w:val="bottom"/>
          </w:tcPr>
          <w:p>
            <w:pPr>
              <w:spacing w:after="0"/>
              <w:rPr>
                <w:sz w:val="14"/>
                <w:szCs w:val="14"/>
                <w:color w:val="auto"/>
              </w:rPr>
            </w:pPr>
          </w:p>
        </w:tc>
        <w:tc>
          <w:tcPr>
            <w:tcW w:w="1440" w:type="dxa"/>
            <w:vAlign w:val="bottom"/>
          </w:tcPr>
          <w:p>
            <w:pPr>
              <w:jc w:val="center"/>
              <w:ind w:right="366"/>
              <w:spacing w:after="0"/>
              <w:rPr>
                <w:sz w:val="20"/>
                <w:szCs w:val="20"/>
                <w:color w:val="auto"/>
              </w:rPr>
            </w:pPr>
            <w:r>
              <w:rPr>
                <w:rFonts w:ascii="Arial" w:cs="Arial" w:eastAsia="Arial" w:hAnsi="Arial"/>
                <w:sz w:val="14"/>
                <w:szCs w:val="14"/>
                <w:b w:val="1"/>
                <w:bCs w:val="1"/>
                <w:color w:val="052666"/>
              </w:rPr>
              <w:t>Benefit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52666"/>
              </w:rPr>
              <w:t>Last Fiscal</w:t>
            </w:r>
          </w:p>
        </w:tc>
      </w:tr>
      <w:tr>
        <w:trPr>
          <w:trHeight w:val="171"/>
        </w:trPr>
        <w:tc>
          <w:tcPr>
            <w:tcW w:w="6520" w:type="dxa"/>
            <w:vAlign w:val="bottom"/>
            <w:tcBorders>
              <w:bottom w:val="single" w:sz="8" w:color="052666"/>
            </w:tcBorders>
          </w:tcPr>
          <w:p>
            <w:pPr>
              <w:ind w:left="60"/>
              <w:spacing w:after="0"/>
              <w:rPr>
                <w:sz w:val="20"/>
                <w:szCs w:val="20"/>
                <w:color w:val="auto"/>
              </w:rPr>
            </w:pPr>
            <w:r>
              <w:rPr>
                <w:rFonts w:ascii="Arial" w:cs="Arial" w:eastAsia="Arial" w:hAnsi="Arial"/>
                <w:sz w:val="14"/>
                <w:szCs w:val="14"/>
                <w:b w:val="1"/>
                <w:bCs w:val="1"/>
                <w:color w:val="052666"/>
              </w:rPr>
              <w:t>Name</w:t>
            </w:r>
          </w:p>
        </w:tc>
        <w:tc>
          <w:tcPr>
            <w:tcW w:w="1420" w:type="dxa"/>
            <w:vAlign w:val="bottom"/>
            <w:tcBorders>
              <w:bottom w:val="single" w:sz="8" w:color="052666"/>
            </w:tcBorders>
          </w:tcPr>
          <w:p>
            <w:pPr>
              <w:jc w:val="center"/>
              <w:ind w:left="207"/>
              <w:spacing w:after="0"/>
              <w:rPr>
                <w:sz w:val="20"/>
                <w:szCs w:val="20"/>
                <w:color w:val="auto"/>
              </w:rPr>
            </w:pPr>
            <w:r>
              <w:rPr>
                <w:rFonts w:ascii="Arial" w:cs="Arial" w:eastAsia="Arial" w:hAnsi="Arial"/>
                <w:sz w:val="14"/>
                <w:szCs w:val="14"/>
                <w:b w:val="1"/>
                <w:bCs w:val="1"/>
                <w:color w:val="052666"/>
              </w:rPr>
              <w:t>(#)</w:t>
            </w:r>
          </w:p>
        </w:tc>
        <w:tc>
          <w:tcPr>
            <w:tcW w:w="440" w:type="dxa"/>
            <w:vAlign w:val="bottom"/>
            <w:tcBorders>
              <w:bottom w:val="single" w:sz="8" w:color="052666"/>
            </w:tcBorders>
          </w:tcPr>
          <w:p>
            <w:pPr>
              <w:spacing w:after="0"/>
              <w:rPr>
                <w:sz w:val="14"/>
                <w:szCs w:val="14"/>
                <w:color w:val="auto"/>
              </w:rPr>
            </w:pPr>
          </w:p>
        </w:tc>
        <w:tc>
          <w:tcPr>
            <w:tcW w:w="1440" w:type="dxa"/>
            <w:vAlign w:val="bottom"/>
            <w:tcBorders>
              <w:bottom w:val="single" w:sz="8" w:color="052666"/>
            </w:tcBorders>
          </w:tcPr>
          <w:p>
            <w:pPr>
              <w:jc w:val="center"/>
              <w:ind w:right="366"/>
              <w:spacing w:after="0"/>
              <w:rPr>
                <w:sz w:val="20"/>
                <w:szCs w:val="20"/>
                <w:color w:val="auto"/>
              </w:rPr>
            </w:pPr>
            <w:r>
              <w:rPr>
                <w:rFonts w:ascii="Arial" w:cs="Arial" w:eastAsia="Arial" w:hAnsi="Arial"/>
                <w:sz w:val="14"/>
                <w:szCs w:val="14"/>
                <w:b w:val="1"/>
                <w:bCs w:val="1"/>
                <w:color w:val="052666"/>
                <w:w w:val="93"/>
              </w:rPr>
              <w:t>($)</w:t>
            </w:r>
          </w:p>
        </w:tc>
        <w:tc>
          <w:tcPr>
            <w:tcW w:w="1420" w:type="dxa"/>
            <w:vAlign w:val="bottom"/>
            <w:tcBorders>
              <w:bottom w:val="single" w:sz="8" w:color="052666"/>
            </w:tcBorders>
          </w:tcPr>
          <w:p>
            <w:pPr>
              <w:jc w:val="center"/>
              <w:spacing w:after="0"/>
              <w:rPr>
                <w:sz w:val="20"/>
                <w:szCs w:val="20"/>
                <w:color w:val="auto"/>
              </w:rPr>
            </w:pPr>
            <w:r>
              <w:rPr>
                <w:rFonts w:ascii="Arial" w:cs="Arial" w:eastAsia="Arial" w:hAnsi="Arial"/>
                <w:sz w:val="14"/>
                <w:szCs w:val="14"/>
                <w:b w:val="1"/>
                <w:bCs w:val="1"/>
                <w:color w:val="052666"/>
              </w:rPr>
              <w:t>Year ($)</w:t>
            </w:r>
          </w:p>
        </w:tc>
      </w:tr>
      <w:tr>
        <w:trPr>
          <w:trHeight w:val="243"/>
        </w:trPr>
        <w:tc>
          <w:tcPr>
            <w:tcW w:w="65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Alan B. Miller</w:t>
            </w:r>
          </w:p>
        </w:tc>
        <w:tc>
          <w:tcPr>
            <w:tcW w:w="1420" w:type="dxa"/>
            <w:vAlign w:val="bottom"/>
            <w:tcBorders>
              <w:bottom w:val="single" w:sz="8" w:color="EDEDED"/>
            </w:tcBorders>
            <w:shd w:val="clear" w:color="auto" w:fill="EDEDED"/>
          </w:tcPr>
          <w:p>
            <w:pPr>
              <w:jc w:val="center"/>
              <w:ind w:left="207"/>
              <w:spacing w:after="0"/>
              <w:rPr>
                <w:sz w:val="20"/>
                <w:szCs w:val="20"/>
                <w:color w:val="auto"/>
              </w:rPr>
            </w:pPr>
            <w:r>
              <w:rPr>
                <w:rFonts w:ascii="Arial" w:cs="Arial" w:eastAsia="Arial" w:hAnsi="Arial"/>
                <w:sz w:val="16"/>
                <w:szCs w:val="16"/>
                <w:color w:val="auto"/>
              </w:rPr>
              <w:t>47</w:t>
            </w:r>
          </w:p>
        </w:tc>
        <w:tc>
          <w:tcPr>
            <w:tcW w:w="4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DEDED"/>
            </w:tcBorders>
            <w:shd w:val="clear" w:color="auto" w:fill="EDEDED"/>
          </w:tcPr>
          <w:p>
            <w:pPr>
              <w:jc w:val="right"/>
              <w:ind w:right="226"/>
              <w:spacing w:after="0"/>
              <w:rPr>
                <w:sz w:val="20"/>
                <w:szCs w:val="20"/>
                <w:color w:val="auto"/>
              </w:rPr>
            </w:pPr>
            <w:r>
              <w:rPr>
                <w:rFonts w:ascii="Arial" w:cs="Arial" w:eastAsia="Arial" w:hAnsi="Arial"/>
                <w:sz w:val="16"/>
                <w:szCs w:val="16"/>
                <w:color w:val="auto"/>
              </w:rPr>
              <w:t>2,270,794</w:t>
            </w:r>
          </w:p>
        </w:tc>
        <w:tc>
          <w:tcPr>
            <w:tcW w:w="14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89"/>
              </w:rPr>
              <w:t>0</w:t>
            </w:r>
          </w:p>
        </w:tc>
      </w:tr>
      <w:tr>
        <w:trPr>
          <w:trHeight w:val="20"/>
        </w:trPr>
        <w:tc>
          <w:tcPr>
            <w:tcW w:w="6520" w:type="dxa"/>
            <w:vAlign w:val="bottom"/>
            <w:shd w:val="clear" w:color="auto" w:fill="7F7F7F"/>
          </w:tcPr>
          <w:p>
            <w:pPr>
              <w:spacing w:after="0" w:line="20" w:lineRule="exact"/>
              <w:rPr>
                <w:sz w:val="1"/>
                <w:szCs w:val="1"/>
                <w:color w:val="auto"/>
              </w:rPr>
            </w:pPr>
          </w:p>
        </w:tc>
        <w:tc>
          <w:tcPr>
            <w:tcW w:w="1420" w:type="dxa"/>
            <w:vAlign w:val="bottom"/>
            <w:shd w:val="clear" w:color="auto" w:fill="7F7F7F"/>
          </w:tcPr>
          <w:p>
            <w:pPr>
              <w:spacing w:after="0" w:line="20" w:lineRule="exact"/>
              <w:rPr>
                <w:sz w:val="1"/>
                <w:szCs w:val="1"/>
                <w:color w:val="auto"/>
              </w:rPr>
            </w:pPr>
          </w:p>
        </w:tc>
        <w:tc>
          <w:tcPr>
            <w:tcW w:w="440" w:type="dxa"/>
            <w:vAlign w:val="bottom"/>
            <w:shd w:val="clear" w:color="auto" w:fill="7F7F7F"/>
          </w:tcPr>
          <w:p>
            <w:pPr>
              <w:spacing w:after="0" w:line="20" w:lineRule="exact"/>
              <w:rPr>
                <w:sz w:val="1"/>
                <w:szCs w:val="1"/>
                <w:color w:val="auto"/>
              </w:rPr>
            </w:pPr>
          </w:p>
        </w:tc>
        <w:tc>
          <w:tcPr>
            <w:tcW w:w="1440" w:type="dxa"/>
            <w:vAlign w:val="bottom"/>
            <w:shd w:val="clear" w:color="auto" w:fill="7F7F7F"/>
          </w:tcPr>
          <w:p>
            <w:pPr>
              <w:spacing w:after="0" w:line="20" w:lineRule="exact"/>
              <w:rPr>
                <w:sz w:val="1"/>
                <w:szCs w:val="1"/>
                <w:color w:val="auto"/>
              </w:rPr>
            </w:pPr>
          </w:p>
        </w:tc>
        <w:tc>
          <w:tcPr>
            <w:tcW w:w="1420" w:type="dxa"/>
            <w:vAlign w:val="bottom"/>
            <w:shd w:val="clear" w:color="auto" w:fill="7F7F7F"/>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Supplemental Executive Retirement Income Plan</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July, 2018, the Board of Directors adopted the Supplemental Executive Retirement Income Plan (“SERIP”). Pursuant to the terms of the SERIP, a select group of management or other highly compensated employees may be designated as plan participants. Our SERIP, which is subject to the applicable provisions of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59" w:name="page60"/>
    <w:bookmarkEnd w:id="59"/>
    <w:p>
      <w:pPr>
        <w:ind w:left="9920"/>
        <w:spacing w:after="0"/>
        <w:rPr>
          <w:sz w:val="20"/>
          <w:szCs w:val="20"/>
          <w:color w:val="auto"/>
        </w:rPr>
      </w:pPr>
      <w:r>
        <w:rPr>
          <w:rFonts w:ascii="Arial" w:cs="Arial" w:eastAsia="Arial" w:hAnsi="Arial"/>
          <w:sz w:val="16"/>
          <w:szCs w:val="16"/>
          <w:b w:val="1"/>
          <w:bCs w:val="1"/>
          <w:color w:val="000052"/>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Revenue Code Section 409A, provides eligible employees with annual employer contributions which are entirely at the Company’s discretion. Generally, each annual contribution vests on the earlier of: (i) the 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anniversary of the date of funding to the participant’s account, or; (ii) the participant attaining the qualified age of retirement (either age 62 or age 65, as stipulated in the SERIP). The SERIP also provides for discretionary alternative vesting schedules for certain supplemental discretionary contributions made on an individual basis. Upon attaining the SERIP’s qualified age of retirement, distributions are paid in 10 annual installments to the participant upon the participants retirement. Distributions due to events other than retirement are paid in a lump sum. Our obligation to make payments of amounts credited to participants’ accounts is a general unsecured obligation.</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As discussed above, a select group of employees who were previously participants in the ERIP and elected to convert to the SERIP, have been provided with an unfunded, lump sum conversion balance that was credited to the participant’s SERIP account. The unfunded ERIP conversion balances transferred to the SERIP, which were computed based upon the participant’s 2017 salary and will remain permanently unchanged after conversion, are payable over 60 monthly installments, if the participant attains their qualified age of retirement, as previously stipulated in the ERIP. If the participant does not attain their qualified age of retirement, the ERIP conversion balance is forfeited unless the Board of Directors, in its full discretion, determined otherwise. For ERIP participants who elected to convert to the SERIP, their participation in the ERIP was terminated upon conversion and no future benefits will be earned pursuant to the ERIP. SERIP participants who converted from the ERIP are entitled to future benefits pursuant to the terms of the SERIP.</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Marc D. Miller and Steve G. Filton elected to convert their ERIP participation into the SERIP. As a result of their elections, their unfunded ERIP conversion balances, which are reflected below and were computed based upon their 2017 salaries, will remain permanently unchanged. As of December 31, 2025, Mr. Marc Miller’s ERIP conversion balance was unvested while Mr. Filton’s ERIP conversion balance was fully vested. Mr. Sim and Mr. Peterson participate in the SERIP and were not previously ERIP participants.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provides information about pension benefits pursuant to our SERIP for our named executive officers as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center"/>
              <w:ind w:right="193"/>
              <w:spacing w:after="0"/>
              <w:rPr>
                <w:sz w:val="20"/>
                <w:szCs w:val="20"/>
                <w:color w:val="auto"/>
              </w:rPr>
            </w:pPr>
            <w:r>
              <w:rPr>
                <w:rFonts w:ascii="Arial" w:cs="Arial" w:eastAsia="Arial" w:hAnsi="Arial"/>
                <w:sz w:val="13"/>
                <w:szCs w:val="13"/>
                <w:b w:val="1"/>
                <w:bCs w:val="1"/>
                <w:color w:val="052666"/>
                <w:w w:val="97"/>
              </w:rPr>
              <w:t>SERIP</w:t>
            </w:r>
          </w:p>
        </w:tc>
        <w:tc>
          <w:tcPr>
            <w:tcW w:w="200" w:type="dxa"/>
            <w:vAlign w:val="bottom"/>
          </w:tcPr>
          <w:p>
            <w:pPr>
              <w:spacing w:after="0"/>
              <w:rPr>
                <w:sz w:val="12"/>
                <w:szCs w:val="12"/>
                <w:color w:val="auto"/>
              </w:rPr>
            </w:pPr>
          </w:p>
        </w:tc>
        <w:tc>
          <w:tcPr>
            <w:tcW w:w="1040" w:type="dxa"/>
            <w:vAlign w:val="bottom"/>
          </w:tcPr>
          <w:p>
            <w:pPr>
              <w:jc w:val="center"/>
              <w:ind w:right="133"/>
              <w:spacing w:after="0"/>
              <w:rPr>
                <w:sz w:val="20"/>
                <w:szCs w:val="20"/>
                <w:color w:val="auto"/>
              </w:rPr>
            </w:pPr>
            <w:r>
              <w:rPr>
                <w:rFonts w:ascii="Arial" w:cs="Arial" w:eastAsia="Arial" w:hAnsi="Arial"/>
                <w:sz w:val="13"/>
                <w:szCs w:val="13"/>
                <w:b w:val="1"/>
                <w:bCs w:val="1"/>
                <w:color w:val="052666"/>
                <w:w w:val="94"/>
              </w:rPr>
              <w:t>Company</w:t>
            </w:r>
          </w:p>
        </w:tc>
        <w:tc>
          <w:tcPr>
            <w:tcW w:w="300" w:type="dxa"/>
            <w:vAlign w:val="bottom"/>
          </w:tcPr>
          <w:p>
            <w:pPr>
              <w:spacing w:after="0"/>
              <w:rPr>
                <w:sz w:val="12"/>
                <w:szCs w:val="12"/>
                <w:color w:val="auto"/>
              </w:rPr>
            </w:pPr>
          </w:p>
        </w:tc>
        <w:tc>
          <w:tcPr>
            <w:tcW w:w="880" w:type="dxa"/>
            <w:vAlign w:val="bottom"/>
          </w:tcPr>
          <w:p>
            <w:pPr>
              <w:jc w:val="center"/>
              <w:ind w:right="233"/>
              <w:spacing w:after="0"/>
              <w:rPr>
                <w:sz w:val="20"/>
                <w:szCs w:val="20"/>
                <w:color w:val="auto"/>
              </w:rPr>
            </w:pPr>
            <w:r>
              <w:rPr>
                <w:rFonts w:ascii="Arial" w:cs="Arial" w:eastAsia="Arial" w:hAnsi="Arial"/>
                <w:sz w:val="13"/>
                <w:szCs w:val="13"/>
                <w:b w:val="1"/>
                <w:bCs w:val="1"/>
                <w:color w:val="052666"/>
                <w:w w:val="97"/>
              </w:rPr>
              <w:t>SERIP</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vMerge w:val="restart"/>
          </w:tcPr>
          <w:p>
            <w:pPr>
              <w:jc w:val="center"/>
              <w:ind w:right="210"/>
              <w:spacing w:after="0"/>
              <w:rPr>
                <w:sz w:val="20"/>
                <w:szCs w:val="20"/>
                <w:color w:val="auto"/>
              </w:rPr>
            </w:pPr>
            <w:r>
              <w:rPr>
                <w:rFonts w:ascii="Arial" w:cs="Arial" w:eastAsia="Arial" w:hAnsi="Arial"/>
                <w:sz w:val="13"/>
                <w:szCs w:val="13"/>
                <w:b w:val="1"/>
                <w:bCs w:val="1"/>
                <w:color w:val="052666"/>
                <w:w w:val="95"/>
              </w:rPr>
              <w:t>SERIP Balance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53"/>
              <w:spacing w:after="0"/>
              <w:rPr>
                <w:sz w:val="20"/>
                <w:szCs w:val="20"/>
                <w:color w:val="auto"/>
              </w:rPr>
            </w:pPr>
            <w:r>
              <w:rPr>
                <w:rFonts w:ascii="Arial" w:cs="Arial" w:eastAsia="Arial" w:hAnsi="Arial"/>
                <w:sz w:val="13"/>
                <w:szCs w:val="13"/>
                <w:b w:val="1"/>
                <w:bCs w:val="1"/>
                <w:color w:val="052666"/>
                <w:w w:val="96"/>
              </w:rPr>
              <w:t>Aggregate</w:t>
            </w: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13"/>
              <w:spacing w:after="0" w:line="126" w:lineRule="exact"/>
              <w:rPr>
                <w:sz w:val="20"/>
                <w:szCs w:val="20"/>
                <w:color w:val="auto"/>
              </w:rPr>
            </w:pPr>
            <w:r>
              <w:rPr>
                <w:rFonts w:ascii="Arial" w:cs="Arial" w:eastAsia="Arial" w:hAnsi="Arial"/>
                <w:sz w:val="13"/>
                <w:szCs w:val="13"/>
                <w:b w:val="1"/>
                <w:bCs w:val="1"/>
                <w:color w:val="052666"/>
                <w:w w:val="97"/>
              </w:rPr>
              <w:t>SERIP</w:t>
            </w:r>
          </w:p>
        </w:tc>
        <w:tc>
          <w:tcPr>
            <w:tcW w:w="300" w:type="dxa"/>
            <w:vAlign w:val="bottom"/>
          </w:tcPr>
          <w:p>
            <w:pPr>
              <w:spacing w:after="0"/>
              <w:rPr>
                <w:sz w:val="10"/>
                <w:szCs w:val="10"/>
                <w:color w:val="auto"/>
              </w:rPr>
            </w:pPr>
          </w:p>
        </w:tc>
        <w:tc>
          <w:tcPr>
            <w:tcW w:w="880" w:type="dxa"/>
            <w:vAlign w:val="bottom"/>
          </w:tcPr>
          <w:p>
            <w:pPr>
              <w:jc w:val="center"/>
              <w:ind w:right="233"/>
              <w:spacing w:after="0" w:line="126" w:lineRule="exact"/>
              <w:rPr>
                <w:sz w:val="20"/>
                <w:szCs w:val="20"/>
                <w:color w:val="auto"/>
              </w:rPr>
            </w:pPr>
            <w:r>
              <w:rPr>
                <w:rFonts w:ascii="Arial" w:cs="Arial" w:eastAsia="Arial" w:hAnsi="Arial"/>
                <w:sz w:val="13"/>
                <w:szCs w:val="13"/>
                <w:b w:val="1"/>
                <w:bCs w:val="1"/>
                <w:color w:val="052666"/>
                <w:w w:val="93"/>
              </w:rPr>
              <w:t>Gains</w:t>
            </w: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052666"/>
                <w:w w:val="92"/>
              </w:rPr>
              <w:t>ERIP</w:t>
            </w:r>
          </w:p>
        </w:tc>
        <w:tc>
          <w:tcPr>
            <w:tcW w:w="220" w:type="dxa"/>
            <w:vAlign w:val="bottom"/>
          </w:tcPr>
          <w:p>
            <w:pPr>
              <w:spacing w:after="0"/>
              <w:rPr>
                <w:sz w:val="10"/>
                <w:szCs w:val="10"/>
                <w:color w:val="auto"/>
              </w:rPr>
            </w:pPr>
          </w:p>
        </w:tc>
        <w:tc>
          <w:tcPr>
            <w:tcW w:w="920" w:type="dxa"/>
            <w:vAlign w:val="bottom"/>
          </w:tcPr>
          <w:p>
            <w:pPr>
              <w:jc w:val="center"/>
              <w:ind w:right="173"/>
              <w:spacing w:after="0" w:line="126" w:lineRule="exact"/>
              <w:rPr>
                <w:sz w:val="20"/>
                <w:szCs w:val="20"/>
                <w:color w:val="auto"/>
              </w:rPr>
            </w:pPr>
            <w:r>
              <w:rPr>
                <w:rFonts w:ascii="Arial" w:cs="Arial" w:eastAsia="Arial" w:hAnsi="Arial"/>
                <w:sz w:val="13"/>
                <w:szCs w:val="13"/>
                <w:b w:val="1"/>
                <w:bCs w:val="1"/>
                <w:color w:val="052666"/>
                <w:w w:val="96"/>
              </w:rPr>
              <w:t>Balance</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ind w:right="193"/>
              <w:spacing w:after="0" w:line="135" w:lineRule="exact"/>
              <w:rPr>
                <w:sz w:val="20"/>
                <w:szCs w:val="20"/>
                <w:color w:val="auto"/>
              </w:rPr>
            </w:pPr>
            <w:r>
              <w:rPr>
                <w:rFonts w:ascii="Arial" w:cs="Arial" w:eastAsia="Arial" w:hAnsi="Arial"/>
                <w:sz w:val="13"/>
                <w:szCs w:val="13"/>
                <w:b w:val="1"/>
                <w:bCs w:val="1"/>
                <w:color w:val="052666"/>
                <w:w w:val="97"/>
              </w:rPr>
              <w:t>Beginning</w:t>
            </w:r>
          </w:p>
        </w:tc>
        <w:tc>
          <w:tcPr>
            <w:tcW w:w="200" w:type="dxa"/>
            <w:vAlign w:val="bottom"/>
          </w:tcPr>
          <w:p>
            <w:pPr>
              <w:spacing w:after="0"/>
              <w:rPr>
                <w:sz w:val="11"/>
                <w:szCs w:val="11"/>
                <w:color w:val="auto"/>
              </w:rPr>
            </w:pPr>
          </w:p>
        </w:tc>
        <w:tc>
          <w:tcPr>
            <w:tcW w:w="1040" w:type="dxa"/>
            <w:vAlign w:val="bottom"/>
          </w:tcPr>
          <w:p>
            <w:pPr>
              <w:jc w:val="center"/>
              <w:ind w:right="133"/>
              <w:spacing w:after="0" w:line="135" w:lineRule="exact"/>
              <w:rPr>
                <w:sz w:val="20"/>
                <w:szCs w:val="20"/>
                <w:color w:val="auto"/>
              </w:rPr>
            </w:pPr>
            <w:r>
              <w:rPr>
                <w:rFonts w:ascii="Arial" w:cs="Arial" w:eastAsia="Arial" w:hAnsi="Arial"/>
                <w:sz w:val="13"/>
                <w:szCs w:val="13"/>
                <w:b w:val="1"/>
                <w:bCs w:val="1"/>
                <w:color w:val="052666"/>
                <w:w w:val="98"/>
              </w:rPr>
              <w:t>Contributions</w:t>
            </w:r>
          </w:p>
        </w:tc>
        <w:tc>
          <w:tcPr>
            <w:tcW w:w="300" w:type="dxa"/>
            <w:vAlign w:val="bottom"/>
          </w:tcPr>
          <w:p>
            <w:pPr>
              <w:spacing w:after="0"/>
              <w:rPr>
                <w:sz w:val="11"/>
                <w:szCs w:val="11"/>
                <w:color w:val="auto"/>
              </w:rPr>
            </w:pPr>
          </w:p>
        </w:tc>
        <w:tc>
          <w:tcPr>
            <w:tcW w:w="880" w:type="dxa"/>
            <w:vAlign w:val="bottom"/>
          </w:tcPr>
          <w:p>
            <w:pPr>
              <w:jc w:val="center"/>
              <w:ind w:right="233"/>
              <w:spacing w:after="0" w:line="135" w:lineRule="exact"/>
              <w:rPr>
                <w:sz w:val="20"/>
                <w:szCs w:val="20"/>
                <w:color w:val="auto"/>
              </w:rPr>
            </w:pPr>
            <w:r>
              <w:rPr>
                <w:rFonts w:ascii="Arial" w:cs="Arial" w:eastAsia="Arial" w:hAnsi="Arial"/>
                <w:sz w:val="13"/>
                <w:szCs w:val="13"/>
                <w:b w:val="1"/>
                <w:bCs w:val="1"/>
                <w:color w:val="052666"/>
              </w:rPr>
              <w:t>in Last</w:t>
            </w: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052666"/>
                <w:w w:val="97"/>
              </w:rPr>
              <w:t>SERIP</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gridSpan w:val="3"/>
          </w:tcPr>
          <w:p>
            <w:pPr>
              <w:jc w:val="center"/>
              <w:ind w:right="210"/>
              <w:spacing w:after="0" w:line="135" w:lineRule="exact"/>
              <w:rPr>
                <w:sz w:val="20"/>
                <w:szCs w:val="20"/>
                <w:color w:val="auto"/>
              </w:rPr>
            </w:pPr>
            <w:r>
              <w:rPr>
                <w:rFonts w:ascii="Arial" w:cs="Arial" w:eastAsia="Arial" w:hAnsi="Arial"/>
                <w:sz w:val="13"/>
                <w:szCs w:val="13"/>
                <w:b w:val="1"/>
                <w:bCs w:val="1"/>
                <w:color w:val="052666"/>
                <w:w w:val="97"/>
              </w:rPr>
              <w:t>at Last Fiscal</w:t>
            </w: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052666"/>
                <w:w w:val="95"/>
              </w:rPr>
              <w:t>at Last</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052666"/>
                <w:w w:val="96"/>
              </w:rPr>
              <w:t>Balance</w:t>
            </w:r>
          </w:p>
        </w:tc>
        <w:tc>
          <w:tcPr>
            <w:tcW w:w="200" w:type="dxa"/>
            <w:vAlign w:val="bottom"/>
          </w:tcPr>
          <w:p>
            <w:pPr>
              <w:spacing w:after="0"/>
              <w:rPr>
                <w:sz w:val="11"/>
                <w:szCs w:val="11"/>
                <w:color w:val="auto"/>
              </w:rPr>
            </w:pPr>
          </w:p>
        </w:tc>
        <w:tc>
          <w:tcPr>
            <w:tcW w:w="1040" w:type="dxa"/>
            <w:vAlign w:val="bottom"/>
          </w:tcPr>
          <w:p>
            <w:pPr>
              <w:jc w:val="center"/>
              <w:ind w:right="133"/>
              <w:spacing w:after="0" w:line="135" w:lineRule="exact"/>
              <w:rPr>
                <w:sz w:val="20"/>
                <w:szCs w:val="20"/>
                <w:color w:val="auto"/>
              </w:rPr>
            </w:pPr>
            <w:r>
              <w:rPr>
                <w:rFonts w:ascii="Arial" w:cs="Arial" w:eastAsia="Arial" w:hAnsi="Arial"/>
                <w:sz w:val="13"/>
                <w:szCs w:val="13"/>
                <w:b w:val="1"/>
                <w:bCs w:val="1"/>
                <w:color w:val="052666"/>
                <w:w w:val="95"/>
              </w:rPr>
              <w:t>in Last</w:t>
            </w:r>
          </w:p>
        </w:tc>
        <w:tc>
          <w:tcPr>
            <w:tcW w:w="300" w:type="dxa"/>
            <w:vAlign w:val="bottom"/>
          </w:tcPr>
          <w:p>
            <w:pPr>
              <w:spacing w:after="0"/>
              <w:rPr>
                <w:sz w:val="11"/>
                <w:szCs w:val="11"/>
                <w:color w:val="auto"/>
              </w:rPr>
            </w:pPr>
          </w:p>
        </w:tc>
        <w:tc>
          <w:tcPr>
            <w:tcW w:w="880" w:type="dxa"/>
            <w:vAlign w:val="bottom"/>
          </w:tcPr>
          <w:p>
            <w:pPr>
              <w:jc w:val="center"/>
              <w:ind w:right="233"/>
              <w:spacing w:after="0" w:line="135" w:lineRule="exact"/>
              <w:rPr>
                <w:sz w:val="20"/>
                <w:szCs w:val="20"/>
                <w:color w:val="auto"/>
              </w:rPr>
            </w:pPr>
            <w:r>
              <w:rPr>
                <w:rFonts w:ascii="Arial" w:cs="Arial" w:eastAsia="Arial" w:hAnsi="Arial"/>
                <w:sz w:val="13"/>
                <w:szCs w:val="13"/>
                <w:b w:val="1"/>
                <w:bCs w:val="1"/>
                <w:color w:val="052666"/>
                <w:w w:val="92"/>
              </w:rPr>
              <w:t>Fiscal</w:t>
            </w: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left="493"/>
              <w:spacing w:after="0" w:line="135" w:lineRule="exact"/>
              <w:rPr>
                <w:sz w:val="20"/>
                <w:szCs w:val="20"/>
                <w:color w:val="auto"/>
              </w:rPr>
            </w:pPr>
            <w:r>
              <w:rPr>
                <w:rFonts w:ascii="Arial" w:cs="Arial" w:eastAsia="Arial" w:hAnsi="Arial"/>
                <w:sz w:val="13"/>
                <w:szCs w:val="13"/>
                <w:b w:val="1"/>
                <w:bCs w:val="1"/>
                <w:color w:val="052666"/>
                <w:w w:val="98"/>
              </w:rPr>
              <w:t>Year-End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33"/>
              <w:spacing w:after="0" w:line="135" w:lineRule="exact"/>
              <w:rPr>
                <w:sz w:val="20"/>
                <w:szCs w:val="20"/>
                <w:color w:val="auto"/>
              </w:rPr>
            </w:pPr>
            <w:r>
              <w:rPr>
                <w:rFonts w:ascii="Arial" w:cs="Arial" w:eastAsia="Arial" w:hAnsi="Arial"/>
                <w:sz w:val="13"/>
                <w:szCs w:val="13"/>
                <w:b w:val="1"/>
                <w:bCs w:val="1"/>
                <w:color w:val="052666"/>
                <w:w w:val="95"/>
              </w:rPr>
              <w:t>Conversion</w:t>
            </w:r>
          </w:p>
        </w:tc>
        <w:tc>
          <w:tcPr>
            <w:tcW w:w="220" w:type="dxa"/>
            <w:vAlign w:val="bottom"/>
          </w:tcPr>
          <w:p>
            <w:pPr>
              <w:spacing w:after="0"/>
              <w:rPr>
                <w:sz w:val="11"/>
                <w:szCs w:val="11"/>
                <w:color w:val="auto"/>
              </w:rPr>
            </w:pPr>
          </w:p>
        </w:tc>
        <w:tc>
          <w:tcPr>
            <w:tcW w:w="92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052666"/>
                <w:w w:val="97"/>
              </w:rPr>
              <w:t>Fiscal</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73"/>
              <w:spacing w:after="0"/>
              <w:rPr>
                <w:sz w:val="20"/>
                <w:szCs w:val="20"/>
                <w:color w:val="auto"/>
              </w:rPr>
            </w:pPr>
            <w:r>
              <w:rPr>
                <w:rFonts w:ascii="Arial" w:cs="Arial" w:eastAsia="Arial" w:hAnsi="Arial"/>
                <w:sz w:val="13"/>
                <w:szCs w:val="13"/>
                <w:b w:val="1"/>
                <w:bCs w:val="1"/>
                <w:color w:val="052666"/>
              </w:rPr>
              <w:t>1/1/2025</w:t>
            </w:r>
          </w:p>
        </w:tc>
        <w:tc>
          <w:tcPr>
            <w:tcW w:w="200" w:type="dxa"/>
            <w:vAlign w:val="bottom"/>
          </w:tcPr>
          <w:p>
            <w:pPr>
              <w:spacing w:after="0"/>
              <w:rPr>
                <w:sz w:val="12"/>
                <w:szCs w:val="12"/>
                <w:color w:val="auto"/>
              </w:rPr>
            </w:pPr>
          </w:p>
        </w:tc>
        <w:tc>
          <w:tcPr>
            <w:tcW w:w="1040" w:type="dxa"/>
            <w:vAlign w:val="bottom"/>
          </w:tcPr>
          <w:p>
            <w:pPr>
              <w:jc w:val="center"/>
              <w:ind w:right="133"/>
              <w:spacing w:after="0"/>
              <w:rPr>
                <w:sz w:val="20"/>
                <w:szCs w:val="20"/>
                <w:color w:val="auto"/>
              </w:rPr>
            </w:pPr>
            <w:r>
              <w:rPr>
                <w:rFonts w:ascii="Arial" w:cs="Arial" w:eastAsia="Arial" w:hAnsi="Arial"/>
                <w:sz w:val="13"/>
                <w:szCs w:val="13"/>
                <w:b w:val="1"/>
                <w:bCs w:val="1"/>
                <w:color w:val="052666"/>
                <w:w w:val="98"/>
              </w:rPr>
              <w:t>Fiscal Year</w:t>
            </w:r>
          </w:p>
        </w:tc>
        <w:tc>
          <w:tcPr>
            <w:tcW w:w="300" w:type="dxa"/>
            <w:vAlign w:val="bottom"/>
          </w:tcPr>
          <w:p>
            <w:pPr>
              <w:spacing w:after="0"/>
              <w:rPr>
                <w:sz w:val="12"/>
                <w:szCs w:val="12"/>
                <w:color w:val="auto"/>
              </w:rPr>
            </w:pPr>
          </w:p>
        </w:tc>
        <w:tc>
          <w:tcPr>
            <w:tcW w:w="880" w:type="dxa"/>
            <w:vAlign w:val="bottom"/>
          </w:tcPr>
          <w:p>
            <w:pPr>
              <w:jc w:val="center"/>
              <w:ind w:right="233"/>
              <w:spacing w:after="0"/>
              <w:rPr>
                <w:sz w:val="20"/>
                <w:szCs w:val="20"/>
                <w:color w:val="auto"/>
              </w:rPr>
            </w:pPr>
            <w:r>
              <w:rPr>
                <w:rFonts w:ascii="Arial" w:cs="Arial" w:eastAsia="Arial" w:hAnsi="Arial"/>
                <w:sz w:val="13"/>
                <w:szCs w:val="13"/>
                <w:b w:val="1"/>
                <w:bCs w:val="1"/>
                <w:color w:val="052666"/>
                <w:w w:val="92"/>
              </w:rPr>
              <w:t>Year</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052666"/>
                <w:w w:val="97"/>
              </w:rPr>
              <w:t>Distributions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052666"/>
              </w:rPr>
              <w:t>($)</w:t>
            </w:r>
          </w:p>
        </w:tc>
        <w:tc>
          <w:tcPr>
            <w:tcW w:w="8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33"/>
              <w:spacing w:after="0"/>
              <w:rPr>
                <w:sz w:val="20"/>
                <w:szCs w:val="20"/>
                <w:color w:val="auto"/>
              </w:rPr>
            </w:pPr>
            <w:r>
              <w:rPr>
                <w:rFonts w:ascii="Arial" w:cs="Arial" w:eastAsia="Arial" w:hAnsi="Arial"/>
                <w:sz w:val="13"/>
                <w:szCs w:val="13"/>
                <w:b w:val="1"/>
                <w:bCs w:val="1"/>
                <w:color w:val="052666"/>
                <w:w w:val="97"/>
              </w:rPr>
              <w:t>Balance to</w:t>
            </w:r>
          </w:p>
        </w:tc>
        <w:tc>
          <w:tcPr>
            <w:tcW w:w="220" w:type="dxa"/>
            <w:vAlign w:val="bottom"/>
          </w:tcPr>
          <w:p>
            <w:pPr>
              <w:spacing w:after="0"/>
              <w:rPr>
                <w:sz w:val="12"/>
                <w:szCs w:val="12"/>
                <w:color w:val="auto"/>
              </w:rPr>
            </w:pPr>
          </w:p>
        </w:tc>
        <w:tc>
          <w:tcPr>
            <w:tcW w:w="920" w:type="dxa"/>
            <w:vAlign w:val="bottom"/>
          </w:tcPr>
          <w:p>
            <w:pPr>
              <w:jc w:val="center"/>
              <w:ind w:right="153"/>
              <w:spacing w:after="0"/>
              <w:rPr>
                <w:sz w:val="20"/>
                <w:szCs w:val="20"/>
                <w:color w:val="auto"/>
              </w:rPr>
            </w:pPr>
            <w:r>
              <w:rPr>
                <w:rFonts w:ascii="Arial" w:cs="Arial" w:eastAsia="Arial" w:hAnsi="Arial"/>
                <w:sz w:val="13"/>
                <w:szCs w:val="13"/>
                <w:b w:val="1"/>
                <w:bCs w:val="1"/>
                <w:color w:val="052666"/>
                <w:w w:val="94"/>
              </w:rPr>
              <w:t>Year-End</w:t>
            </w:r>
          </w:p>
        </w:tc>
        <w:tc>
          <w:tcPr>
            <w:tcW w:w="0" w:type="dxa"/>
            <w:vAlign w:val="bottom"/>
          </w:tcPr>
          <w:p>
            <w:pPr>
              <w:spacing w:after="0"/>
              <w:rPr>
                <w:sz w:val="1"/>
                <w:szCs w:val="1"/>
                <w:color w:val="auto"/>
              </w:rPr>
            </w:pPr>
          </w:p>
        </w:tc>
      </w:tr>
      <w:tr>
        <w:trPr>
          <w:trHeight w:val="128"/>
        </w:trPr>
        <w:tc>
          <w:tcPr>
            <w:tcW w:w="2040" w:type="dxa"/>
            <w:vAlign w:val="bottom"/>
            <w:tcBorders>
              <w:bottom w:val="single" w:sz="8" w:color="052666"/>
            </w:tcBorders>
          </w:tcPr>
          <w:p>
            <w:pPr>
              <w:ind w:left="20"/>
              <w:spacing w:after="0" w:line="129" w:lineRule="exact"/>
              <w:rPr>
                <w:sz w:val="20"/>
                <w:szCs w:val="20"/>
                <w:color w:val="auto"/>
              </w:rPr>
            </w:pPr>
            <w:r>
              <w:rPr>
                <w:rFonts w:ascii="Arial" w:cs="Arial" w:eastAsia="Arial" w:hAnsi="Arial"/>
                <w:sz w:val="13"/>
                <w:szCs w:val="13"/>
                <w:b w:val="1"/>
                <w:bCs w:val="1"/>
                <w:color w:val="052666"/>
              </w:rPr>
              <w:t>Name</w:t>
            </w:r>
          </w:p>
        </w:tc>
        <w:tc>
          <w:tcPr>
            <w:tcW w:w="240" w:type="dxa"/>
            <w:vAlign w:val="bottom"/>
            <w:tcBorders>
              <w:bottom w:val="single" w:sz="8" w:color="052666"/>
            </w:tcBorders>
          </w:tcPr>
          <w:p>
            <w:pPr>
              <w:spacing w:after="0"/>
              <w:rPr>
                <w:sz w:val="11"/>
                <w:szCs w:val="11"/>
                <w:color w:val="auto"/>
              </w:rPr>
            </w:pPr>
          </w:p>
        </w:tc>
        <w:tc>
          <w:tcPr>
            <w:tcW w:w="920" w:type="dxa"/>
            <w:vAlign w:val="bottom"/>
            <w:tcBorders>
              <w:bottom w:val="single" w:sz="8" w:color="052666"/>
            </w:tcBorders>
          </w:tcPr>
          <w:p>
            <w:pPr>
              <w:jc w:val="right"/>
              <w:ind w:right="433"/>
              <w:spacing w:after="0" w:line="129" w:lineRule="exact"/>
              <w:rPr>
                <w:sz w:val="20"/>
                <w:szCs w:val="20"/>
                <w:color w:val="auto"/>
              </w:rPr>
            </w:pPr>
            <w:r>
              <w:rPr>
                <w:rFonts w:ascii="Arial" w:cs="Arial" w:eastAsia="Arial" w:hAnsi="Arial"/>
                <w:sz w:val="13"/>
                <w:szCs w:val="13"/>
                <w:b w:val="1"/>
                <w:bCs w:val="1"/>
                <w:color w:val="052666"/>
              </w:rPr>
              <w:t>($)</w:t>
            </w:r>
          </w:p>
        </w:tc>
        <w:tc>
          <w:tcPr>
            <w:tcW w:w="200" w:type="dxa"/>
            <w:vAlign w:val="bottom"/>
            <w:tcBorders>
              <w:bottom w:val="single" w:sz="8" w:color="052666"/>
            </w:tcBorders>
          </w:tcPr>
          <w:p>
            <w:pPr>
              <w:spacing w:after="0"/>
              <w:rPr>
                <w:sz w:val="11"/>
                <w:szCs w:val="11"/>
                <w:color w:val="auto"/>
              </w:rPr>
            </w:pPr>
          </w:p>
        </w:tc>
        <w:tc>
          <w:tcPr>
            <w:tcW w:w="1040" w:type="dxa"/>
            <w:vAlign w:val="bottom"/>
            <w:tcBorders>
              <w:bottom w:val="single" w:sz="8" w:color="052666"/>
            </w:tcBorders>
          </w:tcPr>
          <w:p>
            <w:pPr>
              <w:jc w:val="center"/>
              <w:ind w:right="113"/>
              <w:spacing w:after="0" w:line="129" w:lineRule="exact"/>
              <w:rPr>
                <w:sz w:val="20"/>
                <w:szCs w:val="20"/>
                <w:color w:val="auto"/>
              </w:rPr>
            </w:pPr>
            <w:r>
              <w:rPr>
                <w:rFonts w:ascii="Arial" w:cs="Arial" w:eastAsia="Arial" w:hAnsi="Arial"/>
                <w:sz w:val="13"/>
                <w:szCs w:val="13"/>
                <w:b w:val="1"/>
                <w:bCs w:val="1"/>
                <w:color w:val="052666"/>
                <w:w w:val="97"/>
              </w:rPr>
              <w:t>($) (1.)</w:t>
            </w:r>
          </w:p>
        </w:tc>
        <w:tc>
          <w:tcPr>
            <w:tcW w:w="300" w:type="dxa"/>
            <w:vAlign w:val="bottom"/>
            <w:tcBorders>
              <w:bottom w:val="single" w:sz="8" w:color="052666"/>
            </w:tcBorders>
          </w:tcPr>
          <w:p>
            <w:pPr>
              <w:spacing w:after="0"/>
              <w:rPr>
                <w:sz w:val="11"/>
                <w:szCs w:val="11"/>
                <w:color w:val="auto"/>
              </w:rPr>
            </w:pPr>
          </w:p>
        </w:tc>
        <w:tc>
          <w:tcPr>
            <w:tcW w:w="880" w:type="dxa"/>
            <w:vAlign w:val="bottom"/>
            <w:tcBorders>
              <w:bottom w:val="single" w:sz="8" w:color="052666"/>
            </w:tcBorders>
          </w:tcPr>
          <w:p>
            <w:pPr>
              <w:jc w:val="center"/>
              <w:ind w:right="233"/>
              <w:spacing w:after="0" w:line="129" w:lineRule="exact"/>
              <w:rPr>
                <w:sz w:val="20"/>
                <w:szCs w:val="20"/>
                <w:color w:val="auto"/>
              </w:rPr>
            </w:pPr>
            <w:r>
              <w:rPr>
                <w:rFonts w:ascii="Arial" w:cs="Arial" w:eastAsia="Arial" w:hAnsi="Arial"/>
                <w:sz w:val="13"/>
                <w:szCs w:val="13"/>
                <w:b w:val="1"/>
                <w:bCs w:val="1"/>
                <w:color w:val="052666"/>
                <w:w w:val="87"/>
              </w:rPr>
              <w:t>($)</w:t>
            </w:r>
          </w:p>
        </w:tc>
        <w:tc>
          <w:tcPr>
            <w:tcW w:w="600" w:type="dxa"/>
            <w:vAlign w:val="bottom"/>
            <w:tcBorders>
              <w:bottom w:val="single" w:sz="8" w:color="052666"/>
            </w:tcBorders>
          </w:tcPr>
          <w:p>
            <w:pPr>
              <w:jc w:val="right"/>
              <w:spacing w:after="0" w:line="129" w:lineRule="exact"/>
              <w:rPr>
                <w:sz w:val="20"/>
                <w:szCs w:val="20"/>
                <w:color w:val="auto"/>
              </w:rPr>
            </w:pPr>
            <w:r>
              <w:rPr>
                <w:rFonts w:ascii="Arial" w:cs="Arial" w:eastAsia="Arial" w:hAnsi="Arial"/>
                <w:sz w:val="13"/>
                <w:szCs w:val="13"/>
                <w:b w:val="1"/>
                <w:bCs w:val="1"/>
                <w:color w:val="052666"/>
              </w:rPr>
              <w:t>($</w:t>
            </w:r>
          </w:p>
        </w:tc>
        <w:tc>
          <w:tcPr>
            <w:tcW w:w="520" w:type="dxa"/>
            <w:vAlign w:val="bottom"/>
            <w:tcBorders>
              <w:bottom w:val="single" w:sz="8" w:color="052666"/>
            </w:tcBorders>
          </w:tcPr>
          <w:p>
            <w:pPr>
              <w:spacing w:after="0" w:line="129" w:lineRule="exact"/>
              <w:rPr>
                <w:sz w:val="20"/>
                <w:szCs w:val="20"/>
                <w:color w:val="auto"/>
              </w:rPr>
            </w:pPr>
            <w:r>
              <w:rPr>
                <w:rFonts w:ascii="Arial" w:cs="Arial" w:eastAsia="Arial" w:hAnsi="Arial"/>
                <w:sz w:val="13"/>
                <w:szCs w:val="13"/>
                <w:b w:val="1"/>
                <w:bCs w:val="1"/>
                <w:color w:val="052666"/>
              </w:rPr>
              <w:t>)</w:t>
            </w:r>
          </w:p>
        </w:tc>
        <w:tc>
          <w:tcPr>
            <w:tcW w:w="120" w:type="dxa"/>
            <w:vAlign w:val="bottom"/>
            <w:tcBorders>
              <w:bottom w:val="single" w:sz="8" w:color="052666"/>
            </w:tcBorders>
          </w:tcPr>
          <w:p>
            <w:pPr>
              <w:spacing w:after="0"/>
              <w:rPr>
                <w:sz w:val="11"/>
                <w:szCs w:val="11"/>
                <w:color w:val="auto"/>
              </w:rPr>
            </w:pPr>
          </w:p>
        </w:tc>
        <w:tc>
          <w:tcPr>
            <w:tcW w:w="160" w:type="dxa"/>
            <w:vAlign w:val="bottom"/>
            <w:tcBorders>
              <w:bottom w:val="single" w:sz="8" w:color="052666"/>
            </w:tcBorders>
          </w:tcPr>
          <w:p>
            <w:pPr>
              <w:spacing w:after="0"/>
              <w:rPr>
                <w:sz w:val="11"/>
                <w:szCs w:val="11"/>
                <w:color w:val="auto"/>
              </w:rPr>
            </w:pPr>
          </w:p>
        </w:tc>
        <w:tc>
          <w:tcPr>
            <w:tcW w:w="740" w:type="dxa"/>
            <w:vAlign w:val="bottom"/>
            <w:tcBorders>
              <w:bottom w:val="single" w:sz="8" w:color="052666"/>
            </w:tcBorders>
          </w:tcPr>
          <w:p>
            <w:pPr>
              <w:jc w:val="right"/>
              <w:ind w:right="193"/>
              <w:spacing w:after="0" w:line="129" w:lineRule="exact"/>
              <w:rPr>
                <w:sz w:val="20"/>
                <w:szCs w:val="20"/>
                <w:color w:val="auto"/>
              </w:rPr>
            </w:pPr>
            <w:r>
              <w:rPr>
                <w:rFonts w:ascii="Arial" w:cs="Arial" w:eastAsia="Arial" w:hAnsi="Arial"/>
                <w:sz w:val="13"/>
                <w:szCs w:val="13"/>
                <w:b w:val="1"/>
                <w:bCs w:val="1"/>
                <w:color w:val="052666"/>
              </w:rPr>
              <w:t>Vested</w:t>
            </w:r>
          </w:p>
        </w:tc>
        <w:tc>
          <w:tcPr>
            <w:tcW w:w="380" w:type="dxa"/>
            <w:vAlign w:val="bottom"/>
            <w:tcBorders>
              <w:bottom w:val="single" w:sz="8" w:color="052666"/>
            </w:tcBorders>
          </w:tcPr>
          <w:p>
            <w:pPr>
              <w:spacing w:after="0"/>
              <w:rPr>
                <w:sz w:val="11"/>
                <w:szCs w:val="11"/>
                <w:color w:val="auto"/>
              </w:rPr>
            </w:pPr>
          </w:p>
        </w:tc>
        <w:tc>
          <w:tcPr>
            <w:tcW w:w="840" w:type="dxa"/>
            <w:vAlign w:val="bottom"/>
            <w:tcBorders>
              <w:bottom w:val="single" w:sz="8" w:color="052666"/>
            </w:tcBorders>
          </w:tcPr>
          <w:p>
            <w:pPr>
              <w:jc w:val="right"/>
              <w:ind w:right="210"/>
              <w:spacing w:after="0" w:line="129" w:lineRule="exact"/>
              <w:rPr>
                <w:sz w:val="20"/>
                <w:szCs w:val="20"/>
                <w:color w:val="auto"/>
              </w:rPr>
            </w:pPr>
            <w:r>
              <w:rPr>
                <w:rFonts w:ascii="Arial" w:cs="Arial" w:eastAsia="Arial" w:hAnsi="Arial"/>
                <w:sz w:val="13"/>
                <w:szCs w:val="13"/>
                <w:b w:val="1"/>
                <w:bCs w:val="1"/>
                <w:color w:val="052666"/>
                <w:w w:val="92"/>
              </w:rPr>
              <w:t>Unvested</w:t>
            </w:r>
          </w:p>
        </w:tc>
        <w:tc>
          <w:tcPr>
            <w:tcW w:w="200" w:type="dxa"/>
            <w:vAlign w:val="bottom"/>
            <w:tcBorders>
              <w:bottom w:val="single" w:sz="8" w:color="052666"/>
            </w:tcBorders>
          </w:tcPr>
          <w:p>
            <w:pPr>
              <w:spacing w:after="0"/>
              <w:rPr>
                <w:sz w:val="11"/>
                <w:szCs w:val="11"/>
                <w:color w:val="auto"/>
              </w:rPr>
            </w:pPr>
          </w:p>
        </w:tc>
        <w:tc>
          <w:tcPr>
            <w:tcW w:w="920" w:type="dxa"/>
            <w:vAlign w:val="bottom"/>
            <w:tcBorders>
              <w:bottom w:val="single" w:sz="8" w:color="052666"/>
            </w:tcBorders>
          </w:tcPr>
          <w:p>
            <w:pPr>
              <w:jc w:val="center"/>
              <w:ind w:right="133"/>
              <w:spacing w:after="0" w:line="129" w:lineRule="exact"/>
              <w:rPr>
                <w:sz w:val="20"/>
                <w:szCs w:val="20"/>
                <w:color w:val="auto"/>
              </w:rPr>
            </w:pPr>
            <w:r>
              <w:rPr>
                <w:rFonts w:ascii="Arial" w:cs="Arial" w:eastAsia="Arial" w:hAnsi="Arial"/>
                <w:sz w:val="13"/>
                <w:szCs w:val="13"/>
                <w:b w:val="1"/>
                <w:bCs w:val="1"/>
                <w:color w:val="052666"/>
                <w:w w:val="92"/>
              </w:rPr>
              <w:t>SERIP</w:t>
            </w:r>
          </w:p>
        </w:tc>
        <w:tc>
          <w:tcPr>
            <w:tcW w:w="220" w:type="dxa"/>
            <w:vAlign w:val="bottom"/>
            <w:tcBorders>
              <w:bottom w:val="single" w:sz="8" w:color="052666"/>
            </w:tcBorders>
          </w:tcPr>
          <w:p>
            <w:pPr>
              <w:spacing w:after="0"/>
              <w:rPr>
                <w:sz w:val="11"/>
                <w:szCs w:val="11"/>
                <w:color w:val="auto"/>
              </w:rPr>
            </w:pPr>
          </w:p>
        </w:tc>
        <w:tc>
          <w:tcPr>
            <w:tcW w:w="920" w:type="dxa"/>
            <w:vAlign w:val="bottom"/>
            <w:tcBorders>
              <w:bottom w:val="single" w:sz="8" w:color="052666"/>
            </w:tcBorders>
          </w:tcPr>
          <w:p>
            <w:pPr>
              <w:jc w:val="center"/>
              <w:ind w:right="173"/>
              <w:spacing w:after="0" w:line="129" w:lineRule="exact"/>
              <w:rPr>
                <w:sz w:val="20"/>
                <w:szCs w:val="20"/>
                <w:color w:val="auto"/>
              </w:rPr>
            </w:pPr>
            <w:r>
              <w:rPr>
                <w:rFonts w:ascii="Arial" w:cs="Arial" w:eastAsia="Arial" w:hAnsi="Arial"/>
                <w:sz w:val="13"/>
                <w:szCs w:val="13"/>
                <w:b w:val="1"/>
                <w:bCs w:val="1"/>
                <w:color w:val="052666"/>
              </w:rPr>
              <w:t>($)</w:t>
            </w:r>
          </w:p>
        </w:tc>
        <w:tc>
          <w:tcPr>
            <w:tcW w:w="0" w:type="dxa"/>
            <w:vAlign w:val="bottom"/>
          </w:tcPr>
          <w:p>
            <w:pPr>
              <w:spacing w:after="0"/>
              <w:rPr>
                <w:sz w:val="1"/>
                <w:szCs w:val="1"/>
                <w:color w:val="auto"/>
              </w:rPr>
            </w:pPr>
          </w:p>
        </w:tc>
      </w:tr>
      <w:tr>
        <w:trPr>
          <w:trHeight w:val="196"/>
        </w:trPr>
        <w:tc>
          <w:tcPr>
            <w:tcW w:w="2040" w:type="dxa"/>
            <w:vAlign w:val="bottom"/>
            <w:shd w:val="clear" w:color="auto" w:fill="EDEDED"/>
          </w:tcPr>
          <w:p>
            <w:pPr>
              <w:ind w:left="20"/>
              <w:spacing w:after="0"/>
              <w:rPr>
                <w:sz w:val="20"/>
                <w:szCs w:val="20"/>
                <w:color w:val="auto"/>
              </w:rPr>
            </w:pPr>
            <w:r>
              <w:rPr>
                <w:rFonts w:ascii="Arial" w:cs="Arial" w:eastAsia="Arial" w:hAnsi="Arial"/>
                <w:sz w:val="14"/>
                <w:szCs w:val="14"/>
                <w:color w:val="auto"/>
              </w:rPr>
              <w:t>Marc D. Miller</w:t>
            </w:r>
          </w:p>
        </w:tc>
        <w:tc>
          <w:tcPr>
            <w:tcW w:w="24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ind w:right="53"/>
              <w:spacing w:after="0"/>
              <w:rPr>
                <w:sz w:val="20"/>
                <w:szCs w:val="20"/>
                <w:color w:val="auto"/>
              </w:rPr>
            </w:pPr>
            <w:r>
              <w:rPr>
                <w:rFonts w:ascii="Arial" w:cs="Arial" w:eastAsia="Arial" w:hAnsi="Arial"/>
                <w:sz w:val="14"/>
                <w:szCs w:val="14"/>
                <w:color w:val="auto"/>
              </w:rPr>
              <w:t>531,592</w:t>
            </w:r>
          </w:p>
        </w:tc>
        <w:tc>
          <w:tcPr>
            <w:tcW w:w="2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DEDED"/>
          </w:tcPr>
          <w:p>
            <w:pPr>
              <w:jc w:val="right"/>
              <w:ind w:right="53"/>
              <w:spacing w:after="0"/>
              <w:rPr>
                <w:sz w:val="20"/>
                <w:szCs w:val="20"/>
                <w:color w:val="auto"/>
              </w:rPr>
            </w:pPr>
            <w:r>
              <w:rPr>
                <w:rFonts w:ascii="Arial" w:cs="Arial" w:eastAsia="Arial" w:hAnsi="Arial"/>
                <w:sz w:val="14"/>
                <w:szCs w:val="14"/>
                <w:color w:val="auto"/>
              </w:rPr>
              <w:t>84,369</w:t>
            </w:r>
          </w:p>
        </w:tc>
        <w:tc>
          <w:tcPr>
            <w:tcW w:w="30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EDEDED"/>
          </w:tcPr>
          <w:p>
            <w:pPr>
              <w:jc w:val="right"/>
              <w:ind w:right="73"/>
              <w:spacing w:after="0"/>
              <w:rPr>
                <w:sz w:val="20"/>
                <w:szCs w:val="20"/>
                <w:color w:val="auto"/>
              </w:rPr>
            </w:pPr>
            <w:r>
              <w:rPr>
                <w:rFonts w:ascii="Arial" w:cs="Arial" w:eastAsia="Arial" w:hAnsi="Arial"/>
                <w:sz w:val="14"/>
                <w:szCs w:val="14"/>
                <w:color w:val="auto"/>
              </w:rPr>
              <w:t>104,412</w:t>
            </w:r>
          </w:p>
        </w:tc>
        <w:tc>
          <w:tcPr>
            <w:tcW w:w="600" w:type="dxa"/>
            <w:vAlign w:val="bottom"/>
            <w:shd w:val="clear" w:color="auto" w:fill="EDEDED"/>
          </w:tcPr>
          <w:p>
            <w:pPr>
              <w:jc w:val="right"/>
              <w:ind w:right="332"/>
              <w:spacing w:after="0"/>
              <w:rPr>
                <w:sz w:val="20"/>
                <w:szCs w:val="20"/>
                <w:color w:val="auto"/>
              </w:rPr>
            </w:pPr>
            <w:r>
              <w:rPr>
                <w:rFonts w:ascii="Arial" w:cs="Arial" w:eastAsia="Arial" w:hAnsi="Arial"/>
                <w:sz w:val="14"/>
                <w:szCs w:val="14"/>
                <w:color w:val="auto"/>
              </w:rPr>
              <w:t>$</w:t>
            </w:r>
          </w:p>
        </w:tc>
        <w:tc>
          <w:tcPr>
            <w:tcW w:w="520" w:type="dxa"/>
            <w:vAlign w:val="bottom"/>
            <w:shd w:val="clear" w:color="auto" w:fill="EDEDED"/>
          </w:tcPr>
          <w:p>
            <w:pPr>
              <w:ind w:left="2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EDEDED"/>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4"/>
                <w:szCs w:val="14"/>
                <w:color w:val="auto"/>
              </w:rPr>
              <w:t>142,141</w:t>
            </w:r>
          </w:p>
        </w:tc>
        <w:tc>
          <w:tcPr>
            <w:tcW w:w="380" w:type="dxa"/>
            <w:vAlign w:val="bottom"/>
            <w:shd w:val="clear" w:color="auto" w:fill="EDEDED"/>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DEDED"/>
          </w:tcPr>
          <w:p>
            <w:pPr>
              <w:jc w:val="right"/>
              <w:ind w:right="50"/>
              <w:spacing w:after="0"/>
              <w:rPr>
                <w:sz w:val="20"/>
                <w:szCs w:val="20"/>
                <w:color w:val="auto"/>
              </w:rPr>
            </w:pPr>
            <w:r>
              <w:rPr>
                <w:rFonts w:ascii="Arial" w:cs="Arial" w:eastAsia="Arial" w:hAnsi="Arial"/>
                <w:sz w:val="14"/>
                <w:szCs w:val="14"/>
                <w:color w:val="auto"/>
              </w:rPr>
              <w:t>578,232</w:t>
            </w:r>
          </w:p>
        </w:tc>
        <w:tc>
          <w:tcPr>
            <w:tcW w:w="2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ind w:right="53"/>
              <w:spacing w:after="0"/>
              <w:rPr>
                <w:sz w:val="20"/>
                <w:szCs w:val="20"/>
                <w:color w:val="auto"/>
              </w:rPr>
            </w:pPr>
            <w:r>
              <w:rPr>
                <w:rFonts w:ascii="Arial" w:cs="Arial" w:eastAsia="Arial" w:hAnsi="Arial"/>
                <w:sz w:val="14"/>
                <w:szCs w:val="14"/>
                <w:color w:val="auto"/>
              </w:rPr>
              <w:t>1,136,438</w:t>
            </w:r>
          </w:p>
        </w:tc>
        <w:tc>
          <w:tcPr>
            <w:tcW w:w="2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ind w:right="53"/>
              <w:spacing w:after="0"/>
              <w:rPr>
                <w:sz w:val="20"/>
                <w:szCs w:val="20"/>
                <w:color w:val="auto"/>
              </w:rPr>
            </w:pPr>
            <w:r>
              <w:rPr>
                <w:rFonts w:ascii="Arial" w:cs="Arial" w:eastAsia="Arial" w:hAnsi="Arial"/>
                <w:sz w:val="14"/>
                <w:szCs w:val="14"/>
                <w:color w:val="auto"/>
              </w:rPr>
              <w:t>1,856,811</w:t>
            </w:r>
          </w:p>
        </w:tc>
        <w:tc>
          <w:tcPr>
            <w:tcW w:w="0" w:type="dxa"/>
            <w:vAlign w:val="bottom"/>
          </w:tcPr>
          <w:p>
            <w:pPr>
              <w:spacing w:after="0"/>
              <w:rPr>
                <w:sz w:val="1"/>
                <w:szCs w:val="1"/>
                <w:color w:val="auto"/>
              </w:rPr>
            </w:pPr>
          </w:p>
        </w:tc>
      </w:tr>
      <w:tr>
        <w:trPr>
          <w:trHeight w:val="203"/>
        </w:trPr>
        <w:tc>
          <w:tcPr>
            <w:tcW w:w="2040" w:type="dxa"/>
            <w:vAlign w:val="bottom"/>
          </w:tcPr>
          <w:p>
            <w:pPr>
              <w:ind w:left="20"/>
              <w:spacing w:after="0"/>
              <w:rPr>
                <w:sz w:val="20"/>
                <w:szCs w:val="20"/>
                <w:color w:val="auto"/>
              </w:rPr>
            </w:pPr>
            <w:r>
              <w:rPr>
                <w:rFonts w:ascii="Arial" w:cs="Arial" w:eastAsia="Arial" w:hAnsi="Arial"/>
                <w:sz w:val="14"/>
                <w:szCs w:val="14"/>
                <w:color w:val="auto"/>
              </w:rPr>
              <w:t>Steve G. Filton</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342,251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3"/>
              <w:spacing w:after="0"/>
              <w:rPr>
                <w:sz w:val="20"/>
                <w:szCs w:val="20"/>
                <w:color w:val="auto"/>
              </w:rPr>
            </w:pPr>
            <w:r>
              <w:rPr>
                <w:rFonts w:ascii="Arial" w:cs="Arial" w:eastAsia="Arial" w:hAnsi="Arial"/>
                <w:sz w:val="14"/>
                <w:szCs w:val="14"/>
                <w:color w:val="auto"/>
              </w:rPr>
              <w:t>51,586</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45,435</w:t>
            </w:r>
          </w:p>
        </w:tc>
        <w:tc>
          <w:tcPr>
            <w:tcW w:w="6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520" w:type="dxa"/>
            <w:vAlign w:val="bottom"/>
          </w:tcPr>
          <w:p>
            <w:pPr>
              <w:ind w:left="26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439,272</w:t>
            </w:r>
          </w:p>
        </w:tc>
        <w:tc>
          <w:tcPr>
            <w:tcW w:w="3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919,340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1,358,612</w:t>
            </w:r>
          </w:p>
        </w:tc>
        <w:tc>
          <w:tcPr>
            <w:tcW w:w="0" w:type="dxa"/>
            <w:vAlign w:val="bottom"/>
          </w:tcPr>
          <w:p>
            <w:pPr>
              <w:spacing w:after="0"/>
              <w:rPr>
                <w:sz w:val="1"/>
                <w:szCs w:val="1"/>
                <w:color w:val="auto"/>
              </w:rPr>
            </w:pPr>
          </w:p>
        </w:tc>
      </w:tr>
      <w:tr>
        <w:trPr>
          <w:trHeight w:val="203"/>
        </w:trPr>
        <w:tc>
          <w:tcPr>
            <w:tcW w:w="2040" w:type="dxa"/>
            <w:vAlign w:val="bottom"/>
            <w:shd w:val="clear" w:color="auto" w:fill="EDEDED"/>
          </w:tcPr>
          <w:p>
            <w:pPr>
              <w:ind w:left="20"/>
              <w:spacing w:after="0"/>
              <w:rPr>
                <w:sz w:val="20"/>
                <w:szCs w:val="20"/>
                <w:color w:val="auto"/>
              </w:rPr>
            </w:pPr>
            <w:r>
              <w:rPr>
                <w:rFonts w:ascii="Arial" w:cs="Arial" w:eastAsia="Arial" w:hAnsi="Arial"/>
                <w:sz w:val="14"/>
                <w:szCs w:val="14"/>
                <w:color w:val="auto"/>
              </w:rPr>
              <w:t>Edward H. Sim</w:t>
            </w:r>
          </w:p>
        </w:tc>
        <w:tc>
          <w:tcPr>
            <w:tcW w:w="24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ind w:right="53"/>
              <w:spacing w:after="0"/>
              <w:rPr>
                <w:sz w:val="20"/>
                <w:szCs w:val="20"/>
                <w:color w:val="auto"/>
              </w:rPr>
            </w:pPr>
            <w:r>
              <w:rPr>
                <w:rFonts w:ascii="Arial" w:cs="Arial" w:eastAsia="Arial" w:hAnsi="Arial"/>
                <w:sz w:val="14"/>
                <w:szCs w:val="14"/>
                <w:color w:val="auto"/>
              </w:rPr>
              <w:t>46,089</w:t>
            </w:r>
          </w:p>
        </w:tc>
        <w:tc>
          <w:tcPr>
            <w:tcW w:w="2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DEDED"/>
          </w:tcPr>
          <w:p>
            <w:pPr>
              <w:jc w:val="right"/>
              <w:ind w:right="53"/>
              <w:spacing w:after="0"/>
              <w:rPr>
                <w:sz w:val="20"/>
                <w:szCs w:val="20"/>
                <w:color w:val="auto"/>
              </w:rPr>
            </w:pPr>
            <w:r>
              <w:rPr>
                <w:rFonts w:ascii="Arial" w:cs="Arial" w:eastAsia="Arial" w:hAnsi="Arial"/>
                <w:sz w:val="14"/>
                <w:szCs w:val="14"/>
                <w:color w:val="auto"/>
              </w:rPr>
              <w:t>48,416</w:t>
            </w:r>
          </w:p>
        </w:tc>
        <w:tc>
          <w:tcPr>
            <w:tcW w:w="30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EDEDED"/>
          </w:tcPr>
          <w:p>
            <w:pPr>
              <w:jc w:val="right"/>
              <w:ind w:right="73"/>
              <w:spacing w:after="0"/>
              <w:rPr>
                <w:sz w:val="20"/>
                <w:szCs w:val="20"/>
                <w:color w:val="auto"/>
              </w:rPr>
            </w:pPr>
            <w:r>
              <w:rPr>
                <w:rFonts w:ascii="Arial" w:cs="Arial" w:eastAsia="Arial" w:hAnsi="Arial"/>
                <w:sz w:val="14"/>
                <w:szCs w:val="14"/>
                <w:color w:val="auto"/>
              </w:rPr>
              <w:t>11,355</w:t>
            </w:r>
          </w:p>
        </w:tc>
        <w:tc>
          <w:tcPr>
            <w:tcW w:w="600" w:type="dxa"/>
            <w:vAlign w:val="bottom"/>
            <w:shd w:val="clear" w:color="auto" w:fill="EDEDED"/>
          </w:tcPr>
          <w:p>
            <w:pPr>
              <w:jc w:val="right"/>
              <w:ind w:right="332"/>
              <w:spacing w:after="0"/>
              <w:rPr>
                <w:sz w:val="20"/>
                <w:szCs w:val="20"/>
                <w:color w:val="auto"/>
              </w:rPr>
            </w:pPr>
            <w:r>
              <w:rPr>
                <w:rFonts w:ascii="Arial" w:cs="Arial" w:eastAsia="Arial" w:hAnsi="Arial"/>
                <w:sz w:val="14"/>
                <w:szCs w:val="14"/>
                <w:color w:val="auto"/>
              </w:rPr>
              <w:t>$</w:t>
            </w:r>
          </w:p>
        </w:tc>
        <w:tc>
          <w:tcPr>
            <w:tcW w:w="520" w:type="dxa"/>
            <w:vAlign w:val="bottom"/>
            <w:shd w:val="clear" w:color="auto" w:fill="EDEDED"/>
          </w:tcPr>
          <w:p>
            <w:pPr>
              <w:ind w:left="2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EDEDED"/>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EDEDED"/>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DEDED"/>
          </w:tcPr>
          <w:p>
            <w:pPr>
              <w:jc w:val="right"/>
              <w:ind w:right="50"/>
              <w:spacing w:after="0"/>
              <w:rPr>
                <w:sz w:val="20"/>
                <w:szCs w:val="20"/>
                <w:color w:val="auto"/>
              </w:rPr>
            </w:pPr>
            <w:r>
              <w:rPr>
                <w:rFonts w:ascii="Arial" w:cs="Arial" w:eastAsia="Arial" w:hAnsi="Arial"/>
                <w:sz w:val="14"/>
                <w:szCs w:val="14"/>
                <w:color w:val="auto"/>
              </w:rPr>
              <w:t>105,861</w:t>
            </w:r>
          </w:p>
        </w:tc>
        <w:tc>
          <w:tcPr>
            <w:tcW w:w="2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ind w:right="53"/>
              <w:spacing w:after="0"/>
              <w:rPr>
                <w:sz w:val="20"/>
                <w:szCs w:val="20"/>
                <w:color w:val="auto"/>
              </w:rPr>
            </w:pPr>
            <w:r>
              <w:rPr>
                <w:rFonts w:ascii="Arial" w:cs="Arial" w:eastAsia="Arial" w:hAnsi="Arial"/>
                <w:sz w:val="14"/>
                <w:szCs w:val="14"/>
                <w:color w:val="auto"/>
              </w:rPr>
              <w:t>—</w:t>
            </w:r>
          </w:p>
        </w:tc>
        <w:tc>
          <w:tcPr>
            <w:tcW w:w="22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ind w:right="53"/>
              <w:spacing w:after="0"/>
              <w:rPr>
                <w:sz w:val="20"/>
                <w:szCs w:val="20"/>
                <w:color w:val="auto"/>
              </w:rPr>
            </w:pPr>
            <w:r>
              <w:rPr>
                <w:rFonts w:ascii="Arial" w:cs="Arial" w:eastAsia="Arial" w:hAnsi="Arial"/>
                <w:sz w:val="14"/>
                <w:szCs w:val="14"/>
                <w:color w:val="auto"/>
              </w:rPr>
              <w:t>105,861</w:t>
            </w:r>
          </w:p>
        </w:tc>
        <w:tc>
          <w:tcPr>
            <w:tcW w:w="0" w:type="dxa"/>
            <w:vAlign w:val="bottom"/>
          </w:tcPr>
          <w:p>
            <w:pPr>
              <w:spacing w:after="0"/>
              <w:rPr>
                <w:sz w:val="1"/>
                <w:szCs w:val="1"/>
                <w:color w:val="auto"/>
              </w:rPr>
            </w:pPr>
          </w:p>
        </w:tc>
      </w:tr>
      <w:tr>
        <w:trPr>
          <w:trHeight w:val="221"/>
        </w:trPr>
        <w:tc>
          <w:tcPr>
            <w:tcW w:w="2040" w:type="dxa"/>
            <w:vAlign w:val="bottom"/>
          </w:tcPr>
          <w:p>
            <w:pPr>
              <w:ind w:left="20"/>
              <w:spacing w:after="0"/>
              <w:rPr>
                <w:sz w:val="20"/>
                <w:szCs w:val="20"/>
                <w:color w:val="auto"/>
              </w:rPr>
            </w:pPr>
            <w:r>
              <w:rPr>
                <w:rFonts w:ascii="Arial" w:cs="Arial" w:eastAsia="Arial" w:hAnsi="Arial"/>
                <w:sz w:val="14"/>
                <w:szCs w:val="14"/>
                <w:color w:val="auto"/>
              </w:rPr>
              <w:t>Matthew J. Peterson</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191,119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3"/>
              <w:spacing w:after="0"/>
              <w:rPr>
                <w:sz w:val="20"/>
                <w:szCs w:val="20"/>
                <w:color w:val="auto"/>
              </w:rPr>
            </w:pPr>
            <w:r>
              <w:rPr>
                <w:rFonts w:ascii="Arial" w:cs="Arial" w:eastAsia="Arial" w:hAnsi="Arial"/>
                <w:sz w:val="14"/>
                <w:szCs w:val="14"/>
                <w:color w:val="auto"/>
              </w:rPr>
              <w:t>43,526</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38,277</w:t>
            </w:r>
          </w:p>
        </w:tc>
        <w:tc>
          <w:tcPr>
            <w:tcW w:w="60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520" w:type="dxa"/>
            <w:vAlign w:val="bottom"/>
          </w:tcPr>
          <w:p>
            <w:pPr>
              <w:ind w:left="26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10,247</w:t>
            </w:r>
          </w:p>
        </w:tc>
        <w:tc>
          <w:tcPr>
            <w:tcW w:w="3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262,676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272,922</w:t>
            </w:r>
          </w:p>
        </w:tc>
        <w:tc>
          <w:tcPr>
            <w:tcW w:w="0" w:type="dxa"/>
            <w:vAlign w:val="bottom"/>
          </w:tcPr>
          <w:p>
            <w:pPr>
              <w:spacing w:after="0"/>
              <w:rPr>
                <w:sz w:val="1"/>
                <w:szCs w:val="1"/>
                <w:color w:val="auto"/>
              </w:rPr>
            </w:pPr>
          </w:p>
        </w:tc>
      </w:tr>
      <w:tr>
        <w:trPr>
          <w:trHeight w:val="22"/>
        </w:trPr>
        <w:tc>
          <w:tcPr>
            <w:tcW w:w="2040" w:type="dxa"/>
            <w:vAlign w:val="bottom"/>
            <w:tcBorders>
              <w:bottom w:val="single" w:sz="8" w:color="7F7F7F"/>
            </w:tcBorders>
          </w:tcPr>
          <w:p>
            <w:pPr>
              <w:spacing w:after="0" w:line="20" w:lineRule="exact"/>
              <w:rPr>
                <w:sz w:val="1"/>
                <w:szCs w:val="1"/>
                <w:color w:val="auto"/>
              </w:rPr>
            </w:pPr>
          </w:p>
        </w:tc>
        <w:tc>
          <w:tcPr>
            <w:tcW w:w="240" w:type="dxa"/>
            <w:vAlign w:val="bottom"/>
            <w:tcBorders>
              <w:bottom w:val="single" w:sz="8" w:color="7F7F7F"/>
            </w:tcBorders>
          </w:tcPr>
          <w:p>
            <w:pPr>
              <w:spacing w:after="0" w:line="20" w:lineRule="exact"/>
              <w:rPr>
                <w:sz w:val="1"/>
                <w:szCs w:val="1"/>
                <w:color w:val="auto"/>
              </w:rPr>
            </w:pPr>
          </w:p>
        </w:tc>
        <w:tc>
          <w:tcPr>
            <w:tcW w:w="920" w:type="dxa"/>
            <w:vAlign w:val="bottom"/>
            <w:tcBorders>
              <w:bottom w:val="single" w:sz="8" w:color="7F7F7F"/>
            </w:tcBorders>
          </w:tcPr>
          <w:p>
            <w:pPr>
              <w:spacing w:after="0" w:line="20" w:lineRule="exact"/>
              <w:rPr>
                <w:sz w:val="1"/>
                <w:szCs w:val="1"/>
                <w:color w:val="auto"/>
              </w:rPr>
            </w:pPr>
          </w:p>
        </w:tc>
        <w:tc>
          <w:tcPr>
            <w:tcW w:w="20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300" w:type="dxa"/>
            <w:vAlign w:val="bottom"/>
            <w:tcBorders>
              <w:bottom w:val="single" w:sz="8" w:color="7F7F7F"/>
            </w:tcBorders>
          </w:tcPr>
          <w:p>
            <w:pPr>
              <w:spacing w:after="0" w:line="20" w:lineRule="exact"/>
              <w:rPr>
                <w:sz w:val="1"/>
                <w:szCs w:val="1"/>
                <w:color w:val="auto"/>
              </w:rPr>
            </w:pPr>
          </w:p>
        </w:tc>
        <w:tc>
          <w:tcPr>
            <w:tcW w:w="880" w:type="dxa"/>
            <w:vAlign w:val="bottom"/>
            <w:tcBorders>
              <w:bottom w:val="single" w:sz="8" w:color="7F7F7F"/>
            </w:tcBorders>
          </w:tcPr>
          <w:p>
            <w:pPr>
              <w:spacing w:after="0" w:line="20" w:lineRule="exact"/>
              <w:rPr>
                <w:sz w:val="1"/>
                <w:szCs w:val="1"/>
                <w:color w:val="auto"/>
              </w:rPr>
            </w:pPr>
          </w:p>
        </w:tc>
        <w:tc>
          <w:tcPr>
            <w:tcW w:w="600" w:type="dxa"/>
            <w:vAlign w:val="bottom"/>
            <w:tcBorders>
              <w:bottom w:val="single" w:sz="8" w:color="7F7F7F"/>
            </w:tcBorders>
          </w:tcPr>
          <w:p>
            <w:pPr>
              <w:spacing w:after="0" w:line="20" w:lineRule="exact"/>
              <w:rPr>
                <w:sz w:val="1"/>
                <w:szCs w:val="1"/>
                <w:color w:val="auto"/>
              </w:rPr>
            </w:pPr>
          </w:p>
        </w:tc>
        <w:tc>
          <w:tcPr>
            <w:tcW w:w="520" w:type="dxa"/>
            <w:vAlign w:val="bottom"/>
            <w:tcBorders>
              <w:bottom w:val="single" w:sz="8" w:color="7F7F7F"/>
            </w:tcBorders>
          </w:tcPr>
          <w:p>
            <w:pPr>
              <w:spacing w:after="0" w:line="20" w:lineRule="exact"/>
              <w:rPr>
                <w:sz w:val="1"/>
                <w:szCs w:val="1"/>
                <w:color w:val="auto"/>
              </w:rPr>
            </w:pPr>
          </w:p>
        </w:tc>
        <w:tc>
          <w:tcPr>
            <w:tcW w:w="120" w:type="dxa"/>
            <w:vAlign w:val="bottom"/>
            <w:tcBorders>
              <w:bottom w:val="single" w:sz="8" w:color="7F7F7F"/>
            </w:tcBorders>
          </w:tcPr>
          <w:p>
            <w:pPr>
              <w:spacing w:after="0" w:line="20" w:lineRule="exact"/>
              <w:rPr>
                <w:sz w:val="1"/>
                <w:szCs w:val="1"/>
                <w:color w:val="auto"/>
              </w:rPr>
            </w:pPr>
          </w:p>
        </w:tc>
        <w:tc>
          <w:tcPr>
            <w:tcW w:w="160" w:type="dxa"/>
            <w:vAlign w:val="bottom"/>
            <w:tcBorders>
              <w:bottom w:val="single" w:sz="8" w:color="7F7F7F"/>
            </w:tcBorders>
          </w:tcPr>
          <w:p>
            <w:pPr>
              <w:spacing w:after="0" w:line="20" w:lineRule="exact"/>
              <w:rPr>
                <w:sz w:val="1"/>
                <w:szCs w:val="1"/>
                <w:color w:val="auto"/>
              </w:rPr>
            </w:pPr>
          </w:p>
        </w:tc>
        <w:tc>
          <w:tcPr>
            <w:tcW w:w="740" w:type="dxa"/>
            <w:vAlign w:val="bottom"/>
            <w:tcBorders>
              <w:bottom w:val="single" w:sz="8" w:color="7F7F7F"/>
            </w:tcBorders>
          </w:tcPr>
          <w:p>
            <w:pPr>
              <w:spacing w:after="0" w:line="20" w:lineRule="exact"/>
              <w:rPr>
                <w:sz w:val="1"/>
                <w:szCs w:val="1"/>
                <w:color w:val="auto"/>
              </w:rPr>
            </w:pPr>
          </w:p>
        </w:tc>
        <w:tc>
          <w:tcPr>
            <w:tcW w:w="380" w:type="dxa"/>
            <w:vAlign w:val="bottom"/>
            <w:tcBorders>
              <w:bottom w:val="single" w:sz="8" w:color="7F7F7F"/>
            </w:tcBorders>
          </w:tcPr>
          <w:p>
            <w:pPr>
              <w:spacing w:after="0" w:line="20" w:lineRule="exact"/>
              <w:rPr>
                <w:sz w:val="1"/>
                <w:szCs w:val="1"/>
                <w:color w:val="auto"/>
              </w:rPr>
            </w:pPr>
          </w:p>
        </w:tc>
        <w:tc>
          <w:tcPr>
            <w:tcW w:w="840" w:type="dxa"/>
            <w:vAlign w:val="bottom"/>
            <w:tcBorders>
              <w:bottom w:val="single" w:sz="8" w:color="7F7F7F"/>
            </w:tcBorders>
          </w:tcPr>
          <w:p>
            <w:pPr>
              <w:spacing w:after="0" w:line="20" w:lineRule="exact"/>
              <w:rPr>
                <w:sz w:val="1"/>
                <w:szCs w:val="1"/>
                <w:color w:val="auto"/>
              </w:rPr>
            </w:pPr>
          </w:p>
        </w:tc>
        <w:tc>
          <w:tcPr>
            <w:tcW w:w="200" w:type="dxa"/>
            <w:vAlign w:val="bottom"/>
            <w:tcBorders>
              <w:bottom w:val="single" w:sz="8" w:color="7F7F7F"/>
            </w:tcBorders>
          </w:tcPr>
          <w:p>
            <w:pPr>
              <w:spacing w:after="0" w:line="20" w:lineRule="exact"/>
              <w:rPr>
                <w:sz w:val="1"/>
                <w:szCs w:val="1"/>
                <w:color w:val="auto"/>
              </w:rPr>
            </w:pPr>
          </w:p>
        </w:tc>
        <w:tc>
          <w:tcPr>
            <w:tcW w:w="920" w:type="dxa"/>
            <w:vAlign w:val="bottom"/>
            <w:tcBorders>
              <w:bottom w:val="single" w:sz="8" w:color="7F7F7F"/>
            </w:tcBorders>
          </w:tcPr>
          <w:p>
            <w:pPr>
              <w:spacing w:after="0" w:line="20" w:lineRule="exact"/>
              <w:rPr>
                <w:sz w:val="1"/>
                <w:szCs w:val="1"/>
                <w:color w:val="auto"/>
              </w:rPr>
            </w:pPr>
          </w:p>
        </w:tc>
        <w:tc>
          <w:tcPr>
            <w:tcW w:w="220" w:type="dxa"/>
            <w:vAlign w:val="bottom"/>
            <w:tcBorders>
              <w:bottom w:val="single" w:sz="8" w:color="7F7F7F"/>
            </w:tcBorders>
          </w:tcPr>
          <w:p>
            <w:pPr>
              <w:spacing w:after="0" w:line="20" w:lineRule="exact"/>
              <w:rPr>
                <w:sz w:val="1"/>
                <w:szCs w:val="1"/>
                <w:color w:val="auto"/>
              </w:rPr>
            </w:pPr>
          </w:p>
        </w:tc>
        <w:tc>
          <w:tcPr>
            <w:tcW w:w="920" w:type="dxa"/>
            <w:vAlign w:val="bottom"/>
            <w:tcBorders>
              <w:bottom w:val="single" w:sz="8" w:color="7F7F7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hanging="372"/>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represent discretionary contributions made by the Company during 2025 to the SERIP accounts and are considered 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0" w:name="page61"/>
    <w:bookmarkEnd w:id="60"/>
    <w:p>
      <w:pPr>
        <w:spacing w:after="0"/>
        <w:rPr>
          <w:sz w:val="20"/>
          <w:szCs w:val="20"/>
          <w:color w:val="auto"/>
        </w:rPr>
      </w:pPr>
      <w:r>
        <w:rPr>
          <w:rFonts w:ascii="Arial" w:cs="Arial" w:eastAsia="Arial" w:hAnsi="Arial"/>
          <w:sz w:val="40"/>
          <w:szCs w:val="40"/>
          <w:b w:val="1"/>
          <w:bCs w:val="1"/>
          <w:color w:val="052666"/>
        </w:rPr>
        <w:t>NONQUALIFIED DEFERRED COMPENSATION PLAN</w:t>
      </w:r>
    </w:p>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Our Deferred Compensation Plan, which is subject to the applicable provisions of Internal Revenue Code Section 409A provides that eligible employees may elect to defer a portion of their base salary and bonus award into investment options in lieu of receiving cash. Under the Deferred Compensation Plan, an employee is deemed eligible if their base compensation for 2025 was $160,000 or higher and they are performing duties in a qualified position. The base compensation threshold is adjusted annually for cost-of-living increases.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Pursuant to the terms of the Deferred Compensation Plan, the minimum annual amount that can be deferred is 1% of an employee’s base salary. No more than 50% of an employee’s base salary or 95% of an employee’s annual bonus may be deferred under the Deferred Compensation Plan in any calendar year. Employees may allocate a portion of their deferred compensation to be distributed in a lump sum or installments to begin at retirement or a scheduled distribution date. The available investment options consist of certain mutual funds which include: (i) conservative (e.g. money markets or bonds); (ii) moderately conservative (e.g. balanced funds), and; (iii) aggressive (e.g. domestic and international equity). Our obligation to make payments of amounts credited to participants’ deferred compensation accounts is a general unsecured obligation. In addition, under the Deferred Compensation Plan, we may make discretionary contributions on behalf of an eligible employee. Since inception of the Deferred Compensation Plan, we have not made any discretionary contributions on behalf of employees.</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Our obligations under the Deferred Compensation Plan in connection with an employee’s retirement account are payable, beginning at retirement at age 55 and 10 years of service for deferrals made prior to January 1, 2016, and age 55 and 5 years of service for deferrals made on or after January 1, 2016, in equal installments over a ten year period; except that an employee may make a distribution election to receive the balance of the participant’s retirement account in either a single lump sum or equal annual or less frequent installments over a period not to exceed ten years. For deferrals made on or after January 1, 2016, an employee may elect to defer the retirement distribution to begin one year following retirement. An employee or designated beneficiary will receive a lump sum as a result of death, disability, or termination, other than for retirement. An employee may change his distribution elections by making new distribution elections at least 12 months prior to the date on which such payment was otherwise scheduled to be made and must be delayed until a date that is at least five years after the date the distribution was previously scheduled to begin.</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Our obligations under the Deferred Compensation Plan in connection with an employee’s scheduled distribution are payable in a lump sum or installments of two to ten years, commencing on the date indicated by the employee. If the employee’s employment is terminated prior to the distribution of obligations in accordance with a scheduled distribution then the amounts credited to such accounts will be transferred to the employee’s retirement account and distributed in accordance with the employee’s distribution election for that account.</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If an employee experiences a financial hardship that is the result of an “unforeseeable emergency,” as defined under the Deferred Compensation Plan, he or she may apply to the administrator of the Deferred Compensation Plan for an emergency withdrawal against his or her accounts. Such an emergency withdrawal may be allowed at the discretion of the administrator, in which case the employee’s account will be reduced accordingly.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information about our Deferred Compensation Plan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61" w:name="page62"/>
    <w:bookmarkEnd w:id="61"/>
    <w:p>
      <w:pPr>
        <w:ind w:left="7980"/>
        <w:spacing w:after="0"/>
        <w:rPr>
          <w:sz w:val="20"/>
          <w:szCs w:val="20"/>
          <w:color w:val="auto"/>
        </w:rPr>
      </w:pPr>
      <w:r>
        <w:rPr>
          <w:rFonts w:ascii="Arial" w:cs="Arial" w:eastAsia="Arial" w:hAnsi="Arial"/>
          <w:sz w:val="16"/>
          <w:szCs w:val="16"/>
          <w:b w:val="1"/>
          <w:bCs w:val="1"/>
          <w:color w:val="000052"/>
        </w:rPr>
        <w:t>Nonqualified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84"/>
              <w:spacing w:after="0"/>
              <w:rPr>
                <w:sz w:val="20"/>
                <w:szCs w:val="20"/>
                <w:color w:val="auto"/>
              </w:rPr>
            </w:pPr>
            <w:r>
              <w:rPr>
                <w:rFonts w:ascii="Arial" w:cs="Arial" w:eastAsia="Arial" w:hAnsi="Arial"/>
                <w:sz w:val="14"/>
                <w:szCs w:val="14"/>
                <w:b w:val="1"/>
                <w:bCs w:val="1"/>
                <w:color w:val="052666"/>
              </w:rPr>
              <w:t>Executive</w:t>
            </w:r>
          </w:p>
        </w:tc>
        <w:tc>
          <w:tcPr>
            <w:tcW w:w="240" w:type="dxa"/>
            <w:vAlign w:val="bottom"/>
          </w:tcPr>
          <w:p>
            <w:pPr>
              <w:spacing w:after="0"/>
              <w:rPr>
                <w:sz w:val="14"/>
                <w:szCs w:val="14"/>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052666"/>
              </w:rPr>
              <w:t>Company</w:t>
            </w:r>
          </w:p>
        </w:tc>
        <w:tc>
          <w:tcPr>
            <w:tcW w:w="300" w:type="dxa"/>
            <w:vAlign w:val="bottom"/>
          </w:tcPr>
          <w:p>
            <w:pPr>
              <w:spacing w:after="0"/>
              <w:rPr>
                <w:sz w:val="14"/>
                <w:szCs w:val="14"/>
                <w:color w:val="auto"/>
              </w:rPr>
            </w:pPr>
          </w:p>
        </w:tc>
        <w:tc>
          <w:tcPr>
            <w:tcW w:w="1220" w:type="dxa"/>
            <w:vAlign w:val="bottom"/>
          </w:tcPr>
          <w:p>
            <w:pPr>
              <w:jc w:val="center"/>
              <w:ind w:right="224"/>
              <w:spacing w:after="0"/>
              <w:rPr>
                <w:sz w:val="20"/>
                <w:szCs w:val="20"/>
                <w:color w:val="auto"/>
              </w:rPr>
            </w:pPr>
            <w:r>
              <w:rPr>
                <w:rFonts w:ascii="Arial" w:cs="Arial" w:eastAsia="Arial" w:hAnsi="Arial"/>
                <w:sz w:val="14"/>
                <w:szCs w:val="14"/>
                <w:b w:val="1"/>
                <w:bCs w:val="1"/>
                <w:color w:val="052666"/>
              </w:rPr>
              <w:t>Aggregate</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4"/>
              <w:spacing w:after="0"/>
              <w:rPr>
                <w:sz w:val="20"/>
                <w:szCs w:val="20"/>
                <w:color w:val="auto"/>
              </w:rPr>
            </w:pPr>
            <w:r>
              <w:rPr>
                <w:rFonts w:ascii="Arial" w:cs="Arial" w:eastAsia="Arial" w:hAnsi="Arial"/>
                <w:sz w:val="14"/>
                <w:szCs w:val="14"/>
                <w:b w:val="1"/>
                <w:bCs w:val="1"/>
                <w:color w:val="052666"/>
              </w:rPr>
              <w:t>Aggregate</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052666"/>
              </w:rPr>
              <w:t>Contributions</w:t>
            </w:r>
          </w:p>
        </w:tc>
        <w:tc>
          <w:tcPr>
            <w:tcW w:w="240" w:type="dxa"/>
            <w:vAlign w:val="bottom"/>
          </w:tcPr>
          <w:p>
            <w:pPr>
              <w:spacing w:after="0"/>
              <w:rPr>
                <w:sz w:val="14"/>
                <w:szCs w:val="14"/>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052666"/>
              </w:rPr>
              <w:t>Contributions</w:t>
            </w:r>
          </w:p>
        </w:tc>
        <w:tc>
          <w:tcPr>
            <w:tcW w:w="300" w:type="dxa"/>
            <w:vAlign w:val="bottom"/>
          </w:tcPr>
          <w:p>
            <w:pPr>
              <w:spacing w:after="0"/>
              <w:rPr>
                <w:sz w:val="14"/>
                <w:szCs w:val="14"/>
                <w:color w:val="auto"/>
              </w:rPr>
            </w:pPr>
          </w:p>
        </w:tc>
        <w:tc>
          <w:tcPr>
            <w:tcW w:w="1220" w:type="dxa"/>
            <w:vAlign w:val="bottom"/>
          </w:tcPr>
          <w:p>
            <w:pPr>
              <w:jc w:val="center"/>
              <w:ind w:right="224"/>
              <w:spacing w:after="0"/>
              <w:rPr>
                <w:sz w:val="20"/>
                <w:szCs w:val="20"/>
                <w:color w:val="auto"/>
              </w:rPr>
            </w:pPr>
            <w:r>
              <w:rPr>
                <w:rFonts w:ascii="Arial" w:cs="Arial" w:eastAsia="Arial" w:hAnsi="Arial"/>
                <w:sz w:val="14"/>
                <w:szCs w:val="14"/>
                <w:b w:val="1"/>
                <w:bCs w:val="1"/>
                <w:color w:val="052666"/>
              </w:rPr>
              <w:t>Earnings</w:t>
            </w:r>
          </w:p>
        </w:tc>
        <w:tc>
          <w:tcPr>
            <w:tcW w:w="240" w:type="dxa"/>
            <w:vAlign w:val="bottom"/>
          </w:tcPr>
          <w:p>
            <w:pPr>
              <w:spacing w:after="0"/>
              <w:rPr>
                <w:sz w:val="14"/>
                <w:szCs w:val="14"/>
                <w:color w:val="auto"/>
              </w:rPr>
            </w:pPr>
          </w:p>
        </w:tc>
        <w:tc>
          <w:tcPr>
            <w:tcW w:w="1260" w:type="dxa"/>
            <w:vAlign w:val="bottom"/>
          </w:tcPr>
          <w:p>
            <w:pPr>
              <w:jc w:val="center"/>
              <w:ind w:right="163"/>
              <w:spacing w:after="0"/>
              <w:rPr>
                <w:sz w:val="20"/>
                <w:szCs w:val="20"/>
                <w:color w:val="auto"/>
              </w:rPr>
            </w:pPr>
            <w:r>
              <w:rPr>
                <w:rFonts w:ascii="Arial" w:cs="Arial" w:eastAsia="Arial" w:hAnsi="Arial"/>
                <w:sz w:val="14"/>
                <w:szCs w:val="14"/>
                <w:b w:val="1"/>
                <w:bCs w:val="1"/>
                <w:color w:val="052666"/>
              </w:rPr>
              <w:t>Aggregate</w:t>
            </w:r>
          </w:p>
        </w:tc>
        <w:tc>
          <w:tcPr>
            <w:tcW w:w="260" w:type="dxa"/>
            <w:vAlign w:val="bottom"/>
          </w:tcPr>
          <w:p>
            <w:pPr>
              <w:spacing w:after="0"/>
              <w:rPr>
                <w:sz w:val="14"/>
                <w:szCs w:val="14"/>
                <w:color w:val="auto"/>
              </w:rPr>
            </w:pPr>
          </w:p>
        </w:tc>
        <w:tc>
          <w:tcPr>
            <w:tcW w:w="1280" w:type="dxa"/>
            <w:vAlign w:val="bottom"/>
          </w:tcPr>
          <w:p>
            <w:pPr>
              <w:jc w:val="center"/>
              <w:ind w:right="184"/>
              <w:spacing w:after="0"/>
              <w:rPr>
                <w:sz w:val="20"/>
                <w:szCs w:val="20"/>
                <w:color w:val="auto"/>
              </w:rPr>
            </w:pPr>
            <w:r>
              <w:rPr>
                <w:rFonts w:ascii="Arial" w:cs="Arial" w:eastAsia="Arial" w:hAnsi="Arial"/>
                <w:sz w:val="14"/>
                <w:szCs w:val="14"/>
                <w:b w:val="1"/>
                <w:bCs w:val="1"/>
                <w:color w:val="052666"/>
              </w:rPr>
              <w:t>Balance</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052666"/>
              </w:rPr>
              <w:t>in Last</w:t>
            </w:r>
          </w:p>
        </w:tc>
        <w:tc>
          <w:tcPr>
            <w:tcW w:w="240" w:type="dxa"/>
            <w:vAlign w:val="bottom"/>
          </w:tcPr>
          <w:p>
            <w:pPr>
              <w:spacing w:after="0"/>
              <w:rPr>
                <w:sz w:val="14"/>
                <w:szCs w:val="14"/>
                <w:color w:val="auto"/>
              </w:rPr>
            </w:pPr>
          </w:p>
        </w:tc>
        <w:tc>
          <w:tcPr>
            <w:tcW w:w="1260" w:type="dxa"/>
            <w:vAlign w:val="bottom"/>
          </w:tcPr>
          <w:p>
            <w:pPr>
              <w:jc w:val="center"/>
              <w:ind w:right="164"/>
              <w:spacing w:after="0"/>
              <w:rPr>
                <w:sz w:val="20"/>
                <w:szCs w:val="20"/>
                <w:color w:val="auto"/>
              </w:rPr>
            </w:pPr>
            <w:r>
              <w:rPr>
                <w:rFonts w:ascii="Arial" w:cs="Arial" w:eastAsia="Arial" w:hAnsi="Arial"/>
                <w:sz w:val="14"/>
                <w:szCs w:val="14"/>
                <w:b w:val="1"/>
                <w:bCs w:val="1"/>
                <w:color w:val="052666"/>
              </w:rPr>
              <w:t>in Last</w:t>
            </w:r>
          </w:p>
        </w:tc>
        <w:tc>
          <w:tcPr>
            <w:tcW w:w="300" w:type="dxa"/>
            <w:vAlign w:val="bottom"/>
          </w:tcPr>
          <w:p>
            <w:pPr>
              <w:spacing w:after="0"/>
              <w:rPr>
                <w:sz w:val="14"/>
                <w:szCs w:val="14"/>
                <w:color w:val="auto"/>
              </w:rPr>
            </w:pPr>
          </w:p>
        </w:tc>
        <w:tc>
          <w:tcPr>
            <w:tcW w:w="1220" w:type="dxa"/>
            <w:vAlign w:val="bottom"/>
          </w:tcPr>
          <w:p>
            <w:pPr>
              <w:jc w:val="center"/>
              <w:ind w:right="224"/>
              <w:spacing w:after="0"/>
              <w:rPr>
                <w:sz w:val="20"/>
                <w:szCs w:val="20"/>
                <w:color w:val="auto"/>
              </w:rPr>
            </w:pPr>
            <w:r>
              <w:rPr>
                <w:rFonts w:ascii="Arial" w:cs="Arial" w:eastAsia="Arial" w:hAnsi="Arial"/>
                <w:sz w:val="14"/>
                <w:szCs w:val="14"/>
                <w:b w:val="1"/>
                <w:bCs w:val="1"/>
                <w:color w:val="052666"/>
              </w:rPr>
              <w:t>in Last</w:t>
            </w:r>
          </w:p>
        </w:tc>
        <w:tc>
          <w:tcPr>
            <w:tcW w:w="240" w:type="dxa"/>
            <w:vAlign w:val="bottom"/>
          </w:tcPr>
          <w:p>
            <w:pPr>
              <w:spacing w:after="0"/>
              <w:rPr>
                <w:sz w:val="14"/>
                <w:szCs w:val="14"/>
                <w:color w:val="auto"/>
              </w:rPr>
            </w:pPr>
          </w:p>
        </w:tc>
        <w:tc>
          <w:tcPr>
            <w:tcW w:w="1260" w:type="dxa"/>
            <w:vAlign w:val="bottom"/>
          </w:tcPr>
          <w:p>
            <w:pPr>
              <w:jc w:val="center"/>
              <w:ind w:right="163"/>
              <w:spacing w:after="0"/>
              <w:rPr>
                <w:sz w:val="20"/>
                <w:szCs w:val="20"/>
                <w:color w:val="auto"/>
              </w:rPr>
            </w:pPr>
            <w:r>
              <w:rPr>
                <w:rFonts w:ascii="Arial" w:cs="Arial" w:eastAsia="Arial" w:hAnsi="Arial"/>
                <w:sz w:val="14"/>
                <w:szCs w:val="14"/>
                <w:b w:val="1"/>
                <w:bCs w:val="1"/>
                <w:color w:val="052666"/>
              </w:rPr>
              <w:t>Withdrawals /</w:t>
            </w:r>
          </w:p>
        </w:tc>
        <w:tc>
          <w:tcPr>
            <w:tcW w:w="260" w:type="dxa"/>
            <w:vAlign w:val="bottom"/>
          </w:tcPr>
          <w:p>
            <w:pPr>
              <w:spacing w:after="0"/>
              <w:rPr>
                <w:sz w:val="14"/>
                <w:szCs w:val="14"/>
                <w:color w:val="auto"/>
              </w:rPr>
            </w:pPr>
          </w:p>
        </w:tc>
        <w:tc>
          <w:tcPr>
            <w:tcW w:w="1280" w:type="dxa"/>
            <w:vAlign w:val="bottom"/>
          </w:tcPr>
          <w:p>
            <w:pPr>
              <w:jc w:val="center"/>
              <w:ind w:right="184"/>
              <w:spacing w:after="0"/>
              <w:rPr>
                <w:sz w:val="20"/>
                <w:szCs w:val="20"/>
                <w:color w:val="auto"/>
              </w:rPr>
            </w:pPr>
            <w:r>
              <w:rPr>
                <w:rFonts w:ascii="Arial" w:cs="Arial" w:eastAsia="Arial" w:hAnsi="Arial"/>
                <w:sz w:val="14"/>
                <w:szCs w:val="14"/>
                <w:b w:val="1"/>
                <w:bCs w:val="1"/>
                <w:color w:val="052666"/>
              </w:rPr>
              <w:t>at Last Fiscal</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84"/>
              <w:spacing w:after="0"/>
              <w:rPr>
                <w:sz w:val="20"/>
                <w:szCs w:val="20"/>
                <w:color w:val="auto"/>
              </w:rPr>
            </w:pPr>
            <w:r>
              <w:rPr>
                <w:rFonts w:ascii="Arial" w:cs="Arial" w:eastAsia="Arial" w:hAnsi="Arial"/>
                <w:sz w:val="14"/>
                <w:szCs w:val="14"/>
                <w:b w:val="1"/>
                <w:bCs w:val="1"/>
                <w:color w:val="052666"/>
              </w:rPr>
              <w:t>Fiscal Year</w:t>
            </w:r>
          </w:p>
        </w:tc>
        <w:tc>
          <w:tcPr>
            <w:tcW w:w="240" w:type="dxa"/>
            <w:vAlign w:val="bottom"/>
          </w:tcPr>
          <w:p>
            <w:pPr>
              <w:spacing w:after="0"/>
              <w:rPr>
                <w:sz w:val="14"/>
                <w:szCs w:val="14"/>
                <w:color w:val="auto"/>
              </w:rPr>
            </w:pPr>
          </w:p>
        </w:tc>
        <w:tc>
          <w:tcPr>
            <w:tcW w:w="1260" w:type="dxa"/>
            <w:vAlign w:val="bottom"/>
          </w:tcPr>
          <w:p>
            <w:pPr>
              <w:jc w:val="center"/>
              <w:ind w:right="184"/>
              <w:spacing w:after="0"/>
              <w:rPr>
                <w:sz w:val="20"/>
                <w:szCs w:val="20"/>
                <w:color w:val="auto"/>
              </w:rPr>
            </w:pPr>
            <w:r>
              <w:rPr>
                <w:rFonts w:ascii="Arial" w:cs="Arial" w:eastAsia="Arial" w:hAnsi="Arial"/>
                <w:sz w:val="14"/>
                <w:szCs w:val="14"/>
                <w:b w:val="1"/>
                <w:bCs w:val="1"/>
                <w:color w:val="052666"/>
              </w:rPr>
              <w:t>Fiscal Year</w:t>
            </w:r>
          </w:p>
        </w:tc>
        <w:tc>
          <w:tcPr>
            <w:tcW w:w="300" w:type="dxa"/>
            <w:vAlign w:val="bottom"/>
          </w:tcPr>
          <w:p>
            <w:pPr>
              <w:spacing w:after="0"/>
              <w:rPr>
                <w:sz w:val="14"/>
                <w:szCs w:val="14"/>
                <w:color w:val="auto"/>
              </w:rPr>
            </w:pPr>
          </w:p>
        </w:tc>
        <w:tc>
          <w:tcPr>
            <w:tcW w:w="1220" w:type="dxa"/>
            <w:vAlign w:val="bottom"/>
          </w:tcPr>
          <w:p>
            <w:pPr>
              <w:jc w:val="center"/>
              <w:ind w:right="224"/>
              <w:spacing w:after="0"/>
              <w:rPr>
                <w:sz w:val="20"/>
                <w:szCs w:val="20"/>
                <w:color w:val="auto"/>
              </w:rPr>
            </w:pPr>
            <w:r>
              <w:rPr>
                <w:rFonts w:ascii="Arial" w:cs="Arial" w:eastAsia="Arial" w:hAnsi="Arial"/>
                <w:sz w:val="14"/>
                <w:szCs w:val="14"/>
                <w:b w:val="1"/>
                <w:bCs w:val="1"/>
                <w:color w:val="052666"/>
              </w:rPr>
              <w:t>Fiscal Year</w:t>
            </w:r>
          </w:p>
        </w:tc>
        <w:tc>
          <w:tcPr>
            <w:tcW w:w="240" w:type="dxa"/>
            <w:vAlign w:val="bottom"/>
          </w:tcPr>
          <w:p>
            <w:pPr>
              <w:spacing w:after="0"/>
              <w:rPr>
                <w:sz w:val="14"/>
                <w:szCs w:val="14"/>
                <w:color w:val="auto"/>
              </w:rPr>
            </w:pPr>
          </w:p>
        </w:tc>
        <w:tc>
          <w:tcPr>
            <w:tcW w:w="1260" w:type="dxa"/>
            <w:vAlign w:val="bottom"/>
          </w:tcPr>
          <w:p>
            <w:pPr>
              <w:jc w:val="center"/>
              <w:ind w:right="163"/>
              <w:spacing w:after="0"/>
              <w:rPr>
                <w:sz w:val="20"/>
                <w:szCs w:val="20"/>
                <w:color w:val="auto"/>
              </w:rPr>
            </w:pPr>
            <w:r>
              <w:rPr>
                <w:rFonts w:ascii="Arial" w:cs="Arial" w:eastAsia="Arial" w:hAnsi="Arial"/>
                <w:sz w:val="14"/>
                <w:szCs w:val="14"/>
                <w:b w:val="1"/>
                <w:bCs w:val="1"/>
                <w:color w:val="052666"/>
              </w:rPr>
              <w:t>Distributions</w:t>
            </w:r>
          </w:p>
        </w:tc>
        <w:tc>
          <w:tcPr>
            <w:tcW w:w="260" w:type="dxa"/>
            <w:vAlign w:val="bottom"/>
          </w:tcPr>
          <w:p>
            <w:pPr>
              <w:spacing w:after="0"/>
              <w:rPr>
                <w:sz w:val="14"/>
                <w:szCs w:val="14"/>
                <w:color w:val="auto"/>
              </w:rPr>
            </w:pPr>
          </w:p>
        </w:tc>
        <w:tc>
          <w:tcPr>
            <w:tcW w:w="1280" w:type="dxa"/>
            <w:vAlign w:val="bottom"/>
          </w:tcPr>
          <w:p>
            <w:pPr>
              <w:jc w:val="center"/>
              <w:ind w:right="184"/>
              <w:spacing w:after="0"/>
              <w:rPr>
                <w:sz w:val="20"/>
                <w:szCs w:val="20"/>
                <w:color w:val="auto"/>
              </w:rPr>
            </w:pPr>
            <w:r>
              <w:rPr>
                <w:rFonts w:ascii="Arial" w:cs="Arial" w:eastAsia="Arial" w:hAnsi="Arial"/>
                <w:sz w:val="14"/>
                <w:szCs w:val="14"/>
                <w:b w:val="1"/>
                <w:bCs w:val="1"/>
                <w:color w:val="052666"/>
              </w:rPr>
              <w:t>Year-End</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052666"/>
            </w:tcBorders>
          </w:tcPr>
          <w:p>
            <w:pPr>
              <w:ind w:left="40"/>
              <w:spacing w:after="0"/>
              <w:rPr>
                <w:sz w:val="20"/>
                <w:szCs w:val="20"/>
                <w:color w:val="auto"/>
              </w:rPr>
            </w:pPr>
            <w:r>
              <w:rPr>
                <w:rFonts w:ascii="Arial" w:cs="Arial" w:eastAsia="Arial" w:hAnsi="Arial"/>
                <w:sz w:val="14"/>
                <w:szCs w:val="14"/>
                <w:b w:val="1"/>
                <w:bCs w:val="1"/>
                <w:color w:val="052666"/>
              </w:rPr>
              <w:t>Name</w:t>
            </w:r>
          </w:p>
        </w:tc>
        <w:tc>
          <w:tcPr>
            <w:tcW w:w="240" w:type="dxa"/>
            <w:vAlign w:val="bottom"/>
            <w:tcBorders>
              <w:bottom w:val="single" w:sz="8" w:color="052666"/>
            </w:tcBorders>
          </w:tcPr>
          <w:p>
            <w:pPr>
              <w:spacing w:after="0"/>
              <w:rPr>
                <w:sz w:val="14"/>
                <w:szCs w:val="14"/>
                <w:color w:val="auto"/>
              </w:rPr>
            </w:pPr>
          </w:p>
        </w:tc>
        <w:tc>
          <w:tcPr>
            <w:tcW w:w="1260" w:type="dxa"/>
            <w:vAlign w:val="bottom"/>
            <w:tcBorders>
              <w:bottom w:val="single" w:sz="8" w:color="052666"/>
            </w:tcBorders>
          </w:tcPr>
          <w:p>
            <w:pPr>
              <w:jc w:val="center"/>
              <w:ind w:right="184"/>
              <w:spacing w:after="0"/>
              <w:rPr>
                <w:sz w:val="20"/>
                <w:szCs w:val="20"/>
                <w:color w:val="auto"/>
              </w:rPr>
            </w:pPr>
            <w:r>
              <w:rPr>
                <w:rFonts w:ascii="Arial" w:cs="Arial" w:eastAsia="Arial" w:hAnsi="Arial"/>
                <w:sz w:val="14"/>
                <w:szCs w:val="14"/>
                <w:b w:val="1"/>
                <w:bCs w:val="1"/>
                <w:color w:val="052666"/>
              </w:rPr>
              <w:t>($) (1.)</w:t>
            </w:r>
          </w:p>
        </w:tc>
        <w:tc>
          <w:tcPr>
            <w:tcW w:w="240" w:type="dxa"/>
            <w:vAlign w:val="bottom"/>
            <w:tcBorders>
              <w:bottom w:val="single" w:sz="8" w:color="052666"/>
            </w:tcBorders>
          </w:tcPr>
          <w:p>
            <w:pPr>
              <w:spacing w:after="0"/>
              <w:rPr>
                <w:sz w:val="14"/>
                <w:szCs w:val="14"/>
                <w:color w:val="auto"/>
              </w:rPr>
            </w:pPr>
          </w:p>
        </w:tc>
        <w:tc>
          <w:tcPr>
            <w:tcW w:w="1260" w:type="dxa"/>
            <w:vAlign w:val="bottom"/>
            <w:tcBorders>
              <w:bottom w:val="single" w:sz="8" w:color="052666"/>
            </w:tcBorders>
          </w:tcPr>
          <w:p>
            <w:pPr>
              <w:jc w:val="center"/>
              <w:ind w:right="164"/>
              <w:spacing w:after="0"/>
              <w:rPr>
                <w:sz w:val="20"/>
                <w:szCs w:val="20"/>
                <w:color w:val="auto"/>
              </w:rPr>
            </w:pPr>
            <w:r>
              <w:rPr>
                <w:rFonts w:ascii="Arial" w:cs="Arial" w:eastAsia="Arial" w:hAnsi="Arial"/>
                <w:sz w:val="14"/>
                <w:szCs w:val="14"/>
                <w:b w:val="1"/>
                <w:bCs w:val="1"/>
                <w:color w:val="052666"/>
              </w:rPr>
              <w:t>($)</w:t>
            </w:r>
          </w:p>
        </w:tc>
        <w:tc>
          <w:tcPr>
            <w:tcW w:w="300" w:type="dxa"/>
            <w:vAlign w:val="bottom"/>
            <w:tcBorders>
              <w:bottom w:val="single" w:sz="8" w:color="052666"/>
            </w:tcBorders>
          </w:tcPr>
          <w:p>
            <w:pPr>
              <w:spacing w:after="0"/>
              <w:rPr>
                <w:sz w:val="14"/>
                <w:szCs w:val="14"/>
                <w:color w:val="auto"/>
              </w:rPr>
            </w:pPr>
          </w:p>
        </w:tc>
        <w:tc>
          <w:tcPr>
            <w:tcW w:w="1220" w:type="dxa"/>
            <w:vAlign w:val="bottom"/>
            <w:tcBorders>
              <w:bottom w:val="single" w:sz="8" w:color="052666"/>
            </w:tcBorders>
          </w:tcPr>
          <w:p>
            <w:pPr>
              <w:jc w:val="center"/>
              <w:ind w:right="224"/>
              <w:spacing w:after="0"/>
              <w:rPr>
                <w:sz w:val="20"/>
                <w:szCs w:val="20"/>
                <w:color w:val="auto"/>
              </w:rPr>
            </w:pPr>
            <w:r>
              <w:rPr>
                <w:rFonts w:ascii="Arial" w:cs="Arial" w:eastAsia="Arial" w:hAnsi="Arial"/>
                <w:sz w:val="14"/>
                <w:szCs w:val="14"/>
                <w:b w:val="1"/>
                <w:bCs w:val="1"/>
                <w:color w:val="052666"/>
                <w:w w:val="93"/>
              </w:rPr>
              <w:t>($)</w:t>
            </w:r>
          </w:p>
        </w:tc>
        <w:tc>
          <w:tcPr>
            <w:tcW w:w="240" w:type="dxa"/>
            <w:vAlign w:val="bottom"/>
            <w:tcBorders>
              <w:bottom w:val="single" w:sz="8" w:color="052666"/>
            </w:tcBorders>
          </w:tcPr>
          <w:p>
            <w:pPr>
              <w:spacing w:after="0"/>
              <w:rPr>
                <w:sz w:val="14"/>
                <w:szCs w:val="14"/>
                <w:color w:val="auto"/>
              </w:rPr>
            </w:pPr>
          </w:p>
        </w:tc>
        <w:tc>
          <w:tcPr>
            <w:tcW w:w="1260" w:type="dxa"/>
            <w:vAlign w:val="bottom"/>
            <w:tcBorders>
              <w:bottom w:val="single" w:sz="8" w:color="052666"/>
            </w:tcBorders>
          </w:tcPr>
          <w:p>
            <w:pPr>
              <w:jc w:val="center"/>
              <w:ind w:right="163"/>
              <w:spacing w:after="0"/>
              <w:rPr>
                <w:sz w:val="20"/>
                <w:szCs w:val="20"/>
                <w:color w:val="auto"/>
              </w:rPr>
            </w:pPr>
            <w:r>
              <w:rPr>
                <w:rFonts w:ascii="Arial" w:cs="Arial" w:eastAsia="Arial" w:hAnsi="Arial"/>
                <w:sz w:val="14"/>
                <w:szCs w:val="14"/>
                <w:b w:val="1"/>
                <w:bCs w:val="1"/>
                <w:color w:val="052666"/>
              </w:rPr>
              <w:t>($)</w:t>
            </w:r>
          </w:p>
        </w:tc>
        <w:tc>
          <w:tcPr>
            <w:tcW w:w="260" w:type="dxa"/>
            <w:vAlign w:val="bottom"/>
            <w:tcBorders>
              <w:bottom w:val="single" w:sz="8" w:color="052666"/>
            </w:tcBorders>
          </w:tcPr>
          <w:p>
            <w:pPr>
              <w:spacing w:after="0"/>
              <w:rPr>
                <w:sz w:val="14"/>
                <w:szCs w:val="14"/>
                <w:color w:val="auto"/>
              </w:rPr>
            </w:pPr>
          </w:p>
        </w:tc>
        <w:tc>
          <w:tcPr>
            <w:tcW w:w="1280" w:type="dxa"/>
            <w:vAlign w:val="bottom"/>
            <w:tcBorders>
              <w:bottom w:val="single" w:sz="8" w:color="052666"/>
            </w:tcBorders>
          </w:tcPr>
          <w:p>
            <w:pPr>
              <w:jc w:val="center"/>
              <w:ind w:right="184"/>
              <w:spacing w:after="0"/>
              <w:rPr>
                <w:sz w:val="20"/>
                <w:szCs w:val="20"/>
                <w:color w:val="auto"/>
              </w:rPr>
            </w:pPr>
            <w:r>
              <w:rPr>
                <w:rFonts w:ascii="Arial" w:cs="Arial" w:eastAsia="Arial" w:hAnsi="Arial"/>
                <w:sz w:val="14"/>
                <w:szCs w:val="14"/>
                <w:b w:val="1"/>
                <w:bCs w:val="1"/>
                <w:color w:val="052666"/>
              </w:rPr>
              <w:t>($)</w:t>
            </w:r>
          </w:p>
        </w:tc>
        <w:tc>
          <w:tcPr>
            <w:tcW w:w="0" w:type="dxa"/>
            <w:vAlign w:val="bottom"/>
          </w:tcPr>
          <w:p>
            <w:pPr>
              <w:spacing w:after="0"/>
              <w:rPr>
                <w:sz w:val="1"/>
                <w:szCs w:val="1"/>
                <w:color w:val="auto"/>
              </w:rPr>
            </w:pPr>
          </w:p>
        </w:tc>
      </w:tr>
      <w:tr>
        <w:trPr>
          <w:trHeight w:val="257"/>
        </w:trPr>
        <w:tc>
          <w:tcPr>
            <w:tcW w:w="368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6"/>
                <w:szCs w:val="16"/>
                <w:color w:val="auto"/>
              </w:rPr>
              <w:t>Marc D. Miller</w:t>
            </w:r>
          </w:p>
        </w:tc>
        <w:tc>
          <w:tcPr>
            <w:tcW w:w="2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DEDED"/>
            </w:tcBorders>
            <w:shd w:val="clear" w:color="auto" w:fill="EDEDED"/>
          </w:tcPr>
          <w:p>
            <w:pPr>
              <w:ind w:left="9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DEDED"/>
            </w:tcBorders>
            <w:shd w:val="clear" w:color="auto" w:fill="EDEDED"/>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auto"/>
              </w:rPr>
              <w:t>58,945</w:t>
            </w:r>
          </w:p>
        </w:tc>
        <w:tc>
          <w:tcPr>
            <w:tcW w:w="2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DEDED"/>
            </w:tcBorders>
            <w:shd w:val="clear" w:color="auto" w:fill="EDEDED"/>
          </w:tcPr>
          <w:p>
            <w:pPr>
              <w:ind w:left="10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auto"/>
              </w:rPr>
              <w:t>448,669</w:t>
            </w:r>
          </w:p>
        </w:tc>
        <w:tc>
          <w:tcPr>
            <w:tcW w:w="0" w:type="dxa"/>
            <w:vAlign w:val="bottom"/>
          </w:tcPr>
          <w:p>
            <w:pPr>
              <w:spacing w:after="0"/>
              <w:rPr>
                <w:sz w:val="1"/>
                <w:szCs w:val="1"/>
                <w:color w:val="auto"/>
              </w:rPr>
            </w:pPr>
          </w:p>
        </w:tc>
      </w:tr>
      <w:tr>
        <w:trPr>
          <w:trHeight w:val="203"/>
        </w:trPr>
        <w:tc>
          <w:tcPr>
            <w:tcW w:w="3680" w:type="dxa"/>
            <w:vAlign w:val="bottom"/>
          </w:tcPr>
          <w:p>
            <w:pPr>
              <w:ind w:left="40"/>
              <w:spacing w:after="0"/>
              <w:rPr>
                <w:sz w:val="20"/>
                <w:szCs w:val="20"/>
                <w:color w:val="auto"/>
              </w:rPr>
            </w:pPr>
            <w:r>
              <w:rPr>
                <w:rFonts w:ascii="Arial" w:cs="Arial" w:eastAsia="Arial" w:hAnsi="Arial"/>
                <w:sz w:val="16"/>
                <w:szCs w:val="16"/>
                <w:color w:val="auto"/>
              </w:rPr>
              <w:t>Alan B. Miller</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ind w:left="98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44"/>
              <w:spacing w:after="0"/>
              <w:rPr>
                <w:sz w:val="20"/>
                <w:szCs w:val="20"/>
                <w:color w:val="auto"/>
              </w:rPr>
            </w:pPr>
            <w:r>
              <w:rPr>
                <w:rFonts w:ascii="Arial" w:cs="Arial" w:eastAsia="Arial" w:hAnsi="Arial"/>
                <w:sz w:val="16"/>
                <w:szCs w:val="16"/>
                <w:color w:val="auto"/>
              </w:rPr>
              <w:t>600,613</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ind w:left="100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44"/>
              <w:spacing w:after="0"/>
              <w:rPr>
                <w:sz w:val="20"/>
                <w:szCs w:val="20"/>
                <w:color w:val="auto"/>
              </w:rPr>
            </w:pPr>
            <w:r>
              <w:rPr>
                <w:rFonts w:ascii="Arial" w:cs="Arial" w:eastAsia="Arial" w:hAnsi="Arial"/>
                <w:sz w:val="16"/>
                <w:szCs w:val="16"/>
                <w:color w:val="auto"/>
              </w:rPr>
              <w:t>4,723,625</w:t>
            </w:r>
          </w:p>
        </w:tc>
        <w:tc>
          <w:tcPr>
            <w:tcW w:w="0" w:type="dxa"/>
            <w:vAlign w:val="bottom"/>
          </w:tcPr>
          <w:p>
            <w:pPr>
              <w:spacing w:after="0"/>
              <w:rPr>
                <w:sz w:val="1"/>
                <w:szCs w:val="1"/>
                <w:color w:val="auto"/>
              </w:rPr>
            </w:pPr>
          </w:p>
        </w:tc>
      </w:tr>
      <w:tr>
        <w:trPr>
          <w:trHeight w:val="41"/>
        </w:trPr>
        <w:tc>
          <w:tcPr>
            <w:tcW w:w="36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6"/>
                <w:szCs w:val="16"/>
                <w:color w:val="auto"/>
              </w:rPr>
              <w:t>Steve G. Filton</w:t>
            </w:r>
          </w:p>
        </w:tc>
        <w:tc>
          <w:tcPr>
            <w:tcW w:w="2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DEDED"/>
            </w:tcBorders>
            <w:shd w:val="clear" w:color="auto" w:fill="EDEDED"/>
          </w:tcPr>
          <w:p>
            <w:pPr>
              <w:ind w:left="9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DEDED"/>
            </w:tcBorders>
            <w:shd w:val="clear" w:color="auto" w:fill="EDEDED"/>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DEDED"/>
            </w:tcBorders>
            <w:shd w:val="clear" w:color="auto" w:fill="EDEDED"/>
          </w:tcPr>
          <w:p>
            <w:pPr>
              <w:ind w:left="10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80" w:type="dxa"/>
            <w:vAlign w:val="bottom"/>
          </w:tcPr>
          <w:p>
            <w:pPr>
              <w:ind w:left="40"/>
              <w:spacing w:after="0"/>
              <w:rPr>
                <w:sz w:val="20"/>
                <w:szCs w:val="20"/>
                <w:color w:val="auto"/>
              </w:rPr>
            </w:pPr>
            <w:r>
              <w:rPr>
                <w:rFonts w:ascii="Arial" w:cs="Arial" w:eastAsia="Arial" w:hAnsi="Arial"/>
                <w:sz w:val="16"/>
                <w:szCs w:val="16"/>
                <w:color w:val="auto"/>
              </w:rPr>
              <w:t>Edward H. Sim</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ind w:left="98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ind w:left="100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
        </w:trPr>
        <w:tc>
          <w:tcPr>
            <w:tcW w:w="36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EDEDED"/>
          </w:tcPr>
          <w:p>
            <w:pPr>
              <w:ind w:left="40"/>
              <w:spacing w:after="0"/>
              <w:rPr>
                <w:sz w:val="20"/>
                <w:szCs w:val="20"/>
                <w:color w:val="auto"/>
              </w:rPr>
            </w:pPr>
            <w:r>
              <w:rPr>
                <w:rFonts w:ascii="Arial" w:cs="Arial" w:eastAsia="Arial" w:hAnsi="Arial"/>
                <w:sz w:val="16"/>
                <w:szCs w:val="16"/>
                <w:color w:val="auto"/>
              </w:rPr>
              <w:t>Matthew J. Peterson</w:t>
            </w:r>
          </w:p>
        </w:tc>
        <w:tc>
          <w:tcPr>
            <w:tcW w:w="24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DEDED"/>
          </w:tcPr>
          <w:p>
            <w:pPr>
              <w:jc w:val="right"/>
              <w:ind w:right="44"/>
              <w:spacing w:after="0"/>
              <w:rPr>
                <w:sz w:val="20"/>
                <w:szCs w:val="20"/>
                <w:color w:val="auto"/>
              </w:rPr>
            </w:pPr>
            <w:r>
              <w:rPr>
                <w:rFonts w:ascii="Arial" w:cs="Arial" w:eastAsia="Arial" w:hAnsi="Arial"/>
                <w:sz w:val="16"/>
                <w:szCs w:val="16"/>
                <w:color w:val="auto"/>
              </w:rPr>
              <w:t>905,421</w:t>
            </w:r>
          </w:p>
        </w:tc>
        <w:tc>
          <w:tcPr>
            <w:tcW w:w="24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DEDED"/>
          </w:tcPr>
          <w:p>
            <w:pPr>
              <w:ind w:left="98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EDEDED"/>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EDEDED"/>
          </w:tcPr>
          <w:p>
            <w:pPr>
              <w:jc w:val="right"/>
              <w:ind w:right="44"/>
              <w:spacing w:after="0"/>
              <w:rPr>
                <w:sz w:val="20"/>
                <w:szCs w:val="20"/>
                <w:color w:val="auto"/>
              </w:rPr>
            </w:pPr>
            <w:r>
              <w:rPr>
                <w:rFonts w:ascii="Arial" w:cs="Arial" w:eastAsia="Arial" w:hAnsi="Arial"/>
                <w:sz w:val="16"/>
                <w:szCs w:val="16"/>
                <w:color w:val="auto"/>
              </w:rPr>
              <w:t>506,355</w:t>
            </w:r>
          </w:p>
        </w:tc>
        <w:tc>
          <w:tcPr>
            <w:tcW w:w="24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DEDED"/>
          </w:tcPr>
          <w:p>
            <w:pPr>
              <w:ind w:left="100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DEDED"/>
          </w:tcPr>
          <w:p>
            <w:pPr>
              <w:jc w:val="right"/>
              <w:ind w:right="44"/>
              <w:spacing w:after="0"/>
              <w:rPr>
                <w:sz w:val="20"/>
                <w:szCs w:val="20"/>
                <w:color w:val="auto"/>
              </w:rPr>
            </w:pPr>
            <w:r>
              <w:rPr>
                <w:rFonts w:ascii="Arial" w:cs="Arial" w:eastAsia="Arial" w:hAnsi="Arial"/>
                <w:sz w:val="16"/>
                <w:szCs w:val="16"/>
                <w:color w:val="auto"/>
              </w:rPr>
              <w:t>3,478,685</w:t>
            </w:r>
          </w:p>
        </w:tc>
        <w:tc>
          <w:tcPr>
            <w:tcW w:w="0" w:type="dxa"/>
            <w:vAlign w:val="bottom"/>
          </w:tcPr>
          <w:p>
            <w:pPr>
              <w:spacing w:after="0"/>
              <w:rPr>
                <w:sz w:val="1"/>
                <w:szCs w:val="1"/>
                <w:color w:val="auto"/>
              </w:rPr>
            </w:pPr>
          </w:p>
        </w:tc>
      </w:tr>
      <w:tr>
        <w:trPr>
          <w:trHeight w:val="61"/>
        </w:trPr>
        <w:tc>
          <w:tcPr>
            <w:tcW w:w="3680" w:type="dxa"/>
            <w:vAlign w:val="bottom"/>
            <w:tcBorders>
              <w:bottom w:val="single" w:sz="8" w:color="EDEDED"/>
            </w:tcBorders>
            <w:shd w:val="clear" w:color="auto" w:fill="EDEDED"/>
          </w:tcPr>
          <w:p>
            <w:pPr>
              <w:spacing w:after="0"/>
              <w:rPr>
                <w:sz w:val="5"/>
                <w:szCs w:val="5"/>
                <w:color w:val="auto"/>
              </w:rPr>
            </w:pPr>
          </w:p>
        </w:tc>
        <w:tc>
          <w:tcPr>
            <w:tcW w:w="240" w:type="dxa"/>
            <w:vAlign w:val="bottom"/>
            <w:tcBorders>
              <w:bottom w:val="single" w:sz="8" w:color="EDEDED"/>
            </w:tcBorders>
            <w:vMerge w:val="continue"/>
            <w:shd w:val="clear" w:color="auto" w:fill="EDEDED"/>
          </w:tcPr>
          <w:p>
            <w:pPr>
              <w:spacing w:after="0"/>
              <w:rPr>
                <w:sz w:val="5"/>
                <w:szCs w:val="5"/>
                <w:color w:val="auto"/>
              </w:rPr>
            </w:pPr>
          </w:p>
        </w:tc>
        <w:tc>
          <w:tcPr>
            <w:tcW w:w="1260" w:type="dxa"/>
            <w:vAlign w:val="bottom"/>
            <w:tcBorders>
              <w:bottom w:val="single" w:sz="8" w:color="EDEDED"/>
            </w:tcBorders>
            <w:vMerge w:val="continue"/>
            <w:shd w:val="clear" w:color="auto" w:fill="EDEDED"/>
          </w:tcPr>
          <w:p>
            <w:pPr>
              <w:spacing w:after="0"/>
              <w:rPr>
                <w:sz w:val="5"/>
                <w:szCs w:val="5"/>
                <w:color w:val="auto"/>
              </w:rPr>
            </w:pPr>
          </w:p>
        </w:tc>
        <w:tc>
          <w:tcPr>
            <w:tcW w:w="240" w:type="dxa"/>
            <w:vAlign w:val="bottom"/>
            <w:tcBorders>
              <w:bottom w:val="single" w:sz="8" w:color="EDEDED"/>
            </w:tcBorders>
            <w:vMerge w:val="continue"/>
            <w:shd w:val="clear" w:color="auto" w:fill="EDEDED"/>
          </w:tcPr>
          <w:p>
            <w:pPr>
              <w:spacing w:after="0"/>
              <w:rPr>
                <w:sz w:val="5"/>
                <w:szCs w:val="5"/>
                <w:color w:val="auto"/>
              </w:rPr>
            </w:pPr>
          </w:p>
        </w:tc>
        <w:tc>
          <w:tcPr>
            <w:tcW w:w="1260" w:type="dxa"/>
            <w:vAlign w:val="bottom"/>
            <w:tcBorders>
              <w:bottom w:val="single" w:sz="8" w:color="EDEDED"/>
            </w:tcBorders>
            <w:vMerge w:val="continue"/>
            <w:shd w:val="clear" w:color="auto" w:fill="EDEDED"/>
          </w:tcPr>
          <w:p>
            <w:pPr>
              <w:spacing w:after="0"/>
              <w:rPr>
                <w:sz w:val="5"/>
                <w:szCs w:val="5"/>
                <w:color w:val="auto"/>
              </w:rPr>
            </w:pPr>
          </w:p>
        </w:tc>
        <w:tc>
          <w:tcPr>
            <w:tcW w:w="300" w:type="dxa"/>
            <w:vAlign w:val="bottom"/>
            <w:tcBorders>
              <w:bottom w:val="single" w:sz="8" w:color="EDEDED"/>
            </w:tcBorders>
            <w:vMerge w:val="continue"/>
            <w:shd w:val="clear" w:color="auto" w:fill="EDEDED"/>
          </w:tcPr>
          <w:p>
            <w:pPr>
              <w:spacing w:after="0"/>
              <w:rPr>
                <w:sz w:val="5"/>
                <w:szCs w:val="5"/>
                <w:color w:val="auto"/>
              </w:rPr>
            </w:pPr>
          </w:p>
        </w:tc>
        <w:tc>
          <w:tcPr>
            <w:tcW w:w="1220" w:type="dxa"/>
            <w:vAlign w:val="bottom"/>
            <w:tcBorders>
              <w:bottom w:val="single" w:sz="8" w:color="EDEDED"/>
            </w:tcBorders>
            <w:vMerge w:val="continue"/>
            <w:shd w:val="clear" w:color="auto" w:fill="EDEDED"/>
          </w:tcPr>
          <w:p>
            <w:pPr>
              <w:spacing w:after="0"/>
              <w:rPr>
                <w:sz w:val="5"/>
                <w:szCs w:val="5"/>
                <w:color w:val="auto"/>
              </w:rPr>
            </w:pPr>
          </w:p>
        </w:tc>
        <w:tc>
          <w:tcPr>
            <w:tcW w:w="240" w:type="dxa"/>
            <w:vAlign w:val="bottom"/>
            <w:tcBorders>
              <w:bottom w:val="single" w:sz="8" w:color="EDEDED"/>
            </w:tcBorders>
            <w:vMerge w:val="continue"/>
            <w:shd w:val="clear" w:color="auto" w:fill="EDEDED"/>
          </w:tcPr>
          <w:p>
            <w:pPr>
              <w:spacing w:after="0"/>
              <w:rPr>
                <w:sz w:val="5"/>
                <w:szCs w:val="5"/>
                <w:color w:val="auto"/>
              </w:rPr>
            </w:pPr>
          </w:p>
        </w:tc>
        <w:tc>
          <w:tcPr>
            <w:tcW w:w="1260" w:type="dxa"/>
            <w:vAlign w:val="bottom"/>
            <w:tcBorders>
              <w:bottom w:val="single" w:sz="8" w:color="EDEDED"/>
            </w:tcBorders>
            <w:vMerge w:val="continue"/>
            <w:shd w:val="clear" w:color="auto" w:fill="EDEDED"/>
          </w:tcPr>
          <w:p>
            <w:pPr>
              <w:spacing w:after="0"/>
              <w:rPr>
                <w:sz w:val="5"/>
                <w:szCs w:val="5"/>
                <w:color w:val="auto"/>
              </w:rPr>
            </w:pPr>
          </w:p>
        </w:tc>
        <w:tc>
          <w:tcPr>
            <w:tcW w:w="260" w:type="dxa"/>
            <w:vAlign w:val="bottom"/>
            <w:tcBorders>
              <w:bottom w:val="single" w:sz="8" w:color="EDEDED"/>
            </w:tcBorders>
            <w:vMerge w:val="continue"/>
            <w:shd w:val="clear" w:color="auto" w:fill="EDEDED"/>
          </w:tcPr>
          <w:p>
            <w:pPr>
              <w:spacing w:after="0"/>
              <w:rPr>
                <w:sz w:val="5"/>
                <w:szCs w:val="5"/>
                <w:color w:val="auto"/>
              </w:rPr>
            </w:pPr>
          </w:p>
        </w:tc>
        <w:tc>
          <w:tcPr>
            <w:tcW w:w="1280" w:type="dxa"/>
            <w:vAlign w:val="bottom"/>
            <w:tcBorders>
              <w:bottom w:val="single" w:sz="8" w:color="EDEDED"/>
            </w:tcBorders>
            <w:vMerge w:val="continue"/>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8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26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26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122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260" w:type="dxa"/>
            <w:vAlign w:val="bottom"/>
            <w:shd w:val="clear" w:color="auto" w:fill="7F7F7F"/>
          </w:tcPr>
          <w:p>
            <w:pPr>
              <w:spacing w:after="0" w:line="20" w:lineRule="exact"/>
              <w:rPr>
                <w:sz w:val="1"/>
                <w:szCs w:val="1"/>
                <w:color w:val="auto"/>
              </w:rPr>
            </w:pPr>
          </w:p>
        </w:tc>
        <w:tc>
          <w:tcPr>
            <w:tcW w:w="260" w:type="dxa"/>
            <w:vAlign w:val="bottom"/>
            <w:shd w:val="clear" w:color="auto" w:fill="7F7F7F"/>
          </w:tcPr>
          <w:p>
            <w:pPr>
              <w:spacing w:after="0" w:line="20" w:lineRule="exact"/>
              <w:rPr>
                <w:sz w:val="1"/>
                <w:szCs w:val="1"/>
                <w:color w:val="auto"/>
              </w:rPr>
            </w:pPr>
          </w:p>
        </w:tc>
        <w:tc>
          <w:tcPr>
            <w:tcW w:w="12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500" w:hanging="372"/>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 included in Salary and Non-Equity Incentive Plan Compensation in the Summary Compensation Table.</w:t>
      </w:r>
    </w:p>
    <w:p>
      <w:pPr>
        <w:spacing w:after="0" w:line="10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i w:val="1"/>
          <w:iCs w:val="1"/>
          <w:color w:val="auto"/>
        </w:rPr>
        <w:t>Split-Dollar Life Insurance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Split-Dollar Life Insurance Agreements</w:t>
      </w:r>
      <w:r>
        <w:rPr>
          <w:rFonts w:ascii="Arial" w:cs="Arial" w:eastAsia="Arial" w:hAnsi="Arial"/>
          <w:sz w:val="16"/>
          <w:szCs w:val="16"/>
          <w:color w:val="auto"/>
        </w:rPr>
        <w:t xml:space="preserve"> as included above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2" w:name="page63"/>
    <w:bookmarkEnd w:id="62"/>
    <w:p>
      <w:pPr>
        <w:ind w:right="1860"/>
        <w:spacing w:after="0" w:line="270" w:lineRule="auto"/>
        <w:rPr>
          <w:sz w:val="20"/>
          <w:szCs w:val="20"/>
          <w:color w:val="auto"/>
        </w:rPr>
      </w:pPr>
      <w:r>
        <w:rPr>
          <w:rFonts w:ascii="Arial" w:cs="Arial" w:eastAsia="Arial" w:hAnsi="Arial"/>
          <w:sz w:val="40"/>
          <w:szCs w:val="40"/>
          <w:b w:val="1"/>
          <w:bCs w:val="1"/>
          <w:color w:val="052666"/>
        </w:rPr>
        <w:t>POTENTIAL PAYMENTS UPON TERMINATION OR CHANGE-IN-CONTROL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Marc D. Miller Employment Agreement:</w:t>
      </w:r>
    </w:p>
    <w:p>
      <w:pPr>
        <w:spacing w:after="0" w:line="9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On December 30, 2025, a wholly-owned subsidiary of ours entered into an amended and restated employment agreement (“MDM Amended Employment Agreement”). The MDM Amended Employment Agreement provides for the employment of Mr. Marc Miller as Chief Executive Officer (“CEO”) for an initial term ending on January 1, 2029, subject to earlier termination in accordance with its terms, and subject to automatic annual renewal for additional one-year periods unless either party elects to terminate Mr. Marc Miller’s employment at the end of the initial term or at the end of the renewal term by giving one year’s advance written notice of such termination. At all times during the term of employment, Mr. Marc Miller shall be nominated to serve as a member of the Board of Directors. This MDM Amended Employment Agreement is substantially the same (other than the extension of the initial term) as, and supersedes, Marc D. Miller’s previous employment agreement dated as March 19, 2025.</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general, Mr. Marc Miller’s long-term stock-based incentives awards granted during or before employment as CEO will become fully vested upon termination of his employment as CEO at the time such employment ends, other than by us for “cause” or voluntarily by Mr. Marc Miller before or at the end of the applicable term (under circumstances not involving a breach of the MDM Amended Employment Agreement by us).</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If Mr. Marc Miller’s employment is terminated for “cause”, as defined in the MDM Amended Employment Agreement, he will be entitled to any benefits payable to or earned by Mr. Marc Miller with respect to any period of his employment or other service prior to the date of such discharge. If Mr. Marc Miller’s employment is terminated due to his disability, Mr. Marc Miller shall be paid a pro rata portion of the annual bonus which would otherwise have been payable for the year in which his employment terminates, plus an amount equal to one-half of Mr. Marc Miller’s base salary, payable in twelve equal monthly installments.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If Mr. Marc Miller’s employment or service terminates due to his death, Mr. Marc Miller’s beneficiary shall receive any salary and reimbursements that would otherwise have been payable to Mr. Marc Miller as of the date of his death, in addition to a pro rata portion of the annual bonus which would otherwise have been payable for the year of his death. Mr. Marc Miller’s beneficiary shall also receive any life insurance benefits under insurance policies maintained on Mr. Marc Miller’s life by us and for which Mr. Marc Miller had the right to designate the beneficiary.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If Mr. Marc Miller terminates his employment or other service under the MDM Amended Employment Agreement because of a material change in the duties of his office or any other breach by us of our obligations, or in the event of the termination of Mr. Marc Miller’s employment by us without cause or otherwise in breach of the MDM Amended Employment Agreement, subject to the terms of the MDM Amended Employment Agreement, Mr. Marc Miller will generally continue to receive, for the remainder of his employment term, all of the cash compensation, long-term equity incentive compensation and other benefits as if his employment or service had not terminated, and the vesting of his long-term incentive plan awards will accelerate. We may condition Mr. Marc Miller’s right to receive any severance benefits on his execution of a general release in favor of us.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provides quantitative disclosure of the estimated payments that would be made to Mr. Marc Miller under his employment agreement as of December 31, 2025, the last business day of our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63" w:name="page64"/>
    <w:bookmarkEnd w:id="63"/>
    <w:p>
      <w:pPr>
        <w:ind w:left="6620"/>
        <w:spacing w:after="0"/>
        <w:rPr>
          <w:sz w:val="20"/>
          <w:szCs w:val="20"/>
          <w:color w:val="auto"/>
        </w:rPr>
      </w:pPr>
      <w:r>
        <w:rPr>
          <w:rFonts w:ascii="Arial" w:cs="Arial" w:eastAsia="Arial" w:hAnsi="Arial"/>
          <w:sz w:val="16"/>
          <w:szCs w:val="16"/>
          <w:b w:val="1"/>
          <w:bCs w:val="1"/>
          <w:color w:val="000052"/>
        </w:rPr>
        <w:t>Potential 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45"/>
              <w:spacing w:after="0"/>
              <w:rPr>
                <w:sz w:val="20"/>
                <w:szCs w:val="20"/>
                <w:color w:val="auto"/>
              </w:rPr>
            </w:pPr>
            <w:r>
              <w:rPr>
                <w:rFonts w:ascii="Arial" w:cs="Arial" w:eastAsia="Arial" w:hAnsi="Arial"/>
                <w:sz w:val="14"/>
                <w:szCs w:val="14"/>
                <w:b w:val="1"/>
                <w:bCs w:val="1"/>
                <w:color w:val="052666"/>
              </w:rPr>
              <w:t>Vesting</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65"/>
              <w:spacing w:after="0"/>
              <w:rPr>
                <w:sz w:val="20"/>
                <w:szCs w:val="20"/>
                <w:color w:val="auto"/>
              </w:rPr>
            </w:pPr>
            <w:r>
              <w:rPr>
                <w:rFonts w:ascii="Arial" w:cs="Arial" w:eastAsia="Arial" w:hAnsi="Arial"/>
                <w:sz w:val="14"/>
                <w:szCs w:val="14"/>
                <w:b w:val="1"/>
                <w:bCs w:val="1"/>
                <w:color w:val="052666"/>
              </w:rPr>
              <w:t>Acceleration</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65"/>
              <w:spacing w:after="0"/>
              <w:rPr>
                <w:sz w:val="20"/>
                <w:szCs w:val="20"/>
                <w:color w:val="auto"/>
              </w:rPr>
            </w:pPr>
            <w:r>
              <w:rPr>
                <w:rFonts w:ascii="Arial" w:cs="Arial" w:eastAsia="Arial" w:hAnsi="Arial"/>
                <w:sz w:val="14"/>
                <w:szCs w:val="14"/>
                <w:b w:val="1"/>
                <w:bCs w:val="1"/>
                <w:color w:val="052666"/>
              </w:rPr>
              <w:t>of Previously</w:t>
            </w:r>
          </w:p>
        </w:tc>
        <w:tc>
          <w:tcPr>
            <w:tcW w:w="280" w:type="dxa"/>
            <w:vAlign w:val="bottom"/>
          </w:tcPr>
          <w:p>
            <w:pPr>
              <w:spacing w:after="0"/>
              <w:rPr>
                <w:sz w:val="14"/>
                <w:szCs w:val="14"/>
                <w:color w:val="auto"/>
              </w:rPr>
            </w:pPr>
          </w:p>
        </w:tc>
        <w:tc>
          <w:tcPr>
            <w:tcW w:w="1100" w:type="dxa"/>
            <w:vAlign w:val="bottom"/>
          </w:tcPr>
          <w:p>
            <w:pPr>
              <w:jc w:val="center"/>
              <w:ind w:right="204"/>
              <w:spacing w:after="0"/>
              <w:rPr>
                <w:sz w:val="20"/>
                <w:szCs w:val="20"/>
                <w:color w:val="auto"/>
              </w:rPr>
            </w:pPr>
            <w:r>
              <w:rPr>
                <w:rFonts w:ascii="Arial" w:cs="Arial" w:eastAsia="Arial" w:hAnsi="Arial"/>
                <w:sz w:val="14"/>
                <w:szCs w:val="14"/>
                <w:b w:val="1"/>
                <w:bCs w:val="1"/>
                <w:color w:val="052666"/>
                <w:w w:val="99"/>
              </w:rPr>
              <w:t>Long</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45"/>
              <w:spacing w:after="0"/>
              <w:rPr>
                <w:sz w:val="20"/>
                <w:szCs w:val="20"/>
                <w:color w:val="auto"/>
              </w:rPr>
            </w:pPr>
            <w:r>
              <w:rPr>
                <w:rFonts w:ascii="Arial" w:cs="Arial" w:eastAsia="Arial" w:hAnsi="Arial"/>
                <w:sz w:val="14"/>
                <w:szCs w:val="14"/>
                <w:b w:val="1"/>
                <w:bCs w:val="1"/>
                <w:color w:val="052666"/>
              </w:rPr>
              <w:t>Granted</w:t>
            </w:r>
          </w:p>
        </w:tc>
        <w:tc>
          <w:tcPr>
            <w:tcW w:w="280" w:type="dxa"/>
            <w:vAlign w:val="bottom"/>
          </w:tcPr>
          <w:p>
            <w:pPr>
              <w:spacing w:after="0"/>
              <w:rPr>
                <w:sz w:val="14"/>
                <w:szCs w:val="14"/>
                <w:color w:val="auto"/>
              </w:rPr>
            </w:pPr>
          </w:p>
        </w:tc>
        <w:tc>
          <w:tcPr>
            <w:tcW w:w="1100" w:type="dxa"/>
            <w:vAlign w:val="bottom"/>
          </w:tcPr>
          <w:p>
            <w:pPr>
              <w:jc w:val="center"/>
              <w:ind w:right="204"/>
              <w:spacing w:after="0"/>
              <w:rPr>
                <w:sz w:val="20"/>
                <w:szCs w:val="20"/>
                <w:color w:val="auto"/>
              </w:rPr>
            </w:pPr>
            <w:r>
              <w:rPr>
                <w:rFonts w:ascii="Arial" w:cs="Arial" w:eastAsia="Arial" w:hAnsi="Arial"/>
                <w:sz w:val="14"/>
                <w:szCs w:val="14"/>
                <w:b w:val="1"/>
                <w:bCs w:val="1"/>
                <w:color w:val="052666"/>
                <w:w w:val="99"/>
              </w:rPr>
              <w:t>Term</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44"/>
              <w:spacing w:after="0"/>
              <w:rPr>
                <w:sz w:val="20"/>
                <w:szCs w:val="20"/>
                <w:color w:val="auto"/>
              </w:rPr>
            </w:pPr>
            <w:r>
              <w:rPr>
                <w:rFonts w:ascii="Arial" w:cs="Arial" w:eastAsia="Arial" w:hAnsi="Arial"/>
                <w:sz w:val="14"/>
                <w:szCs w:val="14"/>
                <w:b w:val="1"/>
                <w:bCs w:val="1"/>
                <w:color w:val="052666"/>
              </w:rPr>
              <w:t>Cash</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45"/>
              <w:spacing w:after="0"/>
              <w:rPr>
                <w:sz w:val="20"/>
                <w:szCs w:val="20"/>
                <w:color w:val="auto"/>
              </w:rPr>
            </w:pPr>
            <w:r>
              <w:rPr>
                <w:rFonts w:ascii="Arial" w:cs="Arial" w:eastAsia="Arial" w:hAnsi="Arial"/>
                <w:sz w:val="14"/>
                <w:szCs w:val="14"/>
                <w:b w:val="1"/>
                <w:bCs w:val="1"/>
                <w:color w:val="052666"/>
              </w:rPr>
              <w:t>Stock</w:t>
            </w:r>
          </w:p>
        </w:tc>
        <w:tc>
          <w:tcPr>
            <w:tcW w:w="280" w:type="dxa"/>
            <w:vAlign w:val="bottom"/>
          </w:tcPr>
          <w:p>
            <w:pPr>
              <w:spacing w:after="0"/>
              <w:rPr>
                <w:sz w:val="14"/>
                <w:szCs w:val="14"/>
                <w:color w:val="auto"/>
              </w:rPr>
            </w:pPr>
          </w:p>
        </w:tc>
        <w:tc>
          <w:tcPr>
            <w:tcW w:w="1100" w:type="dxa"/>
            <w:vAlign w:val="bottom"/>
          </w:tcPr>
          <w:p>
            <w:pPr>
              <w:jc w:val="center"/>
              <w:ind w:right="204"/>
              <w:spacing w:after="0"/>
              <w:rPr>
                <w:sz w:val="20"/>
                <w:szCs w:val="20"/>
                <w:color w:val="auto"/>
              </w:rPr>
            </w:pPr>
            <w:r>
              <w:rPr>
                <w:rFonts w:ascii="Arial" w:cs="Arial" w:eastAsia="Arial" w:hAnsi="Arial"/>
                <w:sz w:val="14"/>
                <w:szCs w:val="14"/>
                <w:b w:val="1"/>
                <w:bCs w:val="1"/>
                <w:color w:val="052666"/>
              </w:rPr>
              <w:t>Incentive</w:t>
            </w:r>
          </w:p>
        </w:tc>
        <w:tc>
          <w:tcPr>
            <w:tcW w:w="240" w:type="dxa"/>
            <w:vAlign w:val="bottom"/>
          </w:tcPr>
          <w:p>
            <w:pPr>
              <w:spacing w:after="0"/>
              <w:rPr>
                <w:sz w:val="14"/>
                <w:szCs w:val="14"/>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052666"/>
              </w:rPr>
              <w:t>Total</w:t>
            </w:r>
          </w:p>
        </w:tc>
      </w:tr>
      <w:tr>
        <w:trPr>
          <w:trHeight w:val="162"/>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44"/>
              <w:spacing w:after="0"/>
              <w:rPr>
                <w:sz w:val="20"/>
                <w:szCs w:val="20"/>
                <w:color w:val="auto"/>
              </w:rPr>
            </w:pPr>
            <w:r>
              <w:rPr>
                <w:rFonts w:ascii="Arial" w:cs="Arial" w:eastAsia="Arial" w:hAnsi="Arial"/>
                <w:sz w:val="14"/>
                <w:szCs w:val="14"/>
                <w:b w:val="1"/>
                <w:bCs w:val="1"/>
                <w:color w:val="052666"/>
              </w:rPr>
              <w:t>Severance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03"/>
              <w:spacing w:after="0"/>
              <w:rPr>
                <w:sz w:val="20"/>
                <w:szCs w:val="20"/>
                <w:color w:val="auto"/>
              </w:rPr>
            </w:pPr>
            <w:r>
              <w:rPr>
                <w:rFonts w:ascii="Arial" w:cs="Arial" w:eastAsia="Arial" w:hAnsi="Arial"/>
                <w:sz w:val="14"/>
                <w:szCs w:val="14"/>
                <w:b w:val="1"/>
                <w:bCs w:val="1"/>
                <w:color w:val="052666"/>
              </w:rPr>
              <w:t>Perquisites/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45"/>
              <w:spacing w:after="0"/>
              <w:rPr>
                <w:sz w:val="20"/>
                <w:szCs w:val="20"/>
                <w:color w:val="auto"/>
              </w:rPr>
            </w:pPr>
            <w:r>
              <w:rPr>
                <w:rFonts w:ascii="Arial" w:cs="Arial" w:eastAsia="Arial" w:hAnsi="Arial"/>
                <w:sz w:val="14"/>
                <w:szCs w:val="14"/>
                <w:b w:val="1"/>
                <w:bCs w:val="1"/>
                <w:color w:val="052666"/>
              </w:rPr>
              <w:t>Based</w:t>
            </w:r>
          </w:p>
        </w:tc>
        <w:tc>
          <w:tcPr>
            <w:tcW w:w="280" w:type="dxa"/>
            <w:vAlign w:val="bottom"/>
          </w:tcPr>
          <w:p>
            <w:pPr>
              <w:spacing w:after="0"/>
              <w:rPr>
                <w:sz w:val="14"/>
                <w:szCs w:val="14"/>
                <w:color w:val="auto"/>
              </w:rPr>
            </w:pPr>
          </w:p>
        </w:tc>
        <w:tc>
          <w:tcPr>
            <w:tcW w:w="1100" w:type="dxa"/>
            <w:vAlign w:val="bottom"/>
          </w:tcPr>
          <w:p>
            <w:pPr>
              <w:jc w:val="center"/>
              <w:ind w:right="204"/>
              <w:spacing w:after="0"/>
              <w:rPr>
                <w:sz w:val="20"/>
                <w:szCs w:val="20"/>
                <w:color w:val="auto"/>
              </w:rPr>
            </w:pPr>
            <w:r>
              <w:rPr>
                <w:rFonts w:ascii="Arial" w:cs="Arial" w:eastAsia="Arial" w:hAnsi="Arial"/>
                <w:sz w:val="14"/>
                <w:szCs w:val="14"/>
                <w:b w:val="1"/>
                <w:bCs w:val="1"/>
                <w:color w:val="052666"/>
              </w:rPr>
              <w:t>Plan</w:t>
            </w:r>
          </w:p>
        </w:tc>
        <w:tc>
          <w:tcPr>
            <w:tcW w:w="240" w:type="dxa"/>
            <w:vAlign w:val="bottom"/>
          </w:tcPr>
          <w:p>
            <w:pPr>
              <w:spacing w:after="0"/>
              <w:rPr>
                <w:sz w:val="14"/>
                <w:szCs w:val="14"/>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052666"/>
              </w:rPr>
              <w:t>Termination</w:t>
            </w:r>
          </w:p>
        </w:tc>
      </w:tr>
      <w:tr>
        <w:trPr>
          <w:trHeight w:val="162"/>
        </w:trPr>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44"/>
              <w:spacing w:after="0"/>
              <w:rPr>
                <w:sz w:val="20"/>
                <w:szCs w:val="20"/>
                <w:color w:val="auto"/>
              </w:rPr>
            </w:pPr>
            <w:r>
              <w:rPr>
                <w:rFonts w:ascii="Arial" w:cs="Arial" w:eastAsia="Arial" w:hAnsi="Arial"/>
                <w:sz w:val="14"/>
                <w:szCs w:val="14"/>
                <w:b w:val="1"/>
                <w:bCs w:val="1"/>
                <w:color w:val="052666"/>
              </w:rPr>
              <w:t>Payment</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052666"/>
              </w:rPr>
              <w:t>Benefits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45"/>
              <w:spacing w:after="0"/>
              <w:rPr>
                <w:sz w:val="20"/>
                <w:szCs w:val="20"/>
                <w:color w:val="auto"/>
              </w:rPr>
            </w:pPr>
            <w:r>
              <w:rPr>
                <w:rFonts w:ascii="Arial" w:cs="Arial" w:eastAsia="Arial" w:hAnsi="Arial"/>
                <w:sz w:val="14"/>
                <w:szCs w:val="14"/>
                <w:b w:val="1"/>
                <w:bCs w:val="1"/>
                <w:color w:val="052666"/>
              </w:rPr>
              <w:t>Awards</w:t>
            </w:r>
          </w:p>
        </w:tc>
        <w:tc>
          <w:tcPr>
            <w:tcW w:w="28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052666"/>
              </w:rPr>
              <w:t>Awards</w:t>
            </w:r>
          </w:p>
        </w:tc>
        <w:tc>
          <w:tcPr>
            <w:tcW w:w="240" w:type="dxa"/>
            <w:vAlign w:val="bottom"/>
          </w:tcPr>
          <w:p>
            <w:pPr>
              <w:spacing w:after="0"/>
              <w:rPr>
                <w:sz w:val="14"/>
                <w:szCs w:val="14"/>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052666"/>
              </w:rPr>
              <w:t>Benefits</w:t>
            </w:r>
          </w:p>
        </w:tc>
      </w:tr>
      <w:tr>
        <w:trPr>
          <w:trHeight w:val="171"/>
        </w:trPr>
        <w:tc>
          <w:tcPr>
            <w:tcW w:w="3560" w:type="dxa"/>
            <w:vAlign w:val="bottom"/>
            <w:tcBorders>
              <w:bottom w:val="single" w:sz="8" w:color="052666"/>
            </w:tcBorders>
          </w:tcPr>
          <w:p>
            <w:pPr>
              <w:spacing w:after="0"/>
              <w:rPr>
                <w:sz w:val="14"/>
                <w:szCs w:val="14"/>
                <w:color w:val="auto"/>
              </w:rPr>
            </w:pPr>
          </w:p>
        </w:tc>
        <w:tc>
          <w:tcPr>
            <w:tcW w:w="280" w:type="dxa"/>
            <w:vAlign w:val="bottom"/>
            <w:tcBorders>
              <w:bottom w:val="single" w:sz="8" w:color="052666"/>
            </w:tcBorders>
          </w:tcPr>
          <w:p>
            <w:pPr>
              <w:spacing w:after="0"/>
              <w:rPr>
                <w:sz w:val="14"/>
                <w:szCs w:val="14"/>
                <w:color w:val="auto"/>
              </w:rPr>
            </w:pPr>
          </w:p>
        </w:tc>
        <w:tc>
          <w:tcPr>
            <w:tcW w:w="1100" w:type="dxa"/>
            <w:vAlign w:val="bottom"/>
            <w:tcBorders>
              <w:bottom w:val="single" w:sz="8" w:color="052666"/>
            </w:tcBorders>
          </w:tcPr>
          <w:p>
            <w:pPr>
              <w:jc w:val="center"/>
              <w:ind w:right="164"/>
              <w:spacing w:after="0"/>
              <w:rPr>
                <w:sz w:val="20"/>
                <w:szCs w:val="20"/>
                <w:color w:val="auto"/>
              </w:rPr>
            </w:pPr>
            <w:r>
              <w:rPr>
                <w:rFonts w:ascii="Arial" w:cs="Arial" w:eastAsia="Arial" w:hAnsi="Arial"/>
                <w:sz w:val="14"/>
                <w:szCs w:val="14"/>
                <w:b w:val="1"/>
                <w:bCs w:val="1"/>
                <w:color w:val="052666"/>
              </w:rPr>
              <w:t>($)</w:t>
            </w:r>
          </w:p>
        </w:tc>
        <w:tc>
          <w:tcPr>
            <w:tcW w:w="400" w:type="dxa"/>
            <w:vAlign w:val="bottom"/>
            <w:tcBorders>
              <w:bottom w:val="single" w:sz="8" w:color="052666"/>
            </w:tcBorders>
          </w:tcPr>
          <w:p>
            <w:pPr>
              <w:spacing w:after="0"/>
              <w:rPr>
                <w:sz w:val="14"/>
                <w:szCs w:val="14"/>
                <w:color w:val="auto"/>
              </w:rPr>
            </w:pPr>
          </w:p>
        </w:tc>
        <w:tc>
          <w:tcPr>
            <w:tcW w:w="240" w:type="dxa"/>
            <w:vAlign w:val="bottom"/>
            <w:tcBorders>
              <w:bottom w:val="single" w:sz="8" w:color="052666"/>
            </w:tcBorders>
          </w:tcPr>
          <w:p>
            <w:pPr>
              <w:spacing w:after="0"/>
              <w:rPr>
                <w:sz w:val="14"/>
                <w:szCs w:val="14"/>
                <w:color w:val="auto"/>
              </w:rPr>
            </w:pPr>
          </w:p>
        </w:tc>
        <w:tc>
          <w:tcPr>
            <w:tcW w:w="1120" w:type="dxa"/>
            <w:vAlign w:val="bottom"/>
            <w:tcBorders>
              <w:bottom w:val="single" w:sz="8" w:color="052666"/>
            </w:tcBorders>
          </w:tcPr>
          <w:p>
            <w:pPr>
              <w:jc w:val="center"/>
              <w:ind w:right="103"/>
              <w:spacing w:after="0"/>
              <w:rPr>
                <w:sz w:val="20"/>
                <w:szCs w:val="20"/>
                <w:color w:val="auto"/>
              </w:rPr>
            </w:pPr>
            <w:r>
              <w:rPr>
                <w:rFonts w:ascii="Arial" w:cs="Arial" w:eastAsia="Arial" w:hAnsi="Arial"/>
                <w:sz w:val="14"/>
                <w:szCs w:val="14"/>
                <w:b w:val="1"/>
                <w:bCs w:val="1"/>
                <w:color w:val="052666"/>
              </w:rPr>
              <w:t>($)</w:t>
            </w:r>
          </w:p>
        </w:tc>
        <w:tc>
          <w:tcPr>
            <w:tcW w:w="380" w:type="dxa"/>
            <w:vAlign w:val="bottom"/>
            <w:tcBorders>
              <w:bottom w:val="single" w:sz="8" w:color="052666"/>
            </w:tcBorders>
          </w:tcPr>
          <w:p>
            <w:pPr>
              <w:spacing w:after="0"/>
              <w:rPr>
                <w:sz w:val="14"/>
                <w:szCs w:val="14"/>
                <w:color w:val="auto"/>
              </w:rPr>
            </w:pPr>
          </w:p>
        </w:tc>
        <w:tc>
          <w:tcPr>
            <w:tcW w:w="200" w:type="dxa"/>
            <w:vAlign w:val="bottom"/>
            <w:tcBorders>
              <w:bottom w:val="single" w:sz="8" w:color="052666"/>
            </w:tcBorders>
          </w:tcPr>
          <w:p>
            <w:pPr>
              <w:spacing w:after="0"/>
              <w:rPr>
                <w:sz w:val="14"/>
                <w:szCs w:val="14"/>
                <w:color w:val="auto"/>
              </w:rPr>
            </w:pPr>
          </w:p>
        </w:tc>
        <w:tc>
          <w:tcPr>
            <w:tcW w:w="1180" w:type="dxa"/>
            <w:vAlign w:val="bottom"/>
            <w:tcBorders>
              <w:bottom w:val="single" w:sz="8" w:color="052666"/>
            </w:tcBorders>
          </w:tcPr>
          <w:p>
            <w:pPr>
              <w:jc w:val="center"/>
              <w:ind w:right="145"/>
              <w:spacing w:after="0"/>
              <w:rPr>
                <w:sz w:val="20"/>
                <w:szCs w:val="20"/>
                <w:color w:val="auto"/>
              </w:rPr>
            </w:pPr>
            <w:r>
              <w:rPr>
                <w:rFonts w:ascii="Arial" w:cs="Arial" w:eastAsia="Arial" w:hAnsi="Arial"/>
                <w:sz w:val="14"/>
                <w:szCs w:val="14"/>
                <w:b w:val="1"/>
                <w:bCs w:val="1"/>
                <w:color w:val="052666"/>
              </w:rPr>
              <w:t>($) (d.)</w:t>
            </w:r>
          </w:p>
        </w:tc>
        <w:tc>
          <w:tcPr>
            <w:tcW w:w="280" w:type="dxa"/>
            <w:vAlign w:val="bottom"/>
            <w:tcBorders>
              <w:bottom w:val="single" w:sz="8" w:color="052666"/>
            </w:tcBorders>
          </w:tcPr>
          <w:p>
            <w:pPr>
              <w:spacing w:after="0"/>
              <w:rPr>
                <w:sz w:val="14"/>
                <w:szCs w:val="14"/>
                <w:color w:val="auto"/>
              </w:rPr>
            </w:pPr>
          </w:p>
        </w:tc>
        <w:tc>
          <w:tcPr>
            <w:tcW w:w="1100" w:type="dxa"/>
            <w:vAlign w:val="bottom"/>
            <w:tcBorders>
              <w:bottom w:val="single" w:sz="8" w:color="052666"/>
            </w:tcBorders>
          </w:tcPr>
          <w:p>
            <w:pPr>
              <w:jc w:val="center"/>
              <w:ind w:right="204"/>
              <w:spacing w:after="0"/>
              <w:rPr>
                <w:sz w:val="20"/>
                <w:szCs w:val="20"/>
                <w:color w:val="auto"/>
              </w:rPr>
            </w:pPr>
            <w:r>
              <w:rPr>
                <w:rFonts w:ascii="Arial" w:cs="Arial" w:eastAsia="Arial" w:hAnsi="Arial"/>
                <w:sz w:val="14"/>
                <w:szCs w:val="14"/>
                <w:b w:val="1"/>
                <w:bCs w:val="1"/>
                <w:color w:val="052666"/>
                <w:w w:val="99"/>
              </w:rPr>
              <w:t>($) (e.)</w:t>
            </w:r>
          </w:p>
        </w:tc>
        <w:tc>
          <w:tcPr>
            <w:tcW w:w="240" w:type="dxa"/>
            <w:vAlign w:val="bottom"/>
            <w:tcBorders>
              <w:bottom w:val="single" w:sz="8" w:color="052666"/>
            </w:tcBorders>
          </w:tcPr>
          <w:p>
            <w:pPr>
              <w:spacing w:after="0"/>
              <w:rPr>
                <w:sz w:val="14"/>
                <w:szCs w:val="14"/>
                <w:color w:val="auto"/>
              </w:rPr>
            </w:pPr>
          </w:p>
        </w:tc>
        <w:tc>
          <w:tcPr>
            <w:tcW w:w="1160" w:type="dxa"/>
            <w:vAlign w:val="bottom"/>
            <w:tcBorders>
              <w:bottom w:val="single" w:sz="8" w:color="052666"/>
            </w:tcBorders>
          </w:tcPr>
          <w:p>
            <w:pPr>
              <w:jc w:val="center"/>
              <w:ind w:right="164"/>
              <w:spacing w:after="0"/>
              <w:rPr>
                <w:sz w:val="20"/>
                <w:szCs w:val="20"/>
                <w:color w:val="auto"/>
              </w:rPr>
            </w:pPr>
            <w:r>
              <w:rPr>
                <w:rFonts w:ascii="Arial" w:cs="Arial" w:eastAsia="Arial" w:hAnsi="Arial"/>
                <w:sz w:val="14"/>
                <w:szCs w:val="14"/>
                <w:b w:val="1"/>
                <w:bCs w:val="1"/>
                <w:color w:val="052666"/>
                <w:w w:val="93"/>
              </w:rPr>
              <w:t>($)</w:t>
            </w:r>
          </w:p>
        </w:tc>
      </w:tr>
      <w:tr>
        <w:trPr>
          <w:trHeight w:val="223"/>
        </w:trPr>
        <w:tc>
          <w:tcPr>
            <w:tcW w:w="3560" w:type="dxa"/>
            <w:vAlign w:val="bottom"/>
            <w:shd w:val="clear" w:color="auto" w:fill="EDEDED"/>
          </w:tcPr>
          <w:p>
            <w:pPr>
              <w:ind w:left="40"/>
              <w:spacing w:after="0"/>
              <w:rPr>
                <w:sz w:val="20"/>
                <w:szCs w:val="20"/>
                <w:color w:val="auto"/>
              </w:rPr>
            </w:pPr>
            <w:r>
              <w:rPr>
                <w:rFonts w:ascii="Arial" w:cs="Arial" w:eastAsia="Arial" w:hAnsi="Arial"/>
                <w:sz w:val="16"/>
                <w:szCs w:val="16"/>
                <w:b w:val="1"/>
                <w:bCs w:val="1"/>
                <w:color w:val="auto"/>
              </w:rPr>
              <w:t>Marc D. Miller</w:t>
            </w:r>
          </w:p>
        </w:tc>
        <w:tc>
          <w:tcPr>
            <w:tcW w:w="280" w:type="dxa"/>
            <w:vAlign w:val="bottom"/>
            <w:shd w:val="clear" w:color="auto" w:fill="EDEDED"/>
          </w:tcPr>
          <w:p>
            <w:pPr>
              <w:spacing w:after="0"/>
              <w:rPr>
                <w:sz w:val="19"/>
                <w:szCs w:val="19"/>
                <w:color w:val="auto"/>
              </w:rPr>
            </w:pPr>
          </w:p>
        </w:tc>
        <w:tc>
          <w:tcPr>
            <w:tcW w:w="1100" w:type="dxa"/>
            <w:vAlign w:val="bottom"/>
            <w:shd w:val="clear" w:color="auto" w:fill="EDEDED"/>
          </w:tcPr>
          <w:p>
            <w:pPr>
              <w:spacing w:after="0"/>
              <w:rPr>
                <w:sz w:val="19"/>
                <w:szCs w:val="19"/>
                <w:color w:val="auto"/>
              </w:rPr>
            </w:pPr>
          </w:p>
        </w:tc>
        <w:tc>
          <w:tcPr>
            <w:tcW w:w="400" w:type="dxa"/>
            <w:vAlign w:val="bottom"/>
            <w:shd w:val="clear" w:color="auto" w:fill="EDEDED"/>
          </w:tcPr>
          <w:p>
            <w:pPr>
              <w:spacing w:after="0"/>
              <w:rPr>
                <w:sz w:val="19"/>
                <w:szCs w:val="19"/>
                <w:color w:val="auto"/>
              </w:rPr>
            </w:pPr>
          </w:p>
        </w:tc>
        <w:tc>
          <w:tcPr>
            <w:tcW w:w="240" w:type="dxa"/>
            <w:vAlign w:val="bottom"/>
            <w:shd w:val="clear" w:color="auto" w:fill="EDEDED"/>
          </w:tcPr>
          <w:p>
            <w:pPr>
              <w:spacing w:after="0"/>
              <w:rPr>
                <w:sz w:val="19"/>
                <w:szCs w:val="19"/>
                <w:color w:val="auto"/>
              </w:rPr>
            </w:pPr>
          </w:p>
        </w:tc>
        <w:tc>
          <w:tcPr>
            <w:tcW w:w="1120" w:type="dxa"/>
            <w:vAlign w:val="bottom"/>
            <w:shd w:val="clear" w:color="auto" w:fill="EDEDED"/>
          </w:tcPr>
          <w:p>
            <w:pPr>
              <w:spacing w:after="0"/>
              <w:rPr>
                <w:sz w:val="19"/>
                <w:szCs w:val="19"/>
                <w:color w:val="auto"/>
              </w:rPr>
            </w:pPr>
          </w:p>
        </w:tc>
        <w:tc>
          <w:tcPr>
            <w:tcW w:w="380" w:type="dxa"/>
            <w:vAlign w:val="bottom"/>
            <w:shd w:val="clear" w:color="auto" w:fill="EDEDED"/>
          </w:tcPr>
          <w:p>
            <w:pPr>
              <w:spacing w:after="0"/>
              <w:rPr>
                <w:sz w:val="19"/>
                <w:szCs w:val="19"/>
                <w:color w:val="auto"/>
              </w:rPr>
            </w:pPr>
          </w:p>
        </w:tc>
        <w:tc>
          <w:tcPr>
            <w:tcW w:w="200" w:type="dxa"/>
            <w:vAlign w:val="bottom"/>
            <w:shd w:val="clear" w:color="auto" w:fill="EDEDED"/>
          </w:tcPr>
          <w:p>
            <w:pPr>
              <w:spacing w:after="0"/>
              <w:rPr>
                <w:sz w:val="19"/>
                <w:szCs w:val="19"/>
                <w:color w:val="auto"/>
              </w:rPr>
            </w:pPr>
          </w:p>
        </w:tc>
        <w:tc>
          <w:tcPr>
            <w:tcW w:w="11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1100" w:type="dxa"/>
            <w:vAlign w:val="bottom"/>
            <w:shd w:val="clear" w:color="auto" w:fill="EDEDED"/>
          </w:tcPr>
          <w:p>
            <w:pPr>
              <w:spacing w:after="0"/>
              <w:rPr>
                <w:sz w:val="19"/>
                <w:szCs w:val="19"/>
                <w:color w:val="auto"/>
              </w:rPr>
            </w:pPr>
          </w:p>
        </w:tc>
        <w:tc>
          <w:tcPr>
            <w:tcW w:w="240" w:type="dxa"/>
            <w:vAlign w:val="bottom"/>
            <w:shd w:val="clear" w:color="auto" w:fill="EDEDED"/>
          </w:tcPr>
          <w:p>
            <w:pPr>
              <w:spacing w:after="0"/>
              <w:rPr>
                <w:sz w:val="19"/>
                <w:szCs w:val="19"/>
                <w:color w:val="auto"/>
              </w:rPr>
            </w:pPr>
          </w:p>
        </w:tc>
        <w:tc>
          <w:tcPr>
            <w:tcW w:w="1160" w:type="dxa"/>
            <w:vAlign w:val="bottom"/>
            <w:shd w:val="clear" w:color="auto" w:fill="EDEDED"/>
          </w:tcPr>
          <w:p>
            <w:pPr>
              <w:spacing w:after="0"/>
              <w:rPr>
                <w:sz w:val="19"/>
                <w:szCs w:val="19"/>
                <w:color w:val="auto"/>
              </w:rPr>
            </w:pPr>
          </w:p>
        </w:tc>
      </w:tr>
      <w:tr>
        <w:trPr>
          <w:trHeight w:val="230"/>
        </w:trPr>
        <w:tc>
          <w:tcPr>
            <w:tcW w:w="3560" w:type="dxa"/>
            <w:vAlign w:val="bottom"/>
          </w:tcPr>
          <w:p>
            <w:pPr>
              <w:ind w:left="100"/>
              <w:spacing w:after="0"/>
              <w:rPr>
                <w:sz w:val="20"/>
                <w:szCs w:val="20"/>
                <w:color w:val="auto"/>
              </w:rPr>
            </w:pPr>
            <w:r>
              <w:rPr>
                <w:rFonts w:ascii="Arial" w:cs="Arial" w:eastAsia="Arial" w:hAnsi="Arial"/>
                <w:sz w:val="16"/>
                <w:szCs w:val="16"/>
                <w:color w:val="auto"/>
              </w:rPr>
              <w:t>Termination by Us for “Cause”</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215"/>
        </w:trPr>
        <w:tc>
          <w:tcPr>
            <w:tcW w:w="3560" w:type="dxa"/>
            <w:vAlign w:val="bottom"/>
            <w:shd w:val="clear" w:color="auto" w:fill="EDEDED"/>
          </w:tcPr>
          <w:p>
            <w:pPr>
              <w:ind w:left="100"/>
              <w:spacing w:after="0"/>
              <w:rPr>
                <w:sz w:val="20"/>
                <w:szCs w:val="20"/>
                <w:color w:val="auto"/>
              </w:rPr>
            </w:pPr>
            <w:r>
              <w:rPr>
                <w:rFonts w:ascii="Arial" w:cs="Arial" w:eastAsia="Arial" w:hAnsi="Arial"/>
                <w:sz w:val="16"/>
                <w:szCs w:val="16"/>
                <w:color w:val="auto"/>
              </w:rPr>
              <w:t>Termination Due to Mr. Marc</w:t>
            </w:r>
          </w:p>
        </w:tc>
        <w:tc>
          <w:tcPr>
            <w:tcW w:w="280" w:type="dxa"/>
            <w:vAlign w:val="bottom"/>
            <w:shd w:val="clear" w:color="auto" w:fill="EDEDED"/>
          </w:tcPr>
          <w:p>
            <w:pPr>
              <w:spacing w:after="0"/>
              <w:rPr>
                <w:sz w:val="18"/>
                <w:szCs w:val="18"/>
                <w:color w:val="auto"/>
              </w:rPr>
            </w:pPr>
          </w:p>
        </w:tc>
        <w:tc>
          <w:tcPr>
            <w:tcW w:w="110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240" w:type="dxa"/>
            <w:vAlign w:val="bottom"/>
            <w:shd w:val="clear" w:color="auto" w:fill="EDEDED"/>
          </w:tcPr>
          <w:p>
            <w:pPr>
              <w:spacing w:after="0"/>
              <w:rPr>
                <w:sz w:val="18"/>
                <w:szCs w:val="18"/>
                <w:color w:val="auto"/>
              </w:rPr>
            </w:pPr>
          </w:p>
        </w:tc>
        <w:tc>
          <w:tcPr>
            <w:tcW w:w="1120" w:type="dxa"/>
            <w:vAlign w:val="bottom"/>
            <w:shd w:val="clear" w:color="auto" w:fill="EDEDED"/>
          </w:tcPr>
          <w:p>
            <w:pPr>
              <w:spacing w:after="0"/>
              <w:rPr>
                <w:sz w:val="18"/>
                <w:szCs w:val="18"/>
                <w:color w:val="auto"/>
              </w:rPr>
            </w:pPr>
          </w:p>
        </w:tc>
        <w:tc>
          <w:tcPr>
            <w:tcW w:w="380" w:type="dxa"/>
            <w:vAlign w:val="bottom"/>
            <w:shd w:val="clear" w:color="auto" w:fill="EDEDED"/>
          </w:tcPr>
          <w:p>
            <w:pPr>
              <w:spacing w:after="0"/>
              <w:rPr>
                <w:sz w:val="18"/>
                <w:szCs w:val="18"/>
                <w:color w:val="auto"/>
              </w:rPr>
            </w:pPr>
          </w:p>
        </w:tc>
        <w:tc>
          <w:tcPr>
            <w:tcW w:w="200" w:type="dxa"/>
            <w:vAlign w:val="bottom"/>
            <w:shd w:val="clear" w:color="auto" w:fill="EDEDED"/>
          </w:tcPr>
          <w:p>
            <w:pPr>
              <w:spacing w:after="0"/>
              <w:rPr>
                <w:sz w:val="18"/>
                <w:szCs w:val="18"/>
                <w:color w:val="auto"/>
              </w:rPr>
            </w:pPr>
          </w:p>
        </w:tc>
        <w:tc>
          <w:tcPr>
            <w:tcW w:w="1180" w:type="dxa"/>
            <w:vAlign w:val="bottom"/>
            <w:shd w:val="clear" w:color="auto" w:fill="EDEDED"/>
          </w:tcPr>
          <w:p>
            <w:pPr>
              <w:spacing w:after="0"/>
              <w:rPr>
                <w:sz w:val="18"/>
                <w:szCs w:val="18"/>
                <w:color w:val="auto"/>
              </w:rPr>
            </w:pPr>
          </w:p>
        </w:tc>
        <w:tc>
          <w:tcPr>
            <w:tcW w:w="280" w:type="dxa"/>
            <w:vAlign w:val="bottom"/>
            <w:shd w:val="clear" w:color="auto" w:fill="EDEDED"/>
          </w:tcPr>
          <w:p>
            <w:pPr>
              <w:spacing w:after="0"/>
              <w:rPr>
                <w:sz w:val="18"/>
                <w:szCs w:val="18"/>
                <w:color w:val="auto"/>
              </w:rPr>
            </w:pPr>
          </w:p>
        </w:tc>
        <w:tc>
          <w:tcPr>
            <w:tcW w:w="1100" w:type="dxa"/>
            <w:vAlign w:val="bottom"/>
            <w:shd w:val="clear" w:color="auto" w:fill="EDEDED"/>
          </w:tcPr>
          <w:p>
            <w:pPr>
              <w:spacing w:after="0"/>
              <w:rPr>
                <w:sz w:val="18"/>
                <w:szCs w:val="18"/>
                <w:color w:val="auto"/>
              </w:rPr>
            </w:pPr>
          </w:p>
        </w:tc>
        <w:tc>
          <w:tcPr>
            <w:tcW w:w="240" w:type="dxa"/>
            <w:vAlign w:val="bottom"/>
            <w:shd w:val="clear" w:color="auto" w:fill="EDEDED"/>
          </w:tcPr>
          <w:p>
            <w:pPr>
              <w:spacing w:after="0"/>
              <w:rPr>
                <w:sz w:val="18"/>
                <w:szCs w:val="18"/>
                <w:color w:val="auto"/>
              </w:rPr>
            </w:pPr>
          </w:p>
        </w:tc>
        <w:tc>
          <w:tcPr>
            <w:tcW w:w="1160" w:type="dxa"/>
            <w:vAlign w:val="bottom"/>
            <w:shd w:val="clear" w:color="auto" w:fill="EDEDED"/>
          </w:tcPr>
          <w:p>
            <w:pPr>
              <w:spacing w:after="0"/>
              <w:rPr>
                <w:sz w:val="18"/>
                <w:szCs w:val="18"/>
                <w:color w:val="auto"/>
              </w:rPr>
            </w:pPr>
          </w:p>
        </w:tc>
      </w:tr>
      <w:tr>
        <w:trPr>
          <w:trHeight w:val="203"/>
        </w:trPr>
        <w:tc>
          <w:tcPr>
            <w:tcW w:w="3560" w:type="dxa"/>
            <w:vAlign w:val="bottom"/>
            <w:shd w:val="clear" w:color="auto" w:fill="EDEDED"/>
          </w:tcPr>
          <w:p>
            <w:pPr>
              <w:ind w:left="100"/>
              <w:spacing w:after="0"/>
              <w:rPr>
                <w:sz w:val="20"/>
                <w:szCs w:val="20"/>
                <w:color w:val="auto"/>
              </w:rPr>
            </w:pPr>
            <w:r>
              <w:rPr>
                <w:rFonts w:ascii="Arial" w:cs="Arial" w:eastAsia="Arial" w:hAnsi="Arial"/>
                <w:sz w:val="16"/>
                <w:szCs w:val="16"/>
                <w:color w:val="auto"/>
              </w:rPr>
              <w:t>Miller’s Disability</w:t>
            </w:r>
          </w:p>
        </w:tc>
        <w:tc>
          <w:tcPr>
            <w:tcW w:w="2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DED"/>
          </w:tcPr>
          <w:p>
            <w:pPr>
              <w:jc w:val="right"/>
              <w:ind w:right="4"/>
              <w:spacing w:after="0"/>
              <w:rPr>
                <w:sz w:val="20"/>
                <w:szCs w:val="20"/>
                <w:color w:val="auto"/>
              </w:rPr>
            </w:pPr>
            <w:r>
              <w:rPr>
                <w:rFonts w:ascii="Arial" w:cs="Arial" w:eastAsia="Arial" w:hAnsi="Arial"/>
                <w:sz w:val="16"/>
                <w:szCs w:val="16"/>
                <w:color w:val="auto"/>
              </w:rPr>
              <w:t>1,968,750</w:t>
            </w:r>
          </w:p>
        </w:tc>
        <w:tc>
          <w:tcPr>
            <w:tcW w:w="400" w:type="dxa"/>
            <w:vAlign w:val="bottom"/>
            <w:shd w:val="clear" w:color="auto" w:fill="EDEDED"/>
          </w:tcPr>
          <w:p>
            <w:pPr>
              <w:ind w:left="60"/>
              <w:spacing w:after="0"/>
              <w:rPr>
                <w:sz w:val="20"/>
                <w:szCs w:val="20"/>
                <w:color w:val="auto"/>
              </w:rPr>
            </w:pPr>
            <w:r>
              <w:rPr>
                <w:rFonts w:ascii="Arial" w:cs="Arial" w:eastAsia="Arial" w:hAnsi="Arial"/>
                <w:sz w:val="16"/>
                <w:szCs w:val="16"/>
                <w:color w:val="auto"/>
              </w:rPr>
              <w:t>(a.)</w:t>
            </w:r>
          </w:p>
        </w:tc>
        <w:tc>
          <w:tcPr>
            <w:tcW w:w="2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EDEDED"/>
          </w:tcPr>
          <w:p>
            <w:pPr>
              <w:spacing w:after="0"/>
              <w:rPr>
                <w:sz w:val="17"/>
                <w:szCs w:val="17"/>
                <w:color w:val="auto"/>
              </w:rPr>
            </w:pPr>
          </w:p>
        </w:tc>
        <w:tc>
          <w:tcPr>
            <w:tcW w:w="2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DEDED"/>
          </w:tcPr>
          <w:p>
            <w:pPr>
              <w:jc w:val="right"/>
              <w:ind w:right="45"/>
              <w:spacing w:after="0"/>
              <w:rPr>
                <w:sz w:val="20"/>
                <w:szCs w:val="20"/>
                <w:color w:val="auto"/>
              </w:rPr>
            </w:pPr>
            <w:r>
              <w:rPr>
                <w:rFonts w:ascii="Arial" w:cs="Arial" w:eastAsia="Arial" w:hAnsi="Arial"/>
                <w:sz w:val="16"/>
                <w:szCs w:val="16"/>
                <w:color w:val="auto"/>
              </w:rPr>
              <w:t>7,912,616</w:t>
            </w:r>
          </w:p>
        </w:tc>
        <w:tc>
          <w:tcPr>
            <w:tcW w:w="2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DED"/>
          </w:tcPr>
          <w:p>
            <w:pPr>
              <w:jc w:val="right"/>
              <w:ind w:right="44"/>
              <w:spacing w:after="0"/>
              <w:rPr>
                <w:sz w:val="20"/>
                <w:szCs w:val="20"/>
                <w:color w:val="auto"/>
              </w:rPr>
            </w:pPr>
            <w:r>
              <w:rPr>
                <w:rFonts w:ascii="Arial" w:cs="Arial" w:eastAsia="Arial" w:hAnsi="Arial"/>
                <w:sz w:val="16"/>
                <w:szCs w:val="16"/>
                <w:color w:val="auto"/>
              </w:rPr>
              <w:t>35,908,330</w:t>
            </w:r>
          </w:p>
        </w:tc>
        <w:tc>
          <w:tcPr>
            <w:tcW w:w="2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DEDED"/>
          </w:tcPr>
          <w:p>
            <w:pPr>
              <w:jc w:val="right"/>
              <w:ind w:right="44"/>
              <w:spacing w:after="0"/>
              <w:rPr>
                <w:sz w:val="20"/>
                <w:szCs w:val="20"/>
                <w:color w:val="auto"/>
              </w:rPr>
            </w:pPr>
            <w:r>
              <w:rPr>
                <w:rFonts w:ascii="Arial" w:cs="Arial" w:eastAsia="Arial" w:hAnsi="Arial"/>
                <w:sz w:val="16"/>
                <w:szCs w:val="16"/>
                <w:color w:val="auto"/>
              </w:rPr>
              <w:t>45,789,696</w:t>
            </w:r>
          </w:p>
        </w:tc>
      </w:tr>
      <w:tr>
        <w:trPr>
          <w:trHeight w:val="215"/>
        </w:trPr>
        <w:tc>
          <w:tcPr>
            <w:tcW w:w="3560" w:type="dxa"/>
            <w:vAlign w:val="bottom"/>
          </w:tcPr>
          <w:p>
            <w:pPr>
              <w:ind w:left="100"/>
              <w:spacing w:after="0"/>
              <w:rPr>
                <w:sz w:val="20"/>
                <w:szCs w:val="20"/>
                <w:color w:val="auto"/>
              </w:rPr>
            </w:pPr>
            <w:r>
              <w:rPr>
                <w:rFonts w:ascii="Arial" w:cs="Arial" w:eastAsia="Arial" w:hAnsi="Arial"/>
                <w:sz w:val="16"/>
                <w:szCs w:val="16"/>
                <w:color w:val="auto"/>
              </w:rPr>
              <w:t>Termination Due to Mr. Marc</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3560" w:type="dxa"/>
            <w:vAlign w:val="bottom"/>
          </w:tcPr>
          <w:p>
            <w:pPr>
              <w:ind w:left="100"/>
              <w:spacing w:after="0"/>
              <w:rPr>
                <w:sz w:val="20"/>
                <w:szCs w:val="20"/>
                <w:color w:val="auto"/>
              </w:rPr>
            </w:pPr>
            <w:r>
              <w:rPr>
                <w:rFonts w:ascii="Arial" w:cs="Arial" w:eastAsia="Arial" w:hAnsi="Arial"/>
                <w:sz w:val="16"/>
                <w:szCs w:val="16"/>
                <w:color w:val="auto"/>
              </w:rPr>
              <w:t>Miller’s Death</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5"/>
              <w:spacing w:after="0"/>
              <w:rPr>
                <w:sz w:val="20"/>
                <w:szCs w:val="20"/>
                <w:color w:val="auto"/>
              </w:rPr>
            </w:pPr>
            <w:r>
              <w:rPr>
                <w:rFonts w:ascii="Arial" w:cs="Arial" w:eastAsia="Arial" w:hAnsi="Arial"/>
                <w:sz w:val="16"/>
                <w:szCs w:val="16"/>
                <w:color w:val="auto"/>
              </w:rPr>
              <w:t>7,912,616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35,908,330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43,820,946</w:t>
            </w:r>
          </w:p>
        </w:tc>
      </w:tr>
      <w:tr>
        <w:trPr>
          <w:trHeight w:val="215"/>
        </w:trPr>
        <w:tc>
          <w:tcPr>
            <w:tcW w:w="3560" w:type="dxa"/>
            <w:vAlign w:val="bottom"/>
            <w:shd w:val="clear" w:color="auto" w:fill="EDEDED"/>
          </w:tcPr>
          <w:p>
            <w:pPr>
              <w:ind w:left="100"/>
              <w:spacing w:after="0"/>
              <w:rPr>
                <w:sz w:val="20"/>
                <w:szCs w:val="20"/>
                <w:color w:val="auto"/>
              </w:rPr>
            </w:pPr>
            <w:r>
              <w:rPr>
                <w:rFonts w:ascii="Arial" w:cs="Arial" w:eastAsia="Arial" w:hAnsi="Arial"/>
                <w:sz w:val="16"/>
                <w:szCs w:val="16"/>
                <w:color w:val="auto"/>
              </w:rPr>
              <w:t>Termination by Mr. Marc Miller</w:t>
            </w:r>
          </w:p>
        </w:tc>
        <w:tc>
          <w:tcPr>
            <w:tcW w:w="280" w:type="dxa"/>
            <w:vAlign w:val="bottom"/>
            <w:shd w:val="clear" w:color="auto" w:fill="EDEDED"/>
          </w:tcPr>
          <w:p>
            <w:pPr>
              <w:spacing w:after="0"/>
              <w:rPr>
                <w:sz w:val="18"/>
                <w:szCs w:val="18"/>
                <w:color w:val="auto"/>
              </w:rPr>
            </w:pPr>
          </w:p>
        </w:tc>
        <w:tc>
          <w:tcPr>
            <w:tcW w:w="110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240" w:type="dxa"/>
            <w:vAlign w:val="bottom"/>
            <w:shd w:val="clear" w:color="auto" w:fill="EDEDED"/>
          </w:tcPr>
          <w:p>
            <w:pPr>
              <w:spacing w:after="0"/>
              <w:rPr>
                <w:sz w:val="18"/>
                <w:szCs w:val="18"/>
                <w:color w:val="auto"/>
              </w:rPr>
            </w:pPr>
          </w:p>
        </w:tc>
        <w:tc>
          <w:tcPr>
            <w:tcW w:w="1120" w:type="dxa"/>
            <w:vAlign w:val="bottom"/>
            <w:shd w:val="clear" w:color="auto" w:fill="EDEDED"/>
          </w:tcPr>
          <w:p>
            <w:pPr>
              <w:spacing w:after="0"/>
              <w:rPr>
                <w:sz w:val="18"/>
                <w:szCs w:val="18"/>
                <w:color w:val="auto"/>
              </w:rPr>
            </w:pPr>
          </w:p>
        </w:tc>
        <w:tc>
          <w:tcPr>
            <w:tcW w:w="380" w:type="dxa"/>
            <w:vAlign w:val="bottom"/>
            <w:shd w:val="clear" w:color="auto" w:fill="EDEDED"/>
          </w:tcPr>
          <w:p>
            <w:pPr>
              <w:spacing w:after="0"/>
              <w:rPr>
                <w:sz w:val="18"/>
                <w:szCs w:val="18"/>
                <w:color w:val="auto"/>
              </w:rPr>
            </w:pPr>
          </w:p>
        </w:tc>
        <w:tc>
          <w:tcPr>
            <w:tcW w:w="200" w:type="dxa"/>
            <w:vAlign w:val="bottom"/>
            <w:shd w:val="clear" w:color="auto" w:fill="EDEDED"/>
          </w:tcPr>
          <w:p>
            <w:pPr>
              <w:spacing w:after="0"/>
              <w:rPr>
                <w:sz w:val="18"/>
                <w:szCs w:val="18"/>
                <w:color w:val="auto"/>
              </w:rPr>
            </w:pPr>
          </w:p>
        </w:tc>
        <w:tc>
          <w:tcPr>
            <w:tcW w:w="1180" w:type="dxa"/>
            <w:vAlign w:val="bottom"/>
            <w:shd w:val="clear" w:color="auto" w:fill="EDEDED"/>
          </w:tcPr>
          <w:p>
            <w:pPr>
              <w:spacing w:after="0"/>
              <w:rPr>
                <w:sz w:val="18"/>
                <w:szCs w:val="18"/>
                <w:color w:val="auto"/>
              </w:rPr>
            </w:pPr>
          </w:p>
        </w:tc>
        <w:tc>
          <w:tcPr>
            <w:tcW w:w="280" w:type="dxa"/>
            <w:vAlign w:val="bottom"/>
            <w:shd w:val="clear" w:color="auto" w:fill="EDEDED"/>
          </w:tcPr>
          <w:p>
            <w:pPr>
              <w:spacing w:after="0"/>
              <w:rPr>
                <w:sz w:val="18"/>
                <w:szCs w:val="18"/>
                <w:color w:val="auto"/>
              </w:rPr>
            </w:pPr>
          </w:p>
        </w:tc>
        <w:tc>
          <w:tcPr>
            <w:tcW w:w="1100" w:type="dxa"/>
            <w:vAlign w:val="bottom"/>
            <w:shd w:val="clear" w:color="auto" w:fill="EDEDED"/>
          </w:tcPr>
          <w:p>
            <w:pPr>
              <w:spacing w:after="0"/>
              <w:rPr>
                <w:sz w:val="18"/>
                <w:szCs w:val="18"/>
                <w:color w:val="auto"/>
              </w:rPr>
            </w:pPr>
          </w:p>
        </w:tc>
        <w:tc>
          <w:tcPr>
            <w:tcW w:w="240" w:type="dxa"/>
            <w:vAlign w:val="bottom"/>
            <w:shd w:val="clear" w:color="auto" w:fill="EDEDED"/>
          </w:tcPr>
          <w:p>
            <w:pPr>
              <w:spacing w:after="0"/>
              <w:rPr>
                <w:sz w:val="18"/>
                <w:szCs w:val="18"/>
                <w:color w:val="auto"/>
              </w:rPr>
            </w:pPr>
          </w:p>
        </w:tc>
        <w:tc>
          <w:tcPr>
            <w:tcW w:w="1160" w:type="dxa"/>
            <w:vAlign w:val="bottom"/>
            <w:shd w:val="clear" w:color="auto" w:fill="EDEDED"/>
          </w:tcPr>
          <w:p>
            <w:pPr>
              <w:spacing w:after="0"/>
              <w:rPr>
                <w:sz w:val="18"/>
                <w:szCs w:val="18"/>
                <w:color w:val="auto"/>
              </w:rPr>
            </w:pPr>
          </w:p>
        </w:tc>
      </w:tr>
      <w:tr>
        <w:trPr>
          <w:trHeight w:val="189"/>
        </w:trPr>
        <w:tc>
          <w:tcPr>
            <w:tcW w:w="3560" w:type="dxa"/>
            <w:vAlign w:val="bottom"/>
            <w:shd w:val="clear" w:color="auto" w:fill="EDEDED"/>
          </w:tcPr>
          <w:p>
            <w:pPr>
              <w:ind w:left="100"/>
              <w:spacing w:after="0"/>
              <w:rPr>
                <w:sz w:val="20"/>
                <w:szCs w:val="20"/>
                <w:color w:val="auto"/>
              </w:rPr>
            </w:pPr>
            <w:r>
              <w:rPr>
                <w:rFonts w:ascii="Arial" w:cs="Arial" w:eastAsia="Arial" w:hAnsi="Arial"/>
                <w:sz w:val="16"/>
                <w:szCs w:val="16"/>
                <w:color w:val="auto"/>
              </w:rPr>
              <w:t>for “Breach by the Company”</w:t>
            </w:r>
          </w:p>
        </w:tc>
        <w:tc>
          <w:tcPr>
            <w:tcW w:w="280" w:type="dxa"/>
            <w:vAlign w:val="bottom"/>
            <w:shd w:val="clear" w:color="auto" w:fill="EDEDED"/>
          </w:tcPr>
          <w:p>
            <w:pPr>
              <w:spacing w:after="0"/>
              <w:rPr>
                <w:sz w:val="16"/>
                <w:szCs w:val="16"/>
                <w:color w:val="auto"/>
              </w:rPr>
            </w:pPr>
          </w:p>
        </w:tc>
        <w:tc>
          <w:tcPr>
            <w:tcW w:w="1100" w:type="dxa"/>
            <w:vAlign w:val="bottom"/>
            <w:shd w:val="clear" w:color="auto" w:fill="EDEDED"/>
          </w:tcPr>
          <w:p>
            <w:pPr>
              <w:spacing w:after="0"/>
              <w:rPr>
                <w:sz w:val="16"/>
                <w:szCs w:val="16"/>
                <w:color w:val="auto"/>
              </w:rPr>
            </w:pPr>
          </w:p>
        </w:tc>
        <w:tc>
          <w:tcPr>
            <w:tcW w:w="400" w:type="dxa"/>
            <w:vAlign w:val="bottom"/>
            <w:shd w:val="clear" w:color="auto" w:fill="EDEDED"/>
          </w:tcPr>
          <w:p>
            <w:pPr>
              <w:spacing w:after="0"/>
              <w:rPr>
                <w:sz w:val="16"/>
                <w:szCs w:val="16"/>
                <w:color w:val="auto"/>
              </w:rPr>
            </w:pPr>
          </w:p>
        </w:tc>
        <w:tc>
          <w:tcPr>
            <w:tcW w:w="240" w:type="dxa"/>
            <w:vAlign w:val="bottom"/>
            <w:shd w:val="clear" w:color="auto" w:fill="EDEDED"/>
          </w:tcPr>
          <w:p>
            <w:pPr>
              <w:spacing w:after="0"/>
              <w:rPr>
                <w:sz w:val="16"/>
                <w:szCs w:val="16"/>
                <w:color w:val="auto"/>
              </w:rPr>
            </w:pPr>
          </w:p>
        </w:tc>
        <w:tc>
          <w:tcPr>
            <w:tcW w:w="1120" w:type="dxa"/>
            <w:vAlign w:val="bottom"/>
            <w:shd w:val="clear" w:color="auto" w:fill="EDEDED"/>
          </w:tcPr>
          <w:p>
            <w:pPr>
              <w:spacing w:after="0"/>
              <w:rPr>
                <w:sz w:val="16"/>
                <w:szCs w:val="16"/>
                <w:color w:val="auto"/>
              </w:rPr>
            </w:pPr>
          </w:p>
        </w:tc>
        <w:tc>
          <w:tcPr>
            <w:tcW w:w="380" w:type="dxa"/>
            <w:vAlign w:val="bottom"/>
            <w:shd w:val="clear" w:color="auto" w:fill="EDEDED"/>
          </w:tcPr>
          <w:p>
            <w:pPr>
              <w:spacing w:after="0"/>
              <w:rPr>
                <w:sz w:val="16"/>
                <w:szCs w:val="16"/>
                <w:color w:val="auto"/>
              </w:rPr>
            </w:pPr>
          </w:p>
        </w:tc>
        <w:tc>
          <w:tcPr>
            <w:tcW w:w="200" w:type="dxa"/>
            <w:vAlign w:val="bottom"/>
            <w:shd w:val="clear" w:color="auto" w:fill="EDEDED"/>
          </w:tcPr>
          <w:p>
            <w:pPr>
              <w:spacing w:after="0"/>
              <w:rPr>
                <w:sz w:val="16"/>
                <w:szCs w:val="16"/>
                <w:color w:val="auto"/>
              </w:rPr>
            </w:pPr>
          </w:p>
        </w:tc>
        <w:tc>
          <w:tcPr>
            <w:tcW w:w="118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100" w:type="dxa"/>
            <w:vAlign w:val="bottom"/>
            <w:shd w:val="clear" w:color="auto" w:fill="EDEDED"/>
          </w:tcPr>
          <w:p>
            <w:pPr>
              <w:spacing w:after="0"/>
              <w:rPr>
                <w:sz w:val="16"/>
                <w:szCs w:val="16"/>
                <w:color w:val="auto"/>
              </w:rPr>
            </w:pPr>
          </w:p>
        </w:tc>
        <w:tc>
          <w:tcPr>
            <w:tcW w:w="240" w:type="dxa"/>
            <w:vAlign w:val="bottom"/>
            <w:shd w:val="clear" w:color="auto" w:fill="EDEDED"/>
          </w:tcPr>
          <w:p>
            <w:pPr>
              <w:spacing w:after="0"/>
              <w:rPr>
                <w:sz w:val="16"/>
                <w:szCs w:val="16"/>
                <w:color w:val="auto"/>
              </w:rPr>
            </w:pPr>
          </w:p>
        </w:tc>
        <w:tc>
          <w:tcPr>
            <w:tcW w:w="1160" w:type="dxa"/>
            <w:vAlign w:val="bottom"/>
            <w:shd w:val="clear" w:color="auto" w:fill="EDEDED"/>
          </w:tcPr>
          <w:p>
            <w:pPr>
              <w:spacing w:after="0"/>
              <w:rPr>
                <w:sz w:val="16"/>
                <w:szCs w:val="16"/>
                <w:color w:val="auto"/>
              </w:rPr>
            </w:pPr>
          </w:p>
        </w:tc>
      </w:tr>
      <w:tr>
        <w:trPr>
          <w:trHeight w:val="189"/>
        </w:trPr>
        <w:tc>
          <w:tcPr>
            <w:tcW w:w="3560" w:type="dxa"/>
            <w:vAlign w:val="bottom"/>
            <w:shd w:val="clear" w:color="auto" w:fill="EDEDED"/>
          </w:tcPr>
          <w:p>
            <w:pPr>
              <w:ind w:left="100"/>
              <w:spacing w:after="0"/>
              <w:rPr>
                <w:sz w:val="20"/>
                <w:szCs w:val="20"/>
                <w:color w:val="auto"/>
              </w:rPr>
            </w:pPr>
            <w:r>
              <w:rPr>
                <w:rFonts w:ascii="Arial" w:cs="Arial" w:eastAsia="Arial" w:hAnsi="Arial"/>
                <w:sz w:val="16"/>
                <w:szCs w:val="16"/>
                <w:color w:val="auto"/>
              </w:rPr>
              <w:t>or Termination by the</w:t>
            </w:r>
          </w:p>
        </w:tc>
        <w:tc>
          <w:tcPr>
            <w:tcW w:w="280" w:type="dxa"/>
            <w:vAlign w:val="bottom"/>
            <w:shd w:val="clear" w:color="auto" w:fill="EDEDED"/>
          </w:tcPr>
          <w:p>
            <w:pPr>
              <w:spacing w:after="0"/>
              <w:rPr>
                <w:sz w:val="16"/>
                <w:szCs w:val="16"/>
                <w:color w:val="auto"/>
              </w:rPr>
            </w:pPr>
          </w:p>
        </w:tc>
        <w:tc>
          <w:tcPr>
            <w:tcW w:w="1100" w:type="dxa"/>
            <w:vAlign w:val="bottom"/>
            <w:shd w:val="clear" w:color="auto" w:fill="EDEDED"/>
          </w:tcPr>
          <w:p>
            <w:pPr>
              <w:spacing w:after="0"/>
              <w:rPr>
                <w:sz w:val="16"/>
                <w:szCs w:val="16"/>
                <w:color w:val="auto"/>
              </w:rPr>
            </w:pPr>
          </w:p>
        </w:tc>
        <w:tc>
          <w:tcPr>
            <w:tcW w:w="400" w:type="dxa"/>
            <w:vAlign w:val="bottom"/>
            <w:shd w:val="clear" w:color="auto" w:fill="EDEDED"/>
          </w:tcPr>
          <w:p>
            <w:pPr>
              <w:spacing w:after="0"/>
              <w:rPr>
                <w:sz w:val="16"/>
                <w:szCs w:val="16"/>
                <w:color w:val="auto"/>
              </w:rPr>
            </w:pPr>
          </w:p>
        </w:tc>
        <w:tc>
          <w:tcPr>
            <w:tcW w:w="240" w:type="dxa"/>
            <w:vAlign w:val="bottom"/>
            <w:shd w:val="clear" w:color="auto" w:fill="EDEDED"/>
          </w:tcPr>
          <w:p>
            <w:pPr>
              <w:spacing w:after="0"/>
              <w:rPr>
                <w:sz w:val="16"/>
                <w:szCs w:val="16"/>
                <w:color w:val="auto"/>
              </w:rPr>
            </w:pPr>
          </w:p>
        </w:tc>
        <w:tc>
          <w:tcPr>
            <w:tcW w:w="1120" w:type="dxa"/>
            <w:vAlign w:val="bottom"/>
            <w:shd w:val="clear" w:color="auto" w:fill="EDEDED"/>
          </w:tcPr>
          <w:p>
            <w:pPr>
              <w:spacing w:after="0"/>
              <w:rPr>
                <w:sz w:val="16"/>
                <w:szCs w:val="16"/>
                <w:color w:val="auto"/>
              </w:rPr>
            </w:pPr>
          </w:p>
        </w:tc>
        <w:tc>
          <w:tcPr>
            <w:tcW w:w="380" w:type="dxa"/>
            <w:vAlign w:val="bottom"/>
            <w:shd w:val="clear" w:color="auto" w:fill="EDEDED"/>
          </w:tcPr>
          <w:p>
            <w:pPr>
              <w:spacing w:after="0"/>
              <w:rPr>
                <w:sz w:val="16"/>
                <w:szCs w:val="16"/>
                <w:color w:val="auto"/>
              </w:rPr>
            </w:pPr>
          </w:p>
        </w:tc>
        <w:tc>
          <w:tcPr>
            <w:tcW w:w="200" w:type="dxa"/>
            <w:vAlign w:val="bottom"/>
            <w:shd w:val="clear" w:color="auto" w:fill="EDEDED"/>
          </w:tcPr>
          <w:p>
            <w:pPr>
              <w:spacing w:after="0"/>
              <w:rPr>
                <w:sz w:val="16"/>
                <w:szCs w:val="16"/>
                <w:color w:val="auto"/>
              </w:rPr>
            </w:pPr>
          </w:p>
        </w:tc>
        <w:tc>
          <w:tcPr>
            <w:tcW w:w="118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100" w:type="dxa"/>
            <w:vAlign w:val="bottom"/>
            <w:shd w:val="clear" w:color="auto" w:fill="EDEDED"/>
          </w:tcPr>
          <w:p>
            <w:pPr>
              <w:spacing w:after="0"/>
              <w:rPr>
                <w:sz w:val="16"/>
                <w:szCs w:val="16"/>
                <w:color w:val="auto"/>
              </w:rPr>
            </w:pPr>
          </w:p>
        </w:tc>
        <w:tc>
          <w:tcPr>
            <w:tcW w:w="240" w:type="dxa"/>
            <w:vAlign w:val="bottom"/>
            <w:shd w:val="clear" w:color="auto" w:fill="EDEDED"/>
          </w:tcPr>
          <w:p>
            <w:pPr>
              <w:spacing w:after="0"/>
              <w:rPr>
                <w:sz w:val="16"/>
                <w:szCs w:val="16"/>
                <w:color w:val="auto"/>
              </w:rPr>
            </w:pPr>
          </w:p>
        </w:tc>
        <w:tc>
          <w:tcPr>
            <w:tcW w:w="1160" w:type="dxa"/>
            <w:vAlign w:val="bottom"/>
            <w:shd w:val="clear" w:color="auto" w:fill="EDEDED"/>
          </w:tcPr>
          <w:p>
            <w:pPr>
              <w:spacing w:after="0"/>
              <w:rPr>
                <w:sz w:val="16"/>
                <w:szCs w:val="16"/>
                <w:color w:val="auto"/>
              </w:rPr>
            </w:pPr>
          </w:p>
        </w:tc>
      </w:tr>
      <w:tr>
        <w:trPr>
          <w:trHeight w:val="224"/>
        </w:trPr>
        <w:tc>
          <w:tcPr>
            <w:tcW w:w="35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6"/>
                <w:szCs w:val="16"/>
                <w:color w:val="auto"/>
              </w:rPr>
              <w:t>Company Without Cause</w:t>
            </w:r>
          </w:p>
        </w:tc>
        <w:tc>
          <w:tcPr>
            <w:tcW w:w="2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DEDED"/>
            </w:tcBorders>
            <w:shd w:val="clear" w:color="auto" w:fill="EDEDED"/>
          </w:tcPr>
          <w:p>
            <w:pPr>
              <w:jc w:val="right"/>
              <w:ind w:right="4"/>
              <w:spacing w:after="0"/>
              <w:rPr>
                <w:sz w:val="20"/>
                <w:szCs w:val="20"/>
                <w:color w:val="auto"/>
              </w:rPr>
            </w:pPr>
            <w:r>
              <w:rPr>
                <w:rFonts w:ascii="Arial" w:cs="Arial" w:eastAsia="Arial" w:hAnsi="Arial"/>
                <w:sz w:val="16"/>
                <w:szCs w:val="16"/>
                <w:color w:val="auto"/>
              </w:rPr>
              <w:t>12,170,419</w:t>
            </w:r>
          </w:p>
        </w:tc>
        <w:tc>
          <w:tcPr>
            <w:tcW w:w="4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(b.)</w:t>
            </w:r>
          </w:p>
        </w:tc>
        <w:tc>
          <w:tcPr>
            <w:tcW w:w="2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515,078</w:t>
            </w:r>
          </w:p>
        </w:tc>
        <w:tc>
          <w:tcPr>
            <w:tcW w:w="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(c.)</w:t>
            </w:r>
          </w:p>
        </w:tc>
        <w:tc>
          <w:tcPr>
            <w:tcW w:w="2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DEDED"/>
            </w:tcBorders>
            <w:shd w:val="clear" w:color="auto" w:fill="EDEDED"/>
          </w:tcPr>
          <w:p>
            <w:pPr>
              <w:jc w:val="right"/>
              <w:ind w:right="45"/>
              <w:spacing w:after="0"/>
              <w:rPr>
                <w:sz w:val="20"/>
                <w:szCs w:val="20"/>
                <w:color w:val="auto"/>
              </w:rPr>
            </w:pPr>
            <w:r>
              <w:rPr>
                <w:rFonts w:ascii="Arial" w:cs="Arial" w:eastAsia="Arial" w:hAnsi="Arial"/>
                <w:sz w:val="16"/>
                <w:szCs w:val="16"/>
                <w:color w:val="auto"/>
              </w:rPr>
              <w:t>7,912,616</w:t>
            </w:r>
          </w:p>
        </w:tc>
        <w:tc>
          <w:tcPr>
            <w:tcW w:w="2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auto"/>
              </w:rPr>
              <w:t>35,908,330</w:t>
            </w:r>
          </w:p>
        </w:tc>
        <w:tc>
          <w:tcPr>
            <w:tcW w:w="2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auto"/>
              </w:rPr>
              <w:t>56,506,443</w:t>
            </w:r>
          </w:p>
        </w:tc>
      </w:tr>
      <w:tr>
        <w:trPr>
          <w:trHeight w:val="20"/>
        </w:trPr>
        <w:tc>
          <w:tcPr>
            <w:tcW w:w="356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100" w:type="dxa"/>
            <w:vAlign w:val="bottom"/>
            <w:shd w:val="clear" w:color="auto" w:fill="7F7F7F"/>
          </w:tcPr>
          <w:p>
            <w:pPr>
              <w:spacing w:after="0" w:line="20" w:lineRule="exact"/>
              <w:rPr>
                <w:sz w:val="1"/>
                <w:szCs w:val="1"/>
                <w:color w:val="auto"/>
              </w:rPr>
            </w:pPr>
          </w:p>
        </w:tc>
        <w:tc>
          <w:tcPr>
            <w:tcW w:w="40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120" w:type="dxa"/>
            <w:vAlign w:val="bottom"/>
            <w:shd w:val="clear" w:color="auto" w:fill="7F7F7F"/>
          </w:tcPr>
          <w:p>
            <w:pPr>
              <w:spacing w:after="0" w:line="20" w:lineRule="exact"/>
              <w:rPr>
                <w:sz w:val="1"/>
                <w:szCs w:val="1"/>
                <w:color w:val="auto"/>
              </w:rPr>
            </w:pPr>
          </w:p>
        </w:tc>
        <w:tc>
          <w:tcPr>
            <w:tcW w:w="38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1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10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160" w:type="dxa"/>
            <w:vAlign w:val="bottom"/>
            <w:shd w:val="clear" w:color="auto" w:fill="7F7F7F"/>
          </w:tcPr>
          <w:p>
            <w:pPr>
              <w:spacing w:after="0" w:line="20" w:lineRule="exact"/>
              <w:rPr>
                <w:sz w:val="1"/>
                <w:szCs w:val="1"/>
                <w:color w:val="auto"/>
              </w:rPr>
            </w:pPr>
          </w:p>
        </w:tc>
      </w:tr>
    </w:tbl>
    <w:p>
      <w:pPr>
        <w:spacing w:after="0" w:line="67" w:lineRule="exact"/>
        <w:rPr>
          <w:sz w:val="20"/>
          <w:szCs w:val="20"/>
          <w:color w:val="auto"/>
        </w:rPr>
      </w:pPr>
    </w:p>
    <w:p>
      <w:pPr>
        <w:ind w:left="500" w:hanging="372"/>
        <w:spacing w:after="0"/>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upon 50% of the targeted 2026 non-equity incentive plan bonus award and 50% (6 months) of Mr. Marc Miller’s 2026 base salary.</w:t>
      </w:r>
    </w:p>
    <w:p>
      <w:pPr>
        <w:spacing w:after="0" w:line="72" w:lineRule="exact"/>
        <w:rPr>
          <w:rFonts w:ascii="Arial" w:cs="Arial" w:eastAsia="Arial" w:hAnsi="Arial"/>
          <w:sz w:val="16"/>
          <w:szCs w:val="16"/>
          <w:color w:val="auto"/>
        </w:rPr>
      </w:pPr>
    </w:p>
    <w:p>
      <w:pPr>
        <w:jc w:val="both"/>
        <w:ind w:left="500" w:hanging="372"/>
        <w:spacing w:after="0" w:line="266"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Assumes (i) continuation of all cash compensation through 2028 (automatic annual renewal termination date); (ii) annual base salary increase of 3.0% through 2028, and; (iii) an annual bonus award equal to 150% of his estimated base salary through 2028, which assumes the achievement of the bonus opportunity target.</w:t>
      </w:r>
    </w:p>
    <w:p>
      <w:pPr>
        <w:spacing w:after="0" w:line="36" w:lineRule="exact"/>
        <w:rPr>
          <w:rFonts w:ascii="Arial" w:cs="Arial" w:eastAsia="Arial" w:hAnsi="Arial"/>
          <w:sz w:val="16"/>
          <w:szCs w:val="16"/>
          <w:color w:val="auto"/>
        </w:rPr>
      </w:pPr>
    </w:p>
    <w:p>
      <w:pPr>
        <w:ind w:left="500" w:hanging="372"/>
        <w:spacing w:after="0" w:line="286"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Assumes (i) continuation of all entitled perquisites through 2028; (ii) continuation of insurance premiums in connection with long-term disability, our 401(k) match and other charges, all of which were based upon the actual 2025 amounts, and, (iii) continuation of SERIP plan contributions.</w:t>
      </w:r>
    </w:p>
    <w:p>
      <w:pPr>
        <w:spacing w:after="0" w:line="7" w:lineRule="exact"/>
        <w:rPr>
          <w:rFonts w:ascii="Arial" w:cs="Arial" w:eastAsia="Arial" w:hAnsi="Arial"/>
          <w:sz w:val="16"/>
          <w:szCs w:val="16"/>
          <w:color w:val="auto"/>
        </w:rPr>
      </w:pPr>
    </w:p>
    <w:p>
      <w:pPr>
        <w:jc w:val="both"/>
        <w:ind w:left="500" w:hanging="372"/>
        <w:spacing w:after="0" w:line="266"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intrinsic value of the accelerated stock options based upon the closing price per share of the Class B Common Stock on the NYSE on December 31, 2025 of $218.02 per share. The full grant date fair values of these awards were included in the Summary Compensation Table in the year of original grant.</w:t>
      </w:r>
    </w:p>
    <w:p>
      <w:pPr>
        <w:spacing w:after="0" w:line="22" w:lineRule="exact"/>
        <w:rPr>
          <w:rFonts w:ascii="Arial" w:cs="Arial" w:eastAsia="Arial" w:hAnsi="Arial"/>
          <w:sz w:val="16"/>
          <w:szCs w:val="16"/>
          <w:color w:val="auto"/>
        </w:rPr>
      </w:pPr>
    </w:p>
    <w:p>
      <w:pPr>
        <w:jc w:val="both"/>
        <w:ind w:left="500" w:hanging="372"/>
        <w:spacing w:after="0" w:line="259"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intrinsic value of the accelerated performance based restricted stock units and time based restricted stock units based upon the closing price per share of the Class B Common Stock on the NYSE on December 31, 2025 of $218.02 per share. Amounts reflected assume vesting of the 2023 PBRSUs at 150% of the target award. The full grant date fair values of these awards were included in the Summary Compensation Table in the year of original grant.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Alan B. Miller Employment Agreement:</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On March 19, 2025 our management subsidiary entered into a new employment agreement with Alan B. Miller guaranteed by the Company (“New Employment Agreement”), pursuant to which Mr. Alan Miller’s continuing service with the Company shall be on the terms and conditions that are substantially the same as in the Alan B. Miller’s previous amended and restated employment agreement with the Company dated as of January 1, 2021. The New Employment Agreement supersedes the January 1, 2021 employment agreement. The New Employment Agreement became effective on March 19, 2025 and contemplates that Mr. Alan Miller will be employed as Executive Chairman of the Board of Directors of the Company and provides for automatic annual renewals unless either party elects otherwise at least one year in advance.</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general, Mr. Alan Miller’s long-term stock-based incentives awards granted during or before employment as Executive Chairman will become fully vested upon termination of his employment as Executive Chairman at the time such employment ends, other than by us for “cause” or voluntarily by Mr. Alan Miller before or at the end of the applicable term (under circumstances not involving a breach of the New Employment Agreement by us).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If Mr. Alan Miller’s employment is terminated for “cause”, as defined in the New Employment Agreement, he will be entitled to any benefits payable to or earned by Mr. Alan Miller with respect to any period of his employment or other service prior to the date of such discharge.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000052"/>
        </w:rPr>
        <w:t>Potential 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If Mr. Alan Miller’s employment is terminated due to his disability, Mr. Alan Miller shall be paid an amount equal to one-half of Mr. Alan Miller’s base salary, payable in twelve equal monthly installments. Additionally, Mr. Alan Miller would be entitled to the accelerated vesting of his unvested long-term stock-based incentive awards granted during or before employment as Executive Chairman.</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If Mr. Alan Miller’s employment or service terminates due to his death, Mr. Alan Miller’s beneficiary shall receive any salary and reimbursements that would otherwise have been payable to Mr. Alan Miller as of the date of his death in addition to any life insurance benefits under insurance policies maintained on Mr. Alan Miller’s life by us and for which Mr. Alan Miller had the right to designate the beneficiary.</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If Mr. Alan Miller terminates his employment or other service under the New Employment Agreement because of a material change in the duties of his office or any other breach by us of our obligations, or in the event of the termination of Mr. Alan Miller’s employment by us without cause or otherwise in breach of the New Employment Agreement, subject to the terms of the New Employment Agreement, Mr. Alan Miller will generally continue to receive for the remainder of the employment term all of the cash compensation, long-term equity incentive compensation and other benefits as if his employment or service had not terminated, and the vesting of his long-term incentive plan awards will accelerate. We may condition Mr. Alan Miller’s right to receive any severance benefits on his execution of a general release in favor of us.</w:t>
      </w:r>
    </w:p>
    <w:p>
      <w:pPr>
        <w:spacing w:after="0" w:line="17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The following table provides quantitative disclosure of the estimated payments that would be made to Mr. Alan Miller under his New Employment Agreement as of December 31, 2025 if it had been in effect on that date, the last business day of our fiscal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ind w:right="145"/>
              <w:spacing w:after="0"/>
              <w:rPr>
                <w:sz w:val="20"/>
                <w:szCs w:val="20"/>
                <w:color w:val="auto"/>
              </w:rPr>
            </w:pPr>
            <w:r>
              <w:rPr>
                <w:rFonts w:ascii="Arial" w:cs="Arial" w:eastAsia="Arial" w:hAnsi="Arial"/>
                <w:sz w:val="14"/>
                <w:szCs w:val="14"/>
                <w:b w:val="1"/>
                <w:bCs w:val="1"/>
                <w:color w:val="052666"/>
              </w:rPr>
              <w:t>Vesting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ind w:right="125"/>
              <w:spacing w:after="0"/>
              <w:rPr>
                <w:sz w:val="20"/>
                <w:szCs w:val="20"/>
                <w:color w:val="auto"/>
              </w:rPr>
            </w:pPr>
            <w:r>
              <w:rPr>
                <w:rFonts w:ascii="Arial" w:cs="Arial" w:eastAsia="Arial" w:hAnsi="Arial"/>
                <w:sz w:val="14"/>
                <w:szCs w:val="14"/>
                <w:b w:val="1"/>
                <w:bCs w:val="1"/>
                <w:color w:val="052666"/>
              </w:rPr>
              <w:t>Acceleration</w:t>
            </w:r>
          </w:p>
        </w:tc>
        <w:tc>
          <w:tcPr>
            <w:tcW w:w="30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052666"/>
              </w:rPr>
              <w:t>Long</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ind w:right="125"/>
              <w:spacing w:after="0"/>
              <w:rPr>
                <w:sz w:val="20"/>
                <w:szCs w:val="20"/>
                <w:color w:val="auto"/>
              </w:rPr>
            </w:pPr>
            <w:r>
              <w:rPr>
                <w:rFonts w:ascii="Arial" w:cs="Arial" w:eastAsia="Arial" w:hAnsi="Arial"/>
                <w:sz w:val="14"/>
                <w:szCs w:val="14"/>
                <w:b w:val="1"/>
                <w:bCs w:val="1"/>
                <w:color w:val="052666"/>
              </w:rPr>
              <w:t>of Previously</w:t>
            </w:r>
          </w:p>
        </w:tc>
        <w:tc>
          <w:tcPr>
            <w:tcW w:w="30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052666"/>
              </w:rPr>
              <w:t>Term</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b w:val="1"/>
                <w:bCs w:val="1"/>
                <w:color w:val="052666"/>
              </w:rPr>
              <w:t>Cash</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ind w:right="125"/>
              <w:spacing w:after="0"/>
              <w:rPr>
                <w:sz w:val="20"/>
                <w:szCs w:val="20"/>
                <w:color w:val="auto"/>
              </w:rPr>
            </w:pPr>
            <w:r>
              <w:rPr>
                <w:rFonts w:ascii="Arial" w:cs="Arial" w:eastAsia="Arial" w:hAnsi="Arial"/>
                <w:sz w:val="14"/>
                <w:szCs w:val="14"/>
                <w:b w:val="1"/>
                <w:bCs w:val="1"/>
                <w:color w:val="052666"/>
              </w:rPr>
              <w:t>Granted Stock</w:t>
            </w:r>
          </w:p>
        </w:tc>
        <w:tc>
          <w:tcPr>
            <w:tcW w:w="30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052666"/>
              </w:rPr>
              <w:t>Incentive</w:t>
            </w:r>
          </w:p>
        </w:tc>
        <w:tc>
          <w:tcPr>
            <w:tcW w:w="260" w:type="dxa"/>
            <w:vAlign w:val="bottom"/>
          </w:tcPr>
          <w:p>
            <w:pPr>
              <w:spacing w:after="0"/>
              <w:rPr>
                <w:sz w:val="14"/>
                <w:szCs w:val="14"/>
                <w:color w:val="auto"/>
              </w:rPr>
            </w:pPr>
          </w:p>
        </w:tc>
        <w:tc>
          <w:tcPr>
            <w:tcW w:w="1200" w:type="dxa"/>
            <w:vAlign w:val="bottom"/>
          </w:tcPr>
          <w:p>
            <w:pPr>
              <w:jc w:val="center"/>
              <w:ind w:right="184"/>
              <w:spacing w:after="0"/>
              <w:rPr>
                <w:sz w:val="20"/>
                <w:szCs w:val="20"/>
                <w:color w:val="auto"/>
              </w:rPr>
            </w:pPr>
            <w:r>
              <w:rPr>
                <w:rFonts w:ascii="Arial" w:cs="Arial" w:eastAsia="Arial" w:hAnsi="Arial"/>
                <w:sz w:val="14"/>
                <w:szCs w:val="14"/>
                <w:b w:val="1"/>
                <w:bCs w:val="1"/>
                <w:color w:val="052666"/>
              </w:rPr>
              <w:t>Total</w:t>
            </w:r>
          </w:p>
        </w:tc>
      </w:tr>
      <w:tr>
        <w:trPr>
          <w:trHeight w:val="162"/>
        </w:trPr>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b w:val="1"/>
                <w:bCs w:val="1"/>
                <w:color w:val="052666"/>
              </w:rPr>
              <w:t>Severance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03"/>
              <w:spacing w:after="0"/>
              <w:rPr>
                <w:sz w:val="20"/>
                <w:szCs w:val="20"/>
                <w:color w:val="auto"/>
              </w:rPr>
            </w:pPr>
            <w:r>
              <w:rPr>
                <w:rFonts w:ascii="Arial" w:cs="Arial" w:eastAsia="Arial" w:hAnsi="Arial"/>
                <w:sz w:val="14"/>
                <w:szCs w:val="14"/>
                <w:b w:val="1"/>
                <w:bCs w:val="1"/>
                <w:color w:val="052666"/>
              </w:rPr>
              <w:t>Perquisites/</w:t>
            </w:r>
          </w:p>
        </w:tc>
        <w:tc>
          <w:tcPr>
            <w:tcW w:w="460" w:type="dxa"/>
            <w:vAlign w:val="bottom"/>
          </w:tcPr>
          <w:p>
            <w:pPr>
              <w:spacing w:after="0"/>
              <w:rPr>
                <w:sz w:val="14"/>
                <w:szCs w:val="14"/>
                <w:color w:val="auto"/>
              </w:rPr>
            </w:pPr>
          </w:p>
        </w:tc>
        <w:tc>
          <w:tcPr>
            <w:tcW w:w="1220" w:type="dxa"/>
            <w:vAlign w:val="bottom"/>
          </w:tcPr>
          <w:p>
            <w:pPr>
              <w:jc w:val="center"/>
              <w:ind w:right="145"/>
              <w:spacing w:after="0"/>
              <w:rPr>
                <w:sz w:val="20"/>
                <w:szCs w:val="20"/>
                <w:color w:val="auto"/>
              </w:rPr>
            </w:pPr>
            <w:r>
              <w:rPr>
                <w:rFonts w:ascii="Arial" w:cs="Arial" w:eastAsia="Arial" w:hAnsi="Arial"/>
                <w:sz w:val="14"/>
                <w:szCs w:val="14"/>
                <w:b w:val="1"/>
                <w:bCs w:val="1"/>
                <w:color w:val="052666"/>
              </w:rPr>
              <w:t>Based</w:t>
            </w:r>
          </w:p>
        </w:tc>
        <w:tc>
          <w:tcPr>
            <w:tcW w:w="30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052666"/>
              </w:rPr>
              <w:t>Plan</w:t>
            </w:r>
          </w:p>
        </w:tc>
        <w:tc>
          <w:tcPr>
            <w:tcW w:w="260" w:type="dxa"/>
            <w:vAlign w:val="bottom"/>
          </w:tcPr>
          <w:p>
            <w:pPr>
              <w:spacing w:after="0"/>
              <w:rPr>
                <w:sz w:val="14"/>
                <w:szCs w:val="14"/>
                <w:color w:val="auto"/>
              </w:rPr>
            </w:pPr>
          </w:p>
        </w:tc>
        <w:tc>
          <w:tcPr>
            <w:tcW w:w="1200" w:type="dxa"/>
            <w:vAlign w:val="bottom"/>
          </w:tcPr>
          <w:p>
            <w:pPr>
              <w:jc w:val="center"/>
              <w:ind w:right="184"/>
              <w:spacing w:after="0"/>
              <w:rPr>
                <w:sz w:val="20"/>
                <w:szCs w:val="20"/>
                <w:color w:val="auto"/>
              </w:rPr>
            </w:pPr>
            <w:r>
              <w:rPr>
                <w:rFonts w:ascii="Arial" w:cs="Arial" w:eastAsia="Arial" w:hAnsi="Arial"/>
                <w:sz w:val="14"/>
                <w:szCs w:val="14"/>
                <w:b w:val="1"/>
                <w:bCs w:val="1"/>
                <w:color w:val="052666"/>
              </w:rPr>
              <w:t>Termination</w:t>
            </w:r>
          </w:p>
        </w:tc>
      </w:tr>
      <w:tr>
        <w:trPr>
          <w:trHeight w:val="162"/>
        </w:trPr>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b w:val="1"/>
                <w:bCs w:val="1"/>
                <w:color w:val="052666"/>
              </w:rPr>
              <w:t>Payment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052666"/>
              </w:rPr>
              <w:t>Benefits</w:t>
            </w:r>
          </w:p>
        </w:tc>
        <w:tc>
          <w:tcPr>
            <w:tcW w:w="460" w:type="dxa"/>
            <w:vAlign w:val="bottom"/>
          </w:tcPr>
          <w:p>
            <w:pPr>
              <w:spacing w:after="0"/>
              <w:rPr>
                <w:sz w:val="14"/>
                <w:szCs w:val="14"/>
                <w:color w:val="auto"/>
              </w:rPr>
            </w:pPr>
          </w:p>
        </w:tc>
        <w:tc>
          <w:tcPr>
            <w:tcW w:w="1220" w:type="dxa"/>
            <w:vAlign w:val="bottom"/>
          </w:tcPr>
          <w:p>
            <w:pPr>
              <w:jc w:val="center"/>
              <w:ind w:right="145"/>
              <w:spacing w:after="0"/>
              <w:rPr>
                <w:sz w:val="20"/>
                <w:szCs w:val="20"/>
                <w:color w:val="auto"/>
              </w:rPr>
            </w:pPr>
            <w:r>
              <w:rPr>
                <w:rFonts w:ascii="Arial" w:cs="Arial" w:eastAsia="Arial" w:hAnsi="Arial"/>
                <w:sz w:val="14"/>
                <w:szCs w:val="14"/>
                <w:b w:val="1"/>
                <w:bCs w:val="1"/>
                <w:color w:val="052666"/>
              </w:rPr>
              <w:t>Awards</w:t>
            </w:r>
          </w:p>
        </w:tc>
        <w:tc>
          <w:tcPr>
            <w:tcW w:w="300" w:type="dxa"/>
            <w:vAlign w:val="bottom"/>
          </w:tcPr>
          <w:p>
            <w:pPr>
              <w:spacing w:after="0"/>
              <w:rPr>
                <w:sz w:val="14"/>
                <w:szCs w:val="14"/>
                <w:color w:val="auto"/>
              </w:rPr>
            </w:pPr>
          </w:p>
        </w:tc>
        <w:tc>
          <w:tcPr>
            <w:tcW w:w="1100" w:type="dxa"/>
            <w:vAlign w:val="bottom"/>
          </w:tcPr>
          <w:p>
            <w:pPr>
              <w:jc w:val="center"/>
              <w:ind w:right="224"/>
              <w:spacing w:after="0"/>
              <w:rPr>
                <w:sz w:val="20"/>
                <w:szCs w:val="20"/>
                <w:color w:val="auto"/>
              </w:rPr>
            </w:pPr>
            <w:r>
              <w:rPr>
                <w:rFonts w:ascii="Arial" w:cs="Arial" w:eastAsia="Arial" w:hAnsi="Arial"/>
                <w:sz w:val="14"/>
                <w:szCs w:val="14"/>
                <w:b w:val="1"/>
                <w:bCs w:val="1"/>
                <w:color w:val="052666"/>
              </w:rPr>
              <w:t>Awards</w:t>
            </w:r>
          </w:p>
        </w:tc>
        <w:tc>
          <w:tcPr>
            <w:tcW w:w="26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Arial" w:cs="Arial" w:eastAsia="Arial" w:hAnsi="Arial"/>
                <w:sz w:val="14"/>
                <w:szCs w:val="14"/>
                <w:b w:val="1"/>
                <w:bCs w:val="1"/>
                <w:color w:val="052666"/>
              </w:rPr>
              <w:t>Benefits</w:t>
            </w:r>
          </w:p>
        </w:tc>
      </w:tr>
      <w:tr>
        <w:trPr>
          <w:trHeight w:val="171"/>
        </w:trPr>
        <w:tc>
          <w:tcPr>
            <w:tcW w:w="3620" w:type="dxa"/>
            <w:vAlign w:val="bottom"/>
            <w:tcBorders>
              <w:bottom w:val="single" w:sz="8" w:color="052666"/>
            </w:tcBorders>
          </w:tcPr>
          <w:p>
            <w:pPr>
              <w:spacing w:after="0"/>
              <w:rPr>
                <w:sz w:val="14"/>
                <w:szCs w:val="14"/>
                <w:color w:val="auto"/>
              </w:rPr>
            </w:pPr>
          </w:p>
        </w:tc>
        <w:tc>
          <w:tcPr>
            <w:tcW w:w="260" w:type="dxa"/>
            <w:vAlign w:val="bottom"/>
            <w:tcBorders>
              <w:bottom w:val="single" w:sz="8" w:color="052666"/>
            </w:tcBorders>
          </w:tcPr>
          <w:p>
            <w:pPr>
              <w:spacing w:after="0"/>
              <w:rPr>
                <w:sz w:val="14"/>
                <w:szCs w:val="14"/>
                <w:color w:val="auto"/>
              </w:rPr>
            </w:pPr>
          </w:p>
        </w:tc>
        <w:tc>
          <w:tcPr>
            <w:tcW w:w="1080" w:type="dxa"/>
            <w:vAlign w:val="bottom"/>
            <w:tcBorders>
              <w:bottom w:val="single" w:sz="8" w:color="052666"/>
            </w:tcBorders>
          </w:tcPr>
          <w:p>
            <w:pPr>
              <w:jc w:val="center"/>
              <w:ind w:right="144"/>
              <w:spacing w:after="0"/>
              <w:rPr>
                <w:sz w:val="20"/>
                <w:szCs w:val="20"/>
                <w:color w:val="auto"/>
              </w:rPr>
            </w:pPr>
            <w:r>
              <w:rPr>
                <w:rFonts w:ascii="Arial" w:cs="Arial" w:eastAsia="Arial" w:hAnsi="Arial"/>
                <w:sz w:val="14"/>
                <w:szCs w:val="14"/>
                <w:b w:val="1"/>
                <w:bCs w:val="1"/>
                <w:color w:val="052666"/>
              </w:rPr>
              <w:t>($)</w:t>
            </w:r>
          </w:p>
        </w:tc>
        <w:tc>
          <w:tcPr>
            <w:tcW w:w="400" w:type="dxa"/>
            <w:vAlign w:val="bottom"/>
            <w:tcBorders>
              <w:bottom w:val="single" w:sz="8" w:color="052666"/>
            </w:tcBorders>
          </w:tcPr>
          <w:p>
            <w:pPr>
              <w:spacing w:after="0"/>
              <w:rPr>
                <w:sz w:val="14"/>
                <w:szCs w:val="14"/>
                <w:color w:val="auto"/>
              </w:rPr>
            </w:pPr>
          </w:p>
        </w:tc>
        <w:tc>
          <w:tcPr>
            <w:tcW w:w="220" w:type="dxa"/>
            <w:vAlign w:val="bottom"/>
            <w:tcBorders>
              <w:bottom w:val="single" w:sz="8" w:color="052666"/>
            </w:tcBorders>
          </w:tcPr>
          <w:p>
            <w:pPr>
              <w:spacing w:after="0"/>
              <w:rPr>
                <w:sz w:val="14"/>
                <w:szCs w:val="14"/>
                <w:color w:val="auto"/>
              </w:rPr>
            </w:pPr>
          </w:p>
        </w:tc>
        <w:tc>
          <w:tcPr>
            <w:tcW w:w="1120" w:type="dxa"/>
            <w:vAlign w:val="bottom"/>
            <w:tcBorders>
              <w:bottom w:val="single" w:sz="8" w:color="052666"/>
            </w:tcBorders>
          </w:tcPr>
          <w:p>
            <w:pPr>
              <w:jc w:val="center"/>
              <w:ind w:right="103"/>
              <w:spacing w:after="0"/>
              <w:rPr>
                <w:sz w:val="20"/>
                <w:szCs w:val="20"/>
                <w:color w:val="auto"/>
              </w:rPr>
            </w:pPr>
            <w:r>
              <w:rPr>
                <w:rFonts w:ascii="Arial" w:cs="Arial" w:eastAsia="Arial" w:hAnsi="Arial"/>
                <w:sz w:val="14"/>
                <w:szCs w:val="14"/>
                <w:b w:val="1"/>
                <w:bCs w:val="1"/>
                <w:color w:val="052666"/>
              </w:rPr>
              <w:t>($)</w:t>
            </w:r>
          </w:p>
        </w:tc>
        <w:tc>
          <w:tcPr>
            <w:tcW w:w="460" w:type="dxa"/>
            <w:vAlign w:val="bottom"/>
            <w:tcBorders>
              <w:bottom w:val="single" w:sz="8" w:color="052666"/>
            </w:tcBorders>
          </w:tcPr>
          <w:p>
            <w:pPr>
              <w:spacing w:after="0"/>
              <w:rPr>
                <w:sz w:val="14"/>
                <w:szCs w:val="14"/>
                <w:color w:val="auto"/>
              </w:rPr>
            </w:pPr>
          </w:p>
        </w:tc>
        <w:tc>
          <w:tcPr>
            <w:tcW w:w="1220" w:type="dxa"/>
            <w:vAlign w:val="bottom"/>
            <w:tcBorders>
              <w:bottom w:val="single" w:sz="8" w:color="052666"/>
            </w:tcBorders>
          </w:tcPr>
          <w:p>
            <w:pPr>
              <w:jc w:val="center"/>
              <w:ind w:right="145"/>
              <w:spacing w:after="0"/>
              <w:rPr>
                <w:sz w:val="20"/>
                <w:szCs w:val="20"/>
                <w:color w:val="auto"/>
              </w:rPr>
            </w:pPr>
            <w:r>
              <w:rPr>
                <w:rFonts w:ascii="Arial" w:cs="Arial" w:eastAsia="Arial" w:hAnsi="Arial"/>
                <w:sz w:val="14"/>
                <w:szCs w:val="14"/>
                <w:b w:val="1"/>
                <w:bCs w:val="1"/>
                <w:color w:val="052666"/>
              </w:rPr>
              <w:t>($) (d.)</w:t>
            </w:r>
          </w:p>
        </w:tc>
        <w:tc>
          <w:tcPr>
            <w:tcW w:w="300" w:type="dxa"/>
            <w:vAlign w:val="bottom"/>
            <w:tcBorders>
              <w:bottom w:val="single" w:sz="8" w:color="052666"/>
            </w:tcBorders>
          </w:tcPr>
          <w:p>
            <w:pPr>
              <w:spacing w:after="0"/>
              <w:rPr>
                <w:sz w:val="14"/>
                <w:szCs w:val="14"/>
                <w:color w:val="auto"/>
              </w:rPr>
            </w:pPr>
          </w:p>
        </w:tc>
        <w:tc>
          <w:tcPr>
            <w:tcW w:w="1100" w:type="dxa"/>
            <w:vAlign w:val="bottom"/>
            <w:tcBorders>
              <w:bottom w:val="single" w:sz="8" w:color="052666"/>
            </w:tcBorders>
          </w:tcPr>
          <w:p>
            <w:pPr>
              <w:jc w:val="center"/>
              <w:ind w:right="224"/>
              <w:spacing w:after="0"/>
              <w:rPr>
                <w:sz w:val="20"/>
                <w:szCs w:val="20"/>
                <w:color w:val="auto"/>
              </w:rPr>
            </w:pPr>
            <w:r>
              <w:rPr>
                <w:rFonts w:ascii="Arial" w:cs="Arial" w:eastAsia="Arial" w:hAnsi="Arial"/>
                <w:sz w:val="14"/>
                <w:szCs w:val="14"/>
                <w:b w:val="1"/>
                <w:bCs w:val="1"/>
                <w:color w:val="052666"/>
              </w:rPr>
              <w:t>($) (e.)</w:t>
            </w:r>
          </w:p>
        </w:tc>
        <w:tc>
          <w:tcPr>
            <w:tcW w:w="260" w:type="dxa"/>
            <w:vAlign w:val="bottom"/>
            <w:tcBorders>
              <w:bottom w:val="single" w:sz="8" w:color="052666"/>
            </w:tcBorders>
          </w:tcPr>
          <w:p>
            <w:pPr>
              <w:spacing w:after="0"/>
              <w:rPr>
                <w:sz w:val="14"/>
                <w:szCs w:val="14"/>
                <w:color w:val="auto"/>
              </w:rPr>
            </w:pPr>
          </w:p>
        </w:tc>
        <w:tc>
          <w:tcPr>
            <w:tcW w:w="1200" w:type="dxa"/>
            <w:vAlign w:val="bottom"/>
            <w:tcBorders>
              <w:bottom w:val="single" w:sz="8" w:color="052666"/>
            </w:tcBorders>
          </w:tcPr>
          <w:p>
            <w:pPr>
              <w:jc w:val="center"/>
              <w:ind w:right="184"/>
              <w:spacing w:after="0"/>
              <w:rPr>
                <w:sz w:val="20"/>
                <w:szCs w:val="20"/>
                <w:color w:val="auto"/>
              </w:rPr>
            </w:pPr>
            <w:r>
              <w:rPr>
                <w:rFonts w:ascii="Arial" w:cs="Arial" w:eastAsia="Arial" w:hAnsi="Arial"/>
                <w:sz w:val="14"/>
                <w:szCs w:val="14"/>
                <w:b w:val="1"/>
                <w:bCs w:val="1"/>
                <w:color w:val="052666"/>
              </w:rPr>
              <w:t>($)</w:t>
            </w:r>
          </w:p>
        </w:tc>
      </w:tr>
      <w:tr>
        <w:trPr>
          <w:trHeight w:val="223"/>
        </w:trPr>
        <w:tc>
          <w:tcPr>
            <w:tcW w:w="3620" w:type="dxa"/>
            <w:vAlign w:val="bottom"/>
            <w:shd w:val="clear" w:color="auto" w:fill="EDEDED"/>
          </w:tcPr>
          <w:p>
            <w:pPr>
              <w:ind w:left="40"/>
              <w:spacing w:after="0"/>
              <w:rPr>
                <w:sz w:val="20"/>
                <w:szCs w:val="20"/>
                <w:color w:val="auto"/>
              </w:rPr>
            </w:pPr>
            <w:r>
              <w:rPr>
                <w:rFonts w:ascii="Arial" w:cs="Arial" w:eastAsia="Arial" w:hAnsi="Arial"/>
                <w:sz w:val="16"/>
                <w:szCs w:val="16"/>
                <w:b w:val="1"/>
                <w:bCs w:val="1"/>
                <w:color w:val="auto"/>
              </w:rPr>
              <w:t>Alan B. Miller</w:t>
            </w:r>
          </w:p>
        </w:tc>
        <w:tc>
          <w:tcPr>
            <w:tcW w:w="260" w:type="dxa"/>
            <w:vAlign w:val="bottom"/>
            <w:shd w:val="clear" w:color="auto" w:fill="EDEDED"/>
          </w:tcPr>
          <w:p>
            <w:pPr>
              <w:spacing w:after="0"/>
              <w:rPr>
                <w:sz w:val="19"/>
                <w:szCs w:val="19"/>
                <w:color w:val="auto"/>
              </w:rPr>
            </w:pPr>
          </w:p>
        </w:tc>
        <w:tc>
          <w:tcPr>
            <w:tcW w:w="1080" w:type="dxa"/>
            <w:vAlign w:val="bottom"/>
            <w:shd w:val="clear" w:color="auto" w:fill="EDEDED"/>
          </w:tcPr>
          <w:p>
            <w:pPr>
              <w:spacing w:after="0"/>
              <w:rPr>
                <w:sz w:val="19"/>
                <w:szCs w:val="19"/>
                <w:color w:val="auto"/>
              </w:rPr>
            </w:pPr>
          </w:p>
        </w:tc>
        <w:tc>
          <w:tcPr>
            <w:tcW w:w="400" w:type="dxa"/>
            <w:vAlign w:val="bottom"/>
            <w:shd w:val="clear" w:color="auto" w:fill="EDEDED"/>
          </w:tcPr>
          <w:p>
            <w:pPr>
              <w:spacing w:after="0"/>
              <w:rPr>
                <w:sz w:val="19"/>
                <w:szCs w:val="19"/>
                <w:color w:val="auto"/>
              </w:rPr>
            </w:pPr>
          </w:p>
        </w:tc>
        <w:tc>
          <w:tcPr>
            <w:tcW w:w="220" w:type="dxa"/>
            <w:vAlign w:val="bottom"/>
            <w:shd w:val="clear" w:color="auto" w:fill="EDEDED"/>
          </w:tcPr>
          <w:p>
            <w:pPr>
              <w:spacing w:after="0"/>
              <w:rPr>
                <w:sz w:val="19"/>
                <w:szCs w:val="19"/>
                <w:color w:val="auto"/>
              </w:rPr>
            </w:pPr>
          </w:p>
        </w:tc>
        <w:tc>
          <w:tcPr>
            <w:tcW w:w="1120" w:type="dxa"/>
            <w:vAlign w:val="bottom"/>
            <w:shd w:val="clear" w:color="auto" w:fill="EDEDED"/>
          </w:tcPr>
          <w:p>
            <w:pPr>
              <w:spacing w:after="0"/>
              <w:rPr>
                <w:sz w:val="19"/>
                <w:szCs w:val="19"/>
                <w:color w:val="auto"/>
              </w:rPr>
            </w:pPr>
          </w:p>
        </w:tc>
        <w:tc>
          <w:tcPr>
            <w:tcW w:w="460" w:type="dxa"/>
            <w:vAlign w:val="bottom"/>
            <w:shd w:val="clear" w:color="auto" w:fill="EDEDED"/>
          </w:tcPr>
          <w:p>
            <w:pPr>
              <w:spacing w:after="0"/>
              <w:rPr>
                <w:sz w:val="19"/>
                <w:szCs w:val="19"/>
                <w:color w:val="auto"/>
              </w:rPr>
            </w:pPr>
          </w:p>
        </w:tc>
        <w:tc>
          <w:tcPr>
            <w:tcW w:w="122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110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1200" w:type="dxa"/>
            <w:vAlign w:val="bottom"/>
            <w:shd w:val="clear" w:color="auto" w:fill="EDEDED"/>
          </w:tcPr>
          <w:p>
            <w:pPr>
              <w:spacing w:after="0"/>
              <w:rPr>
                <w:sz w:val="19"/>
                <w:szCs w:val="19"/>
                <w:color w:val="auto"/>
              </w:rPr>
            </w:pPr>
          </w:p>
        </w:tc>
      </w:tr>
      <w:tr>
        <w:trPr>
          <w:trHeight w:val="230"/>
        </w:trPr>
        <w:tc>
          <w:tcPr>
            <w:tcW w:w="3620" w:type="dxa"/>
            <w:vAlign w:val="bottom"/>
          </w:tcPr>
          <w:p>
            <w:pPr>
              <w:ind w:left="100"/>
              <w:spacing w:after="0"/>
              <w:rPr>
                <w:sz w:val="20"/>
                <w:szCs w:val="20"/>
                <w:color w:val="auto"/>
              </w:rPr>
            </w:pPr>
            <w:r>
              <w:rPr>
                <w:rFonts w:ascii="Arial" w:cs="Arial" w:eastAsia="Arial" w:hAnsi="Arial"/>
                <w:sz w:val="16"/>
                <w:szCs w:val="16"/>
                <w:color w:val="auto"/>
              </w:rPr>
              <w:t>Termination by Us for “Cause”</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w:t>
            </w:r>
          </w:p>
        </w:tc>
      </w:tr>
      <w:tr>
        <w:trPr>
          <w:trHeight w:val="215"/>
        </w:trPr>
        <w:tc>
          <w:tcPr>
            <w:tcW w:w="3620" w:type="dxa"/>
            <w:vAlign w:val="bottom"/>
            <w:shd w:val="clear" w:color="auto" w:fill="EDEDED"/>
          </w:tcPr>
          <w:p>
            <w:pPr>
              <w:ind w:left="100"/>
              <w:spacing w:after="0"/>
              <w:rPr>
                <w:sz w:val="20"/>
                <w:szCs w:val="20"/>
                <w:color w:val="auto"/>
              </w:rPr>
            </w:pPr>
            <w:r>
              <w:rPr>
                <w:rFonts w:ascii="Arial" w:cs="Arial" w:eastAsia="Arial" w:hAnsi="Arial"/>
                <w:sz w:val="16"/>
                <w:szCs w:val="16"/>
                <w:color w:val="auto"/>
              </w:rPr>
              <w:t>Termination Due to Mr. Alan</w:t>
            </w:r>
          </w:p>
        </w:tc>
        <w:tc>
          <w:tcPr>
            <w:tcW w:w="260" w:type="dxa"/>
            <w:vAlign w:val="bottom"/>
            <w:shd w:val="clear" w:color="auto" w:fill="EDEDED"/>
          </w:tcPr>
          <w:p>
            <w:pPr>
              <w:spacing w:after="0"/>
              <w:rPr>
                <w:sz w:val="18"/>
                <w:szCs w:val="18"/>
                <w:color w:val="auto"/>
              </w:rPr>
            </w:pPr>
          </w:p>
        </w:tc>
        <w:tc>
          <w:tcPr>
            <w:tcW w:w="108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220" w:type="dxa"/>
            <w:vAlign w:val="bottom"/>
            <w:shd w:val="clear" w:color="auto" w:fill="EDEDED"/>
          </w:tcPr>
          <w:p>
            <w:pPr>
              <w:spacing w:after="0"/>
              <w:rPr>
                <w:sz w:val="18"/>
                <w:szCs w:val="18"/>
                <w:color w:val="auto"/>
              </w:rPr>
            </w:pPr>
          </w:p>
        </w:tc>
        <w:tc>
          <w:tcPr>
            <w:tcW w:w="1120" w:type="dxa"/>
            <w:vAlign w:val="bottom"/>
            <w:shd w:val="clear" w:color="auto" w:fill="EDEDED"/>
          </w:tcPr>
          <w:p>
            <w:pPr>
              <w:spacing w:after="0"/>
              <w:rPr>
                <w:sz w:val="18"/>
                <w:szCs w:val="18"/>
                <w:color w:val="auto"/>
              </w:rPr>
            </w:pPr>
          </w:p>
        </w:tc>
        <w:tc>
          <w:tcPr>
            <w:tcW w:w="460" w:type="dxa"/>
            <w:vAlign w:val="bottom"/>
            <w:shd w:val="clear" w:color="auto" w:fill="EDEDED"/>
          </w:tcPr>
          <w:p>
            <w:pPr>
              <w:spacing w:after="0"/>
              <w:rPr>
                <w:sz w:val="18"/>
                <w:szCs w:val="18"/>
                <w:color w:val="auto"/>
              </w:rPr>
            </w:pPr>
          </w:p>
        </w:tc>
        <w:tc>
          <w:tcPr>
            <w:tcW w:w="1220" w:type="dxa"/>
            <w:vAlign w:val="bottom"/>
            <w:shd w:val="clear" w:color="auto" w:fill="EDEDED"/>
          </w:tcPr>
          <w:p>
            <w:pPr>
              <w:spacing w:after="0"/>
              <w:rPr>
                <w:sz w:val="18"/>
                <w:szCs w:val="18"/>
                <w:color w:val="auto"/>
              </w:rPr>
            </w:pPr>
          </w:p>
        </w:tc>
        <w:tc>
          <w:tcPr>
            <w:tcW w:w="300" w:type="dxa"/>
            <w:vAlign w:val="bottom"/>
            <w:shd w:val="clear" w:color="auto" w:fill="EDEDED"/>
          </w:tcPr>
          <w:p>
            <w:pPr>
              <w:spacing w:after="0"/>
              <w:rPr>
                <w:sz w:val="18"/>
                <w:szCs w:val="18"/>
                <w:color w:val="auto"/>
              </w:rPr>
            </w:pPr>
          </w:p>
        </w:tc>
        <w:tc>
          <w:tcPr>
            <w:tcW w:w="1100" w:type="dxa"/>
            <w:vAlign w:val="bottom"/>
            <w:shd w:val="clear" w:color="auto" w:fill="EDEDED"/>
          </w:tcPr>
          <w:p>
            <w:pPr>
              <w:spacing w:after="0"/>
              <w:rPr>
                <w:sz w:val="18"/>
                <w:szCs w:val="18"/>
                <w:color w:val="auto"/>
              </w:rPr>
            </w:pPr>
          </w:p>
        </w:tc>
        <w:tc>
          <w:tcPr>
            <w:tcW w:w="260" w:type="dxa"/>
            <w:vAlign w:val="bottom"/>
            <w:shd w:val="clear" w:color="auto" w:fill="EDEDED"/>
          </w:tcPr>
          <w:p>
            <w:pPr>
              <w:spacing w:after="0"/>
              <w:rPr>
                <w:sz w:val="18"/>
                <w:szCs w:val="18"/>
                <w:color w:val="auto"/>
              </w:rPr>
            </w:pPr>
          </w:p>
        </w:tc>
        <w:tc>
          <w:tcPr>
            <w:tcW w:w="1200" w:type="dxa"/>
            <w:vAlign w:val="bottom"/>
            <w:shd w:val="clear" w:color="auto" w:fill="EDEDED"/>
          </w:tcPr>
          <w:p>
            <w:pPr>
              <w:spacing w:after="0"/>
              <w:rPr>
                <w:sz w:val="18"/>
                <w:szCs w:val="18"/>
                <w:color w:val="auto"/>
              </w:rPr>
            </w:pPr>
          </w:p>
        </w:tc>
      </w:tr>
      <w:tr>
        <w:trPr>
          <w:trHeight w:val="203"/>
        </w:trPr>
        <w:tc>
          <w:tcPr>
            <w:tcW w:w="3620" w:type="dxa"/>
            <w:vAlign w:val="bottom"/>
            <w:shd w:val="clear" w:color="auto" w:fill="EDEDED"/>
          </w:tcPr>
          <w:p>
            <w:pPr>
              <w:ind w:left="100"/>
              <w:spacing w:after="0"/>
              <w:rPr>
                <w:sz w:val="20"/>
                <w:szCs w:val="20"/>
                <w:color w:val="auto"/>
              </w:rPr>
            </w:pPr>
            <w:r>
              <w:rPr>
                <w:rFonts w:ascii="Arial" w:cs="Arial" w:eastAsia="Arial" w:hAnsi="Arial"/>
                <w:sz w:val="16"/>
                <w:szCs w:val="16"/>
                <w:color w:val="auto"/>
              </w:rPr>
              <w:t>Miller’s Disability</w:t>
            </w:r>
          </w:p>
        </w:tc>
        <w:tc>
          <w:tcPr>
            <w:tcW w:w="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582,188</w:t>
            </w:r>
          </w:p>
        </w:tc>
        <w:tc>
          <w:tcPr>
            <w:tcW w:w="400" w:type="dxa"/>
            <w:vAlign w:val="bottom"/>
            <w:shd w:val="clear" w:color="auto" w:fill="EDEDED"/>
          </w:tcPr>
          <w:p>
            <w:pPr>
              <w:ind w:left="80"/>
              <w:spacing w:after="0"/>
              <w:rPr>
                <w:sz w:val="20"/>
                <w:szCs w:val="20"/>
                <w:color w:val="auto"/>
              </w:rPr>
            </w:pPr>
            <w:r>
              <w:rPr>
                <w:rFonts w:ascii="Arial" w:cs="Arial" w:eastAsia="Arial" w:hAnsi="Arial"/>
                <w:sz w:val="16"/>
                <w:szCs w:val="16"/>
                <w:color w:val="auto"/>
              </w:rPr>
              <w:t>(a.)</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DEDED"/>
          </w:tcPr>
          <w:p>
            <w:pPr>
              <w:jc w:val="right"/>
              <w:ind w:right="45"/>
              <w:spacing w:after="0"/>
              <w:rPr>
                <w:sz w:val="20"/>
                <w:szCs w:val="20"/>
                <w:color w:val="auto"/>
              </w:rPr>
            </w:pPr>
            <w:r>
              <w:rPr>
                <w:rFonts w:ascii="Arial" w:cs="Arial" w:eastAsia="Arial" w:hAnsi="Arial"/>
                <w:sz w:val="16"/>
                <w:szCs w:val="16"/>
                <w:color w:val="auto"/>
              </w:rPr>
              <w:t>4,161,072</w:t>
            </w:r>
          </w:p>
        </w:tc>
        <w:tc>
          <w:tcPr>
            <w:tcW w:w="300" w:type="dxa"/>
            <w:vAlign w:val="bottom"/>
            <w:shd w:val="clear" w:color="auto" w:fill="EDEDED"/>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DED"/>
          </w:tcPr>
          <w:p>
            <w:pPr>
              <w:jc w:val="right"/>
              <w:ind w:right="24"/>
              <w:spacing w:after="0"/>
              <w:rPr>
                <w:sz w:val="20"/>
                <w:szCs w:val="20"/>
                <w:color w:val="auto"/>
              </w:rPr>
            </w:pPr>
            <w:r>
              <w:rPr>
                <w:rFonts w:ascii="Arial" w:cs="Arial" w:eastAsia="Arial" w:hAnsi="Arial"/>
                <w:sz w:val="16"/>
                <w:szCs w:val="16"/>
                <w:color w:val="auto"/>
              </w:rPr>
              <w:t>18,642,345</w:t>
            </w:r>
          </w:p>
        </w:tc>
        <w:tc>
          <w:tcPr>
            <w:tcW w:w="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DEDED"/>
          </w:tcPr>
          <w:p>
            <w:pPr>
              <w:jc w:val="right"/>
              <w:ind w:right="64"/>
              <w:spacing w:after="0"/>
              <w:rPr>
                <w:sz w:val="20"/>
                <w:szCs w:val="20"/>
                <w:color w:val="auto"/>
              </w:rPr>
            </w:pPr>
            <w:r>
              <w:rPr>
                <w:rFonts w:ascii="Arial" w:cs="Arial" w:eastAsia="Arial" w:hAnsi="Arial"/>
                <w:sz w:val="16"/>
                <w:szCs w:val="16"/>
                <w:color w:val="auto"/>
              </w:rPr>
              <w:t>23,385,605</w:t>
            </w:r>
          </w:p>
        </w:tc>
      </w:tr>
      <w:tr>
        <w:trPr>
          <w:trHeight w:val="215"/>
        </w:trPr>
        <w:tc>
          <w:tcPr>
            <w:tcW w:w="3620" w:type="dxa"/>
            <w:vAlign w:val="bottom"/>
          </w:tcPr>
          <w:p>
            <w:pPr>
              <w:ind w:left="100"/>
              <w:spacing w:after="0"/>
              <w:rPr>
                <w:sz w:val="20"/>
                <w:szCs w:val="20"/>
                <w:color w:val="auto"/>
              </w:rPr>
            </w:pPr>
            <w:r>
              <w:rPr>
                <w:rFonts w:ascii="Arial" w:cs="Arial" w:eastAsia="Arial" w:hAnsi="Arial"/>
                <w:sz w:val="16"/>
                <w:szCs w:val="16"/>
                <w:color w:val="auto"/>
              </w:rPr>
              <w:t>Termination Due to Mr. Alan</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3620" w:type="dxa"/>
            <w:vAlign w:val="bottom"/>
          </w:tcPr>
          <w:p>
            <w:pPr>
              <w:ind w:left="100"/>
              <w:spacing w:after="0"/>
              <w:rPr>
                <w:sz w:val="20"/>
                <w:szCs w:val="20"/>
                <w:color w:val="auto"/>
              </w:rPr>
            </w:pPr>
            <w:r>
              <w:rPr>
                <w:rFonts w:ascii="Arial" w:cs="Arial" w:eastAsia="Arial" w:hAnsi="Arial"/>
                <w:sz w:val="16"/>
                <w:szCs w:val="16"/>
                <w:color w:val="auto"/>
              </w:rPr>
              <w:t>Miller’s Death</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5"/>
              <w:spacing w:after="0"/>
              <w:rPr>
                <w:sz w:val="20"/>
                <w:szCs w:val="20"/>
                <w:color w:val="auto"/>
              </w:rPr>
            </w:pPr>
            <w:r>
              <w:rPr>
                <w:rFonts w:ascii="Arial" w:cs="Arial" w:eastAsia="Arial" w:hAnsi="Arial"/>
                <w:sz w:val="16"/>
                <w:szCs w:val="16"/>
                <w:color w:val="auto"/>
              </w:rPr>
              <w:t>4,161,072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18,642,345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22,803,417</w:t>
            </w:r>
          </w:p>
        </w:tc>
      </w:tr>
      <w:tr>
        <w:trPr>
          <w:trHeight w:val="215"/>
        </w:trPr>
        <w:tc>
          <w:tcPr>
            <w:tcW w:w="3620" w:type="dxa"/>
            <w:vAlign w:val="bottom"/>
            <w:shd w:val="clear" w:color="auto" w:fill="EDEDED"/>
          </w:tcPr>
          <w:p>
            <w:pPr>
              <w:ind w:left="100"/>
              <w:spacing w:after="0"/>
              <w:rPr>
                <w:sz w:val="20"/>
                <w:szCs w:val="20"/>
                <w:color w:val="auto"/>
              </w:rPr>
            </w:pPr>
            <w:r>
              <w:rPr>
                <w:rFonts w:ascii="Arial" w:cs="Arial" w:eastAsia="Arial" w:hAnsi="Arial"/>
                <w:sz w:val="16"/>
                <w:szCs w:val="16"/>
                <w:color w:val="auto"/>
              </w:rPr>
              <w:t>Termination by Mr. Alan Miller</w:t>
            </w:r>
          </w:p>
        </w:tc>
        <w:tc>
          <w:tcPr>
            <w:tcW w:w="260" w:type="dxa"/>
            <w:vAlign w:val="bottom"/>
            <w:shd w:val="clear" w:color="auto" w:fill="EDEDED"/>
          </w:tcPr>
          <w:p>
            <w:pPr>
              <w:spacing w:after="0"/>
              <w:rPr>
                <w:sz w:val="18"/>
                <w:szCs w:val="18"/>
                <w:color w:val="auto"/>
              </w:rPr>
            </w:pPr>
          </w:p>
        </w:tc>
        <w:tc>
          <w:tcPr>
            <w:tcW w:w="1080" w:type="dxa"/>
            <w:vAlign w:val="bottom"/>
            <w:shd w:val="clear" w:color="auto" w:fill="EDEDED"/>
          </w:tcPr>
          <w:p>
            <w:pPr>
              <w:spacing w:after="0"/>
              <w:rPr>
                <w:sz w:val="18"/>
                <w:szCs w:val="18"/>
                <w:color w:val="auto"/>
              </w:rPr>
            </w:pPr>
          </w:p>
        </w:tc>
        <w:tc>
          <w:tcPr>
            <w:tcW w:w="400" w:type="dxa"/>
            <w:vAlign w:val="bottom"/>
            <w:shd w:val="clear" w:color="auto" w:fill="EDEDED"/>
          </w:tcPr>
          <w:p>
            <w:pPr>
              <w:spacing w:after="0"/>
              <w:rPr>
                <w:sz w:val="18"/>
                <w:szCs w:val="18"/>
                <w:color w:val="auto"/>
              </w:rPr>
            </w:pPr>
          </w:p>
        </w:tc>
        <w:tc>
          <w:tcPr>
            <w:tcW w:w="220" w:type="dxa"/>
            <w:vAlign w:val="bottom"/>
            <w:shd w:val="clear" w:color="auto" w:fill="EDEDED"/>
          </w:tcPr>
          <w:p>
            <w:pPr>
              <w:spacing w:after="0"/>
              <w:rPr>
                <w:sz w:val="18"/>
                <w:szCs w:val="18"/>
                <w:color w:val="auto"/>
              </w:rPr>
            </w:pPr>
          </w:p>
        </w:tc>
        <w:tc>
          <w:tcPr>
            <w:tcW w:w="1120" w:type="dxa"/>
            <w:vAlign w:val="bottom"/>
            <w:shd w:val="clear" w:color="auto" w:fill="EDEDED"/>
          </w:tcPr>
          <w:p>
            <w:pPr>
              <w:spacing w:after="0"/>
              <w:rPr>
                <w:sz w:val="18"/>
                <w:szCs w:val="18"/>
                <w:color w:val="auto"/>
              </w:rPr>
            </w:pPr>
          </w:p>
        </w:tc>
        <w:tc>
          <w:tcPr>
            <w:tcW w:w="460" w:type="dxa"/>
            <w:vAlign w:val="bottom"/>
            <w:shd w:val="clear" w:color="auto" w:fill="EDEDED"/>
          </w:tcPr>
          <w:p>
            <w:pPr>
              <w:spacing w:after="0"/>
              <w:rPr>
                <w:sz w:val="18"/>
                <w:szCs w:val="18"/>
                <w:color w:val="auto"/>
              </w:rPr>
            </w:pPr>
          </w:p>
        </w:tc>
        <w:tc>
          <w:tcPr>
            <w:tcW w:w="1220" w:type="dxa"/>
            <w:vAlign w:val="bottom"/>
            <w:shd w:val="clear" w:color="auto" w:fill="EDEDED"/>
          </w:tcPr>
          <w:p>
            <w:pPr>
              <w:spacing w:after="0"/>
              <w:rPr>
                <w:sz w:val="18"/>
                <w:szCs w:val="18"/>
                <w:color w:val="auto"/>
              </w:rPr>
            </w:pPr>
          </w:p>
        </w:tc>
        <w:tc>
          <w:tcPr>
            <w:tcW w:w="300" w:type="dxa"/>
            <w:vAlign w:val="bottom"/>
            <w:shd w:val="clear" w:color="auto" w:fill="EDEDED"/>
          </w:tcPr>
          <w:p>
            <w:pPr>
              <w:spacing w:after="0"/>
              <w:rPr>
                <w:sz w:val="18"/>
                <w:szCs w:val="18"/>
                <w:color w:val="auto"/>
              </w:rPr>
            </w:pPr>
          </w:p>
        </w:tc>
        <w:tc>
          <w:tcPr>
            <w:tcW w:w="1100" w:type="dxa"/>
            <w:vAlign w:val="bottom"/>
            <w:shd w:val="clear" w:color="auto" w:fill="EDEDED"/>
          </w:tcPr>
          <w:p>
            <w:pPr>
              <w:spacing w:after="0"/>
              <w:rPr>
                <w:sz w:val="18"/>
                <w:szCs w:val="18"/>
                <w:color w:val="auto"/>
              </w:rPr>
            </w:pPr>
          </w:p>
        </w:tc>
        <w:tc>
          <w:tcPr>
            <w:tcW w:w="260" w:type="dxa"/>
            <w:vAlign w:val="bottom"/>
            <w:shd w:val="clear" w:color="auto" w:fill="EDEDED"/>
          </w:tcPr>
          <w:p>
            <w:pPr>
              <w:spacing w:after="0"/>
              <w:rPr>
                <w:sz w:val="18"/>
                <w:szCs w:val="18"/>
                <w:color w:val="auto"/>
              </w:rPr>
            </w:pPr>
          </w:p>
        </w:tc>
        <w:tc>
          <w:tcPr>
            <w:tcW w:w="1200" w:type="dxa"/>
            <w:vAlign w:val="bottom"/>
            <w:shd w:val="clear" w:color="auto" w:fill="EDEDED"/>
          </w:tcPr>
          <w:p>
            <w:pPr>
              <w:spacing w:after="0"/>
              <w:rPr>
                <w:sz w:val="18"/>
                <w:szCs w:val="18"/>
                <w:color w:val="auto"/>
              </w:rPr>
            </w:pPr>
          </w:p>
        </w:tc>
      </w:tr>
      <w:tr>
        <w:trPr>
          <w:trHeight w:val="189"/>
        </w:trPr>
        <w:tc>
          <w:tcPr>
            <w:tcW w:w="3620" w:type="dxa"/>
            <w:vAlign w:val="bottom"/>
            <w:shd w:val="clear" w:color="auto" w:fill="EDEDED"/>
          </w:tcPr>
          <w:p>
            <w:pPr>
              <w:ind w:left="100"/>
              <w:spacing w:after="0"/>
              <w:rPr>
                <w:sz w:val="20"/>
                <w:szCs w:val="20"/>
                <w:color w:val="auto"/>
              </w:rPr>
            </w:pPr>
            <w:r>
              <w:rPr>
                <w:rFonts w:ascii="Arial" w:cs="Arial" w:eastAsia="Arial" w:hAnsi="Arial"/>
                <w:sz w:val="16"/>
                <w:szCs w:val="16"/>
                <w:color w:val="auto"/>
              </w:rPr>
              <w:t>for “Breach by the Company”</w:t>
            </w:r>
          </w:p>
        </w:tc>
        <w:tc>
          <w:tcPr>
            <w:tcW w:w="260" w:type="dxa"/>
            <w:vAlign w:val="bottom"/>
            <w:shd w:val="clear" w:color="auto" w:fill="EDEDED"/>
          </w:tcPr>
          <w:p>
            <w:pPr>
              <w:spacing w:after="0"/>
              <w:rPr>
                <w:sz w:val="16"/>
                <w:szCs w:val="16"/>
                <w:color w:val="auto"/>
              </w:rPr>
            </w:pPr>
          </w:p>
        </w:tc>
        <w:tc>
          <w:tcPr>
            <w:tcW w:w="1080" w:type="dxa"/>
            <w:vAlign w:val="bottom"/>
            <w:shd w:val="clear" w:color="auto" w:fill="EDEDED"/>
          </w:tcPr>
          <w:p>
            <w:pPr>
              <w:spacing w:after="0"/>
              <w:rPr>
                <w:sz w:val="16"/>
                <w:szCs w:val="16"/>
                <w:color w:val="auto"/>
              </w:rPr>
            </w:pPr>
          </w:p>
        </w:tc>
        <w:tc>
          <w:tcPr>
            <w:tcW w:w="40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1120" w:type="dxa"/>
            <w:vAlign w:val="bottom"/>
            <w:shd w:val="clear" w:color="auto" w:fill="EDEDED"/>
          </w:tcPr>
          <w:p>
            <w:pPr>
              <w:spacing w:after="0"/>
              <w:rPr>
                <w:sz w:val="16"/>
                <w:szCs w:val="16"/>
                <w:color w:val="auto"/>
              </w:rPr>
            </w:pPr>
          </w:p>
        </w:tc>
        <w:tc>
          <w:tcPr>
            <w:tcW w:w="460" w:type="dxa"/>
            <w:vAlign w:val="bottom"/>
            <w:shd w:val="clear" w:color="auto" w:fill="EDEDED"/>
          </w:tcPr>
          <w:p>
            <w:pPr>
              <w:spacing w:after="0"/>
              <w:rPr>
                <w:sz w:val="16"/>
                <w:szCs w:val="16"/>
                <w:color w:val="auto"/>
              </w:rPr>
            </w:pPr>
          </w:p>
        </w:tc>
        <w:tc>
          <w:tcPr>
            <w:tcW w:w="122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1100" w:type="dxa"/>
            <w:vAlign w:val="bottom"/>
            <w:shd w:val="clear" w:color="auto" w:fill="EDEDED"/>
          </w:tcPr>
          <w:p>
            <w:pPr>
              <w:spacing w:after="0"/>
              <w:rPr>
                <w:sz w:val="16"/>
                <w:szCs w:val="16"/>
                <w:color w:val="auto"/>
              </w:rPr>
            </w:pPr>
          </w:p>
        </w:tc>
        <w:tc>
          <w:tcPr>
            <w:tcW w:w="26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r>
      <w:tr>
        <w:trPr>
          <w:trHeight w:val="189"/>
        </w:trPr>
        <w:tc>
          <w:tcPr>
            <w:tcW w:w="3620" w:type="dxa"/>
            <w:vAlign w:val="bottom"/>
            <w:shd w:val="clear" w:color="auto" w:fill="EDEDED"/>
          </w:tcPr>
          <w:p>
            <w:pPr>
              <w:ind w:left="100"/>
              <w:spacing w:after="0"/>
              <w:rPr>
                <w:sz w:val="20"/>
                <w:szCs w:val="20"/>
                <w:color w:val="auto"/>
              </w:rPr>
            </w:pPr>
            <w:r>
              <w:rPr>
                <w:rFonts w:ascii="Arial" w:cs="Arial" w:eastAsia="Arial" w:hAnsi="Arial"/>
                <w:sz w:val="16"/>
                <w:szCs w:val="16"/>
                <w:color w:val="auto"/>
              </w:rPr>
              <w:t>or Termination by the</w:t>
            </w:r>
          </w:p>
        </w:tc>
        <w:tc>
          <w:tcPr>
            <w:tcW w:w="260" w:type="dxa"/>
            <w:vAlign w:val="bottom"/>
            <w:shd w:val="clear" w:color="auto" w:fill="EDEDED"/>
          </w:tcPr>
          <w:p>
            <w:pPr>
              <w:spacing w:after="0"/>
              <w:rPr>
                <w:sz w:val="16"/>
                <w:szCs w:val="16"/>
                <w:color w:val="auto"/>
              </w:rPr>
            </w:pPr>
          </w:p>
        </w:tc>
        <w:tc>
          <w:tcPr>
            <w:tcW w:w="1080" w:type="dxa"/>
            <w:vAlign w:val="bottom"/>
            <w:shd w:val="clear" w:color="auto" w:fill="EDEDED"/>
          </w:tcPr>
          <w:p>
            <w:pPr>
              <w:spacing w:after="0"/>
              <w:rPr>
                <w:sz w:val="16"/>
                <w:szCs w:val="16"/>
                <w:color w:val="auto"/>
              </w:rPr>
            </w:pPr>
          </w:p>
        </w:tc>
        <w:tc>
          <w:tcPr>
            <w:tcW w:w="40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1120" w:type="dxa"/>
            <w:vAlign w:val="bottom"/>
            <w:shd w:val="clear" w:color="auto" w:fill="EDEDED"/>
          </w:tcPr>
          <w:p>
            <w:pPr>
              <w:spacing w:after="0"/>
              <w:rPr>
                <w:sz w:val="16"/>
                <w:szCs w:val="16"/>
                <w:color w:val="auto"/>
              </w:rPr>
            </w:pPr>
          </w:p>
        </w:tc>
        <w:tc>
          <w:tcPr>
            <w:tcW w:w="460" w:type="dxa"/>
            <w:vAlign w:val="bottom"/>
            <w:shd w:val="clear" w:color="auto" w:fill="EDEDED"/>
          </w:tcPr>
          <w:p>
            <w:pPr>
              <w:spacing w:after="0"/>
              <w:rPr>
                <w:sz w:val="16"/>
                <w:szCs w:val="16"/>
                <w:color w:val="auto"/>
              </w:rPr>
            </w:pPr>
          </w:p>
        </w:tc>
        <w:tc>
          <w:tcPr>
            <w:tcW w:w="122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1100" w:type="dxa"/>
            <w:vAlign w:val="bottom"/>
            <w:shd w:val="clear" w:color="auto" w:fill="EDEDED"/>
          </w:tcPr>
          <w:p>
            <w:pPr>
              <w:spacing w:after="0"/>
              <w:rPr>
                <w:sz w:val="16"/>
                <w:szCs w:val="16"/>
                <w:color w:val="auto"/>
              </w:rPr>
            </w:pPr>
          </w:p>
        </w:tc>
        <w:tc>
          <w:tcPr>
            <w:tcW w:w="26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r>
      <w:tr>
        <w:trPr>
          <w:trHeight w:val="224"/>
        </w:trPr>
        <w:tc>
          <w:tcPr>
            <w:tcW w:w="362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6"/>
                <w:szCs w:val="16"/>
                <w:color w:val="auto"/>
              </w:rPr>
              <w:t>Company Without Cause</w:t>
            </w:r>
          </w:p>
        </w:tc>
        <w:tc>
          <w:tcPr>
            <w:tcW w:w="2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2,363,681</w:t>
            </w:r>
          </w:p>
        </w:tc>
        <w:tc>
          <w:tcPr>
            <w:tcW w:w="40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(b.)</w:t>
            </w:r>
          </w:p>
        </w:tc>
        <w:tc>
          <w:tcPr>
            <w:tcW w:w="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1,168,658</w:t>
            </w:r>
          </w:p>
        </w:tc>
        <w:tc>
          <w:tcPr>
            <w:tcW w:w="4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(c.) $</w:t>
            </w:r>
          </w:p>
        </w:tc>
        <w:tc>
          <w:tcPr>
            <w:tcW w:w="1220" w:type="dxa"/>
            <w:vAlign w:val="bottom"/>
            <w:tcBorders>
              <w:bottom w:val="single" w:sz="8" w:color="EDEDED"/>
            </w:tcBorders>
            <w:shd w:val="clear" w:color="auto" w:fill="EDEDED"/>
          </w:tcPr>
          <w:p>
            <w:pPr>
              <w:jc w:val="right"/>
              <w:ind w:right="45"/>
              <w:spacing w:after="0"/>
              <w:rPr>
                <w:sz w:val="20"/>
                <w:szCs w:val="20"/>
                <w:color w:val="auto"/>
              </w:rPr>
            </w:pPr>
            <w:r>
              <w:rPr>
                <w:rFonts w:ascii="Arial" w:cs="Arial" w:eastAsia="Arial" w:hAnsi="Arial"/>
                <w:sz w:val="16"/>
                <w:szCs w:val="16"/>
                <w:color w:val="auto"/>
              </w:rPr>
              <w:t>4,161,072</w:t>
            </w:r>
          </w:p>
        </w:tc>
        <w:tc>
          <w:tcPr>
            <w:tcW w:w="300" w:type="dxa"/>
            <w:vAlign w:val="bottom"/>
            <w:tcBorders>
              <w:bottom w:val="single" w:sz="8" w:color="EDEDED"/>
            </w:tcBorders>
            <w:shd w:val="clear" w:color="auto" w:fill="EDEDED"/>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DEDED"/>
            </w:tcBorders>
            <w:shd w:val="clear" w:color="auto" w:fill="EDEDED"/>
          </w:tcPr>
          <w:p>
            <w:pPr>
              <w:jc w:val="right"/>
              <w:ind w:right="24"/>
              <w:spacing w:after="0"/>
              <w:rPr>
                <w:sz w:val="20"/>
                <w:szCs w:val="20"/>
                <w:color w:val="auto"/>
              </w:rPr>
            </w:pPr>
            <w:r>
              <w:rPr>
                <w:rFonts w:ascii="Arial" w:cs="Arial" w:eastAsia="Arial" w:hAnsi="Arial"/>
                <w:sz w:val="16"/>
                <w:szCs w:val="16"/>
                <w:color w:val="auto"/>
              </w:rPr>
              <w:t>18,642,345</w:t>
            </w:r>
          </w:p>
        </w:tc>
        <w:tc>
          <w:tcPr>
            <w:tcW w:w="2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DEDED"/>
            </w:tcBorders>
            <w:shd w:val="clear" w:color="auto" w:fill="EDEDED"/>
          </w:tcPr>
          <w:p>
            <w:pPr>
              <w:jc w:val="right"/>
              <w:ind w:right="64"/>
              <w:spacing w:after="0"/>
              <w:rPr>
                <w:sz w:val="20"/>
                <w:szCs w:val="20"/>
                <w:color w:val="auto"/>
              </w:rPr>
            </w:pPr>
            <w:r>
              <w:rPr>
                <w:rFonts w:ascii="Arial" w:cs="Arial" w:eastAsia="Arial" w:hAnsi="Arial"/>
                <w:sz w:val="16"/>
                <w:szCs w:val="16"/>
                <w:color w:val="auto"/>
              </w:rPr>
              <w:t>26,335,756</w:t>
            </w:r>
          </w:p>
        </w:tc>
      </w:tr>
      <w:tr>
        <w:trPr>
          <w:trHeight w:val="20"/>
        </w:trPr>
        <w:tc>
          <w:tcPr>
            <w:tcW w:w="3620" w:type="dxa"/>
            <w:vAlign w:val="bottom"/>
            <w:shd w:val="clear" w:color="auto" w:fill="7F7F7F"/>
          </w:tcPr>
          <w:p>
            <w:pPr>
              <w:spacing w:after="0" w:line="20" w:lineRule="exact"/>
              <w:rPr>
                <w:sz w:val="1"/>
                <w:szCs w:val="1"/>
                <w:color w:val="auto"/>
              </w:rPr>
            </w:pPr>
          </w:p>
        </w:tc>
        <w:tc>
          <w:tcPr>
            <w:tcW w:w="260" w:type="dxa"/>
            <w:vAlign w:val="bottom"/>
            <w:shd w:val="clear" w:color="auto" w:fill="7F7F7F"/>
          </w:tcPr>
          <w:p>
            <w:pPr>
              <w:spacing w:after="0" w:line="20" w:lineRule="exact"/>
              <w:rPr>
                <w:sz w:val="1"/>
                <w:szCs w:val="1"/>
                <w:color w:val="auto"/>
              </w:rPr>
            </w:pPr>
          </w:p>
        </w:tc>
        <w:tc>
          <w:tcPr>
            <w:tcW w:w="1080" w:type="dxa"/>
            <w:vAlign w:val="bottom"/>
            <w:shd w:val="clear" w:color="auto" w:fill="7F7F7F"/>
          </w:tcPr>
          <w:p>
            <w:pPr>
              <w:spacing w:after="0" w:line="20" w:lineRule="exact"/>
              <w:rPr>
                <w:sz w:val="1"/>
                <w:szCs w:val="1"/>
                <w:color w:val="auto"/>
              </w:rPr>
            </w:pPr>
          </w:p>
        </w:tc>
        <w:tc>
          <w:tcPr>
            <w:tcW w:w="40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1120" w:type="dxa"/>
            <w:vAlign w:val="bottom"/>
            <w:shd w:val="clear" w:color="auto" w:fill="7F7F7F"/>
          </w:tcPr>
          <w:p>
            <w:pPr>
              <w:spacing w:after="0" w:line="20" w:lineRule="exact"/>
              <w:rPr>
                <w:sz w:val="1"/>
                <w:szCs w:val="1"/>
                <w:color w:val="auto"/>
              </w:rPr>
            </w:pPr>
          </w:p>
        </w:tc>
        <w:tc>
          <w:tcPr>
            <w:tcW w:w="460" w:type="dxa"/>
            <w:vAlign w:val="bottom"/>
            <w:shd w:val="clear" w:color="auto" w:fill="7F7F7F"/>
          </w:tcPr>
          <w:p>
            <w:pPr>
              <w:spacing w:after="0" w:line="20" w:lineRule="exact"/>
              <w:rPr>
                <w:sz w:val="1"/>
                <w:szCs w:val="1"/>
                <w:color w:val="auto"/>
              </w:rPr>
            </w:pPr>
          </w:p>
        </w:tc>
        <w:tc>
          <w:tcPr>
            <w:tcW w:w="122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1100" w:type="dxa"/>
            <w:vAlign w:val="bottom"/>
            <w:shd w:val="clear" w:color="auto" w:fill="7F7F7F"/>
          </w:tcPr>
          <w:p>
            <w:pPr>
              <w:spacing w:after="0" w:line="20" w:lineRule="exact"/>
              <w:rPr>
                <w:sz w:val="1"/>
                <w:szCs w:val="1"/>
                <w:color w:val="auto"/>
              </w:rPr>
            </w:pPr>
          </w:p>
        </w:tc>
        <w:tc>
          <w:tcPr>
            <w:tcW w:w="260" w:type="dxa"/>
            <w:vAlign w:val="bottom"/>
            <w:shd w:val="clear" w:color="auto" w:fill="7F7F7F"/>
          </w:tcPr>
          <w:p>
            <w:pPr>
              <w:spacing w:after="0" w:line="20" w:lineRule="exact"/>
              <w:rPr>
                <w:sz w:val="1"/>
                <w:szCs w:val="1"/>
                <w:color w:val="auto"/>
              </w:rPr>
            </w:pPr>
          </w:p>
        </w:tc>
        <w:tc>
          <w:tcPr>
            <w:tcW w:w="1200" w:type="dxa"/>
            <w:vAlign w:val="bottom"/>
            <w:shd w:val="clear" w:color="auto" w:fill="7F7F7F"/>
          </w:tcPr>
          <w:p>
            <w:pPr>
              <w:spacing w:after="0" w:line="20" w:lineRule="exact"/>
              <w:rPr>
                <w:sz w:val="1"/>
                <w:szCs w:val="1"/>
                <w:color w:val="auto"/>
              </w:rPr>
            </w:pPr>
          </w:p>
        </w:tc>
      </w:tr>
    </w:tbl>
    <w:p>
      <w:pPr>
        <w:spacing w:after="0" w:line="67" w:lineRule="exact"/>
        <w:rPr>
          <w:sz w:val="20"/>
          <w:szCs w:val="20"/>
          <w:color w:val="auto"/>
        </w:rPr>
      </w:pPr>
    </w:p>
    <w:p>
      <w:pPr>
        <w:ind w:left="500" w:hanging="37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upon 50% (6 months) of Mr. Alan Miller’s 2026 base salary.</w:t>
      </w:r>
    </w:p>
    <w:p>
      <w:pPr>
        <w:spacing w:after="0" w:line="72" w:lineRule="exact"/>
        <w:rPr>
          <w:rFonts w:ascii="Arial" w:cs="Arial" w:eastAsia="Arial" w:hAnsi="Arial"/>
          <w:sz w:val="16"/>
          <w:szCs w:val="16"/>
          <w:color w:val="auto"/>
        </w:rPr>
      </w:pPr>
    </w:p>
    <w:p>
      <w:pPr>
        <w:ind w:left="500" w:hanging="37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Assumes continuation of all cash compensation through 2027 (automatic annual renewal termination date).</w:t>
      </w:r>
    </w:p>
    <w:p>
      <w:pPr>
        <w:spacing w:after="0" w:line="86" w:lineRule="exact"/>
        <w:rPr>
          <w:rFonts w:ascii="Arial" w:cs="Arial" w:eastAsia="Arial" w:hAnsi="Arial"/>
          <w:sz w:val="16"/>
          <w:szCs w:val="16"/>
          <w:color w:val="auto"/>
        </w:rPr>
      </w:pPr>
    </w:p>
    <w:p>
      <w:pPr>
        <w:jc w:val="both"/>
        <w:ind w:left="500" w:hanging="372"/>
        <w:spacing w:after="0" w:line="266"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Assumes (i) continuation of all entitled perquisites through 2027; (ii) continuation of insurance premiums in connection with long-term disability, our 401(k) match and other charges, all of which were based upon the actual 2025 amounts. Additionally, assumes premiums due in connection with split-dollar life insurance agreements through 2027. Please see the </w:t>
      </w:r>
      <w:r>
        <w:rPr>
          <w:rFonts w:ascii="Arial" w:cs="Arial" w:eastAsia="Arial" w:hAnsi="Arial"/>
          <w:sz w:val="16"/>
          <w:szCs w:val="16"/>
          <w:i w:val="1"/>
          <w:iCs w:val="1"/>
          <w:color w:val="auto"/>
        </w:rPr>
        <w:t>Summary Compensation and the All Other Compensation</w:t>
      </w:r>
      <w:r>
        <w:rPr>
          <w:rFonts w:ascii="Arial" w:cs="Arial" w:eastAsia="Arial" w:hAnsi="Arial"/>
          <w:sz w:val="16"/>
          <w:szCs w:val="16"/>
          <w:color w:val="auto"/>
        </w:rPr>
        <w:t xml:space="preserve"> table included herein.</w:t>
      </w:r>
    </w:p>
    <w:p>
      <w:pPr>
        <w:spacing w:after="0" w:line="22" w:lineRule="exact"/>
        <w:rPr>
          <w:rFonts w:ascii="Arial" w:cs="Arial" w:eastAsia="Arial" w:hAnsi="Arial"/>
          <w:sz w:val="16"/>
          <w:szCs w:val="16"/>
          <w:color w:val="auto"/>
        </w:rPr>
      </w:pPr>
    </w:p>
    <w:p>
      <w:pPr>
        <w:jc w:val="both"/>
        <w:ind w:left="500" w:hanging="372"/>
        <w:spacing w:after="0" w:line="266"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intrinsic value of the accelerated stock options based upon the closing price per share of the Class B Common Stock on the NYSE on December 31, 2025 of $218.02 per share. The full grant date fair values of these awards were included in the Summary Compensation Table in the year of original grant.</w:t>
      </w:r>
    </w:p>
    <w:p>
      <w:pPr>
        <w:spacing w:after="0" w:line="22" w:lineRule="exact"/>
        <w:rPr>
          <w:rFonts w:ascii="Arial" w:cs="Arial" w:eastAsia="Arial" w:hAnsi="Arial"/>
          <w:sz w:val="16"/>
          <w:szCs w:val="16"/>
          <w:color w:val="auto"/>
        </w:rPr>
      </w:pPr>
    </w:p>
    <w:p>
      <w:pPr>
        <w:jc w:val="both"/>
        <w:ind w:left="500" w:hanging="372"/>
        <w:spacing w:after="0" w:line="259"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intrinsic value of the accelerated performance based restricted stock units as well as time-based restricted stock units based upon the closing price per share of the Class B Common Stock on the NYSE on December 31, 2025 of $218.02 per share. Amounts reflected assume vesting of the 2023 PBRSUs at 150% of the target award. The full grant date fair values of these awards were included in the Summary Compensation Table in the year of original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5" w:name="page66"/>
    <w:bookmarkEnd w:id="65"/>
    <w:p>
      <w:pPr>
        <w:ind w:left="6620"/>
        <w:spacing w:after="0"/>
        <w:rPr>
          <w:sz w:val="20"/>
          <w:szCs w:val="20"/>
          <w:color w:val="auto"/>
        </w:rPr>
      </w:pPr>
      <w:r>
        <w:rPr>
          <w:rFonts w:ascii="Arial" w:cs="Arial" w:eastAsia="Arial" w:hAnsi="Arial"/>
          <w:sz w:val="16"/>
          <w:szCs w:val="16"/>
          <w:b w:val="1"/>
          <w:bCs w:val="1"/>
          <w:color w:val="000052"/>
        </w:rPr>
        <w:t>Potential 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Executive Officers</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addition, in the event of an involuntary termination of their respective employment by the Company without cause, Messrs. Peterson and Sim are each entitled to receive salary continuation for 12 months. Messrs. Peterson and Sim are also entitled to reimbursement of a portion of their COBRA premium for 12 months. Assuming such an involuntary termination of their respective employment had occurred as of December 31, 2025, Messrs. Peterson and Sim would be entitled to receive aggregate cash severance payments of $ 759,283 and $845,816, respectively, and Messrs. Peterson and Sim would have been entitled to the reimbursement of a portion of their COBRA premium aggregating to $23,578 and $25,254,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a Change of Control</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Pursuant to our 2020 Omnibus Stock and Incentive Plan, (as of December 31, 2025, all unvested awards of our named executive officers were granted under this plan), all of our employees receive full acceleration of the vesting of any unvested award in the event that such awards are not assumed or substituted by the surviving or acquiring company following a change of control of the Company.</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intrinsic value of our named executive officers’ stock options for which vesting would have accelerated assuming a change in control of the Company in which equity awards are not assumed or substituted had occurred as of December 31, 2025, is approximately as follows: Marc D. Miller: $7.9 million; Alan B. Miller: $4.2 million; Steve G. Filton: $2.0 million; Matthew J. Peterson: $1.7 million and Edward H. Sim: $1.8 million.</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Additionally, the intrinsic value of our named executive officers’ performance based and time based restricted stock units for which vesting would have accelerated assuming a change in control of the Company in which equity awards are not assumed or substituted had occurred as of December 31, 2025 is approximately as follows: Marc D. Miller: $35.9 million; Alan B. Miller: $18.6 million; Steve G. Filton: $9.0 million; Matthew J. Peterson: $7.4 million, and; Edward H. Sim: $8.4 million.</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Such intrinsic values of the accelerated stock options and accelerated restricted stock units were calculated based upon the closing price per share of our common stock on December 31, 2025 of $218.02 as reported on the NYSE. Amounts reflected assume vesting of the 2023 PBRSUs at 150% of the target awards, as discussed herein. Vesting acceleration of stock option awards and restricted stock unit awards, if such equity awards are not assumed or substituted, is the only benefit provided to our named executive officers in the event of a change of control. In the event of a termination of employment following a change in control of the Company, the named executive officers may be entitled to payments and benefits as described above under </w:t>
      </w:r>
      <w:r>
        <w:rPr>
          <w:rFonts w:ascii="Arial" w:cs="Arial" w:eastAsia="Arial" w:hAnsi="Arial"/>
          <w:sz w:val="20"/>
          <w:szCs w:val="20"/>
          <w:i w:val="1"/>
          <w:iCs w:val="1"/>
          <w:color w:val="auto"/>
        </w:rPr>
        <w:t>“Potential Payments Upon Termination”</w:t>
      </w:r>
      <w:r>
        <w:rPr>
          <w:rFonts w:ascii="Arial" w:cs="Arial" w:eastAsia="Arial" w:hAnsi="Arial"/>
          <w:sz w:val="20"/>
          <w:szCs w:val="20"/>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CEO Pay Ratio</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required by Section 953(b) of the Dodd-Frank Wall Street Reform and Consumer Protection Act (the “Dodd-Frank Act”), and Item 402(u) of Regulation S-K, we are providing the following information about the relationship of the annual total compensation of our employees and the annual total compensation of Mr. Marc D. Miller, the current Chief Executive Officer and President.</w:t>
      </w:r>
    </w:p>
    <w:p>
      <w:pPr>
        <w:spacing w:after="0" w:line="15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As is permitted under the SEC rules, we reasonably determined our median employee by using the greater of total annual W-2 wages of employees both in the U.S. and the U.K. who were employed as of December 31, 2025 (excluding Mr. Marc Miller) or calculated annualized pay for those who commenced work during 2025 or were on a leave of absence. The employee population consisted of our full-time, part-time and temporary employees. The inclusion of part-time and temporary employees reduces the median of the annual total compensation for the overall group of our employees. Due to the amount of turnover and job status changes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000052"/>
        </w:rPr>
        <w:t>Potential 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exist in the healthcare industry, we recalculated the median employee in 2025 and determined that person’s total compensation was $57,048. The ratio of CEO pay to median worker pay is 283:1.</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7" w:name="page68"/>
    <w:bookmarkEnd w:id="67"/>
    <w:p>
      <w:pPr>
        <w:spacing w:after="0"/>
        <w:rPr>
          <w:sz w:val="20"/>
          <w:szCs w:val="20"/>
          <w:color w:val="auto"/>
        </w:rPr>
      </w:pPr>
      <w:r>
        <w:rPr>
          <w:rFonts w:ascii="Arial" w:cs="Arial" w:eastAsia="Arial" w:hAnsi="Arial"/>
          <w:sz w:val="40"/>
          <w:szCs w:val="40"/>
          <w:b w:val="1"/>
          <w:bCs w:val="1"/>
          <w:color w:val="052666"/>
        </w:rPr>
        <w:t>PAY VERSUS PERFORMANCE TABLE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section was prepared in accordance with Item 402(v) of the SEC’s Regulation S-K.</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following table provides additional compensation information for the past five fiscal years for our Chief Executive Officer (“CEO”) and our non-CEO Named Executive Officers (“Other NEOs”), as well as total shareholder return, net income attributable to UHS, Inc. and adjusted earnings per share, diluted performance results for our fiscal years ending in 2025, 2024, 2023, 2022 and 2021: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3"/>
          </w:tcPr>
          <w:p>
            <w:pPr>
              <w:jc w:val="right"/>
              <w:ind w:right="466"/>
              <w:spacing w:after="0"/>
              <w:rPr>
                <w:sz w:val="20"/>
                <w:szCs w:val="20"/>
                <w:color w:val="auto"/>
              </w:rPr>
            </w:pPr>
            <w:r>
              <w:rPr>
                <w:rFonts w:ascii="Arial" w:cs="Arial" w:eastAsia="Arial" w:hAnsi="Arial"/>
                <w:sz w:val="11"/>
                <w:szCs w:val="11"/>
                <w:b w:val="1"/>
                <w:bCs w:val="1"/>
                <w:color w:val="052666"/>
              </w:rPr>
              <w:t>Value of initial fixed $100</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86"/>
              <w:spacing w:after="0"/>
              <w:rPr>
                <w:sz w:val="20"/>
                <w:szCs w:val="20"/>
                <w:color w:val="auto"/>
              </w:rPr>
            </w:pPr>
            <w:r>
              <w:rPr>
                <w:rFonts w:ascii="Arial" w:cs="Arial" w:eastAsia="Arial" w:hAnsi="Arial"/>
                <w:sz w:val="11"/>
                <w:szCs w:val="11"/>
                <w:b w:val="1"/>
                <w:bCs w:val="1"/>
                <w:color w:val="052666"/>
                <w:w w:val="96"/>
              </w:rPr>
              <w:t>Average</w:t>
            </w:r>
          </w:p>
        </w:tc>
        <w:tc>
          <w:tcPr>
            <w:tcW w:w="220" w:type="dxa"/>
            <w:vAlign w:val="bottom"/>
          </w:tcPr>
          <w:p>
            <w:pPr>
              <w:spacing w:after="0"/>
              <w:rPr>
                <w:sz w:val="11"/>
                <w:szCs w:val="11"/>
                <w:color w:val="auto"/>
              </w:rPr>
            </w:pPr>
          </w:p>
        </w:tc>
        <w:tc>
          <w:tcPr>
            <w:tcW w:w="1060" w:type="dxa"/>
            <w:vAlign w:val="bottom"/>
          </w:tcPr>
          <w:p>
            <w:pPr>
              <w:jc w:val="center"/>
              <w:ind w:right="188"/>
              <w:spacing w:after="0"/>
              <w:rPr>
                <w:sz w:val="20"/>
                <w:szCs w:val="20"/>
                <w:color w:val="auto"/>
              </w:rPr>
            </w:pPr>
            <w:r>
              <w:rPr>
                <w:rFonts w:ascii="Arial" w:cs="Arial" w:eastAsia="Arial" w:hAnsi="Arial"/>
                <w:sz w:val="11"/>
                <w:szCs w:val="11"/>
                <w:b w:val="1"/>
                <w:bCs w:val="1"/>
                <w:color w:val="052666"/>
                <w:w w:val="96"/>
              </w:rPr>
              <w:t>Average</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1"/>
                <w:szCs w:val="11"/>
                <w:b w:val="1"/>
                <w:bCs w:val="1"/>
                <w:color w:val="052666"/>
              </w:rPr>
              <w:t>investment based on: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jc w:val="center"/>
              <w:ind w:right="148"/>
              <w:spacing w:after="0" w:line="102" w:lineRule="exact"/>
              <w:rPr>
                <w:sz w:val="20"/>
                <w:szCs w:val="20"/>
                <w:color w:val="auto"/>
              </w:rPr>
            </w:pPr>
            <w:r>
              <w:rPr>
                <w:rFonts w:ascii="Arial" w:cs="Arial" w:eastAsia="Arial" w:hAnsi="Arial"/>
                <w:sz w:val="11"/>
                <w:szCs w:val="11"/>
                <w:b w:val="1"/>
                <w:bCs w:val="1"/>
                <w:color w:val="052666"/>
                <w:w w:val="99"/>
              </w:rPr>
              <w:t>Summary</w:t>
            </w: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jc w:val="center"/>
              <w:ind w:right="186"/>
              <w:spacing w:after="0" w:line="102" w:lineRule="exact"/>
              <w:rPr>
                <w:sz w:val="20"/>
                <w:szCs w:val="20"/>
                <w:color w:val="auto"/>
              </w:rPr>
            </w:pPr>
            <w:r>
              <w:rPr>
                <w:rFonts w:ascii="Arial" w:cs="Arial" w:eastAsia="Arial" w:hAnsi="Arial"/>
                <w:sz w:val="11"/>
                <w:szCs w:val="11"/>
                <w:b w:val="1"/>
                <w:bCs w:val="1"/>
                <w:color w:val="052666"/>
                <w:w w:val="99"/>
              </w:rPr>
              <w:t>Summary</w:t>
            </w:r>
          </w:p>
        </w:tc>
        <w:tc>
          <w:tcPr>
            <w:tcW w:w="220" w:type="dxa"/>
            <w:vAlign w:val="bottom"/>
          </w:tcPr>
          <w:p>
            <w:pPr>
              <w:spacing w:after="0"/>
              <w:rPr>
                <w:sz w:val="8"/>
                <w:szCs w:val="8"/>
                <w:color w:val="auto"/>
              </w:rPr>
            </w:pPr>
          </w:p>
        </w:tc>
        <w:tc>
          <w:tcPr>
            <w:tcW w:w="1060" w:type="dxa"/>
            <w:vAlign w:val="bottom"/>
          </w:tcPr>
          <w:p>
            <w:pPr>
              <w:jc w:val="center"/>
              <w:ind w:right="188"/>
              <w:spacing w:after="0" w:line="102" w:lineRule="exact"/>
              <w:rPr>
                <w:sz w:val="20"/>
                <w:szCs w:val="20"/>
                <w:color w:val="auto"/>
              </w:rPr>
            </w:pPr>
            <w:r>
              <w:rPr>
                <w:rFonts w:ascii="Arial" w:cs="Arial" w:eastAsia="Arial" w:hAnsi="Arial"/>
                <w:sz w:val="11"/>
                <w:szCs w:val="11"/>
                <w:b w:val="1"/>
                <w:bCs w:val="1"/>
                <w:color w:val="052666"/>
                <w:w w:val="96"/>
              </w:rPr>
              <w:t>Compensation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jc w:val="center"/>
              <w:ind w:right="166"/>
              <w:spacing w:after="0" w:line="102" w:lineRule="exact"/>
              <w:rPr>
                <w:sz w:val="20"/>
                <w:szCs w:val="20"/>
                <w:color w:val="auto"/>
              </w:rPr>
            </w:pPr>
            <w:r>
              <w:rPr>
                <w:rFonts w:ascii="Arial" w:cs="Arial" w:eastAsia="Arial" w:hAnsi="Arial"/>
                <w:sz w:val="11"/>
                <w:szCs w:val="11"/>
                <w:b w:val="1"/>
                <w:bCs w:val="1"/>
                <w:color w:val="052666"/>
              </w:rPr>
              <w:t>Peer Group</w:t>
            </w: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jc w:val="center"/>
              <w:ind w:right="226"/>
              <w:spacing w:after="0" w:line="102" w:lineRule="exact"/>
              <w:rPr>
                <w:sz w:val="20"/>
                <w:szCs w:val="20"/>
                <w:color w:val="auto"/>
              </w:rPr>
            </w:pPr>
            <w:r>
              <w:rPr>
                <w:rFonts w:ascii="Arial" w:cs="Arial" w:eastAsia="Arial" w:hAnsi="Arial"/>
                <w:sz w:val="11"/>
                <w:szCs w:val="11"/>
                <w:b w:val="1"/>
                <w:bCs w:val="1"/>
                <w:color w:val="052666"/>
                <w:w w:val="97"/>
              </w:rPr>
              <w:t>Adjusted</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jc w:val="center"/>
              <w:ind w:right="148"/>
              <w:spacing w:after="0" w:line="122" w:lineRule="exact"/>
              <w:rPr>
                <w:sz w:val="20"/>
                <w:szCs w:val="20"/>
                <w:color w:val="auto"/>
              </w:rPr>
            </w:pPr>
            <w:r>
              <w:rPr>
                <w:rFonts w:ascii="Arial" w:cs="Arial" w:eastAsia="Arial" w:hAnsi="Arial"/>
                <w:sz w:val="11"/>
                <w:szCs w:val="11"/>
                <w:b w:val="1"/>
                <w:bCs w:val="1"/>
                <w:color w:val="052666"/>
                <w:w w:val="96"/>
              </w:rPr>
              <w:t>Compensation</w:t>
            </w:r>
          </w:p>
        </w:tc>
        <w:tc>
          <w:tcPr>
            <w:tcW w:w="220" w:type="dxa"/>
            <w:vAlign w:val="bottom"/>
          </w:tcPr>
          <w:p>
            <w:pPr>
              <w:spacing w:after="0"/>
              <w:rPr>
                <w:sz w:val="10"/>
                <w:szCs w:val="10"/>
                <w:color w:val="auto"/>
              </w:rPr>
            </w:pPr>
          </w:p>
        </w:tc>
        <w:tc>
          <w:tcPr>
            <w:tcW w:w="108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6"/>
              </w:rPr>
              <w:t>Compensation</w:t>
            </w:r>
          </w:p>
        </w:tc>
        <w:tc>
          <w:tcPr>
            <w:tcW w:w="220" w:type="dxa"/>
            <w:vAlign w:val="bottom"/>
          </w:tcPr>
          <w:p>
            <w:pPr>
              <w:spacing w:after="0"/>
              <w:rPr>
                <w:sz w:val="10"/>
                <w:szCs w:val="10"/>
                <w:color w:val="auto"/>
              </w:rPr>
            </w:pPr>
          </w:p>
        </w:tc>
        <w:tc>
          <w:tcPr>
            <w:tcW w:w="106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052666"/>
                <w:w w:val="96"/>
              </w:rPr>
              <w:t>Compensation</w:t>
            </w:r>
          </w:p>
        </w:tc>
        <w:tc>
          <w:tcPr>
            <w:tcW w:w="220" w:type="dxa"/>
            <w:vAlign w:val="bottom"/>
          </w:tcPr>
          <w:p>
            <w:pPr>
              <w:spacing w:after="0"/>
              <w:rPr>
                <w:sz w:val="10"/>
                <w:szCs w:val="10"/>
                <w:color w:val="auto"/>
              </w:rPr>
            </w:pPr>
          </w:p>
        </w:tc>
        <w:tc>
          <w:tcPr>
            <w:tcW w:w="1060" w:type="dxa"/>
            <w:vAlign w:val="bottom"/>
          </w:tcPr>
          <w:p>
            <w:pPr>
              <w:jc w:val="center"/>
              <w:ind w:right="168"/>
              <w:spacing w:after="0" w:line="122" w:lineRule="exact"/>
              <w:rPr>
                <w:sz w:val="20"/>
                <w:szCs w:val="20"/>
                <w:color w:val="auto"/>
              </w:rPr>
            </w:pPr>
            <w:r>
              <w:rPr>
                <w:rFonts w:ascii="Arial" w:cs="Arial" w:eastAsia="Arial" w:hAnsi="Arial"/>
                <w:sz w:val="11"/>
                <w:szCs w:val="11"/>
                <w:b w:val="1"/>
                <w:bCs w:val="1"/>
                <w:color w:val="052666"/>
                <w:w w:val="98"/>
              </w:rPr>
              <w:t>Actually Paid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166"/>
              <w:spacing w:after="0" w:line="122" w:lineRule="exact"/>
              <w:rPr>
                <w:sz w:val="20"/>
                <w:szCs w:val="20"/>
                <w:color w:val="auto"/>
              </w:rPr>
            </w:pPr>
            <w:r>
              <w:rPr>
                <w:rFonts w:ascii="Arial" w:cs="Arial" w:eastAsia="Arial" w:hAnsi="Arial"/>
                <w:sz w:val="11"/>
                <w:szCs w:val="11"/>
                <w:b w:val="1"/>
                <w:bCs w:val="1"/>
                <w:color w:val="052666"/>
                <w:w w:val="98"/>
              </w:rPr>
              <w:t>Total</w:t>
            </w:r>
          </w:p>
        </w:tc>
        <w:tc>
          <w:tcPr>
            <w:tcW w:w="220" w:type="dxa"/>
            <w:vAlign w:val="bottom"/>
          </w:tcPr>
          <w:p>
            <w:pPr>
              <w:spacing w:after="0"/>
              <w:rPr>
                <w:sz w:val="10"/>
                <w:szCs w:val="10"/>
                <w:color w:val="auto"/>
              </w:rPr>
            </w:pPr>
          </w:p>
        </w:tc>
        <w:tc>
          <w:tcPr>
            <w:tcW w:w="94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052666"/>
                <w:w w:val="98"/>
              </w:rPr>
              <w:t>Total</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052666"/>
                <w:w w:val="97"/>
              </w:rPr>
              <w:t>Earnings</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jc w:val="center"/>
              <w:ind w:right="148"/>
              <w:spacing w:after="0" w:line="108" w:lineRule="exact"/>
              <w:rPr>
                <w:sz w:val="20"/>
                <w:szCs w:val="20"/>
                <w:color w:val="auto"/>
              </w:rPr>
            </w:pPr>
            <w:r>
              <w:rPr>
                <w:rFonts w:ascii="Arial" w:cs="Arial" w:eastAsia="Arial" w:hAnsi="Arial"/>
                <w:sz w:val="11"/>
                <w:szCs w:val="11"/>
                <w:b w:val="1"/>
                <w:bCs w:val="1"/>
                <w:color w:val="052666"/>
                <w:w w:val="97"/>
              </w:rPr>
              <w:t>Table Total for</w:t>
            </w:r>
          </w:p>
        </w:tc>
        <w:tc>
          <w:tcPr>
            <w:tcW w:w="220" w:type="dxa"/>
            <w:vAlign w:val="bottom"/>
          </w:tcPr>
          <w:p>
            <w:pPr>
              <w:spacing w:after="0"/>
              <w:rPr>
                <w:sz w:val="9"/>
                <w:szCs w:val="9"/>
                <w:color w:val="auto"/>
              </w:rPr>
            </w:pPr>
          </w:p>
        </w:tc>
        <w:tc>
          <w:tcPr>
            <w:tcW w:w="1080" w:type="dxa"/>
            <w:vAlign w:val="bottom"/>
          </w:tcPr>
          <w:p>
            <w:pPr>
              <w:jc w:val="center"/>
              <w:ind w:right="186"/>
              <w:spacing w:after="0" w:line="108" w:lineRule="exact"/>
              <w:rPr>
                <w:sz w:val="20"/>
                <w:szCs w:val="20"/>
                <w:color w:val="auto"/>
              </w:rPr>
            </w:pPr>
            <w:r>
              <w:rPr>
                <w:rFonts w:ascii="Arial" w:cs="Arial" w:eastAsia="Arial" w:hAnsi="Arial"/>
                <w:sz w:val="11"/>
                <w:szCs w:val="11"/>
                <w:b w:val="1"/>
                <w:bCs w:val="1"/>
                <w:color w:val="052666"/>
                <w:w w:val="98"/>
              </w:rPr>
              <w:t>Actually Paid</w:t>
            </w:r>
          </w:p>
        </w:tc>
        <w:tc>
          <w:tcPr>
            <w:tcW w:w="220" w:type="dxa"/>
            <w:vAlign w:val="bottom"/>
          </w:tcPr>
          <w:p>
            <w:pPr>
              <w:spacing w:after="0"/>
              <w:rPr>
                <w:sz w:val="9"/>
                <w:szCs w:val="9"/>
                <w:color w:val="auto"/>
              </w:rPr>
            </w:pPr>
          </w:p>
        </w:tc>
        <w:tc>
          <w:tcPr>
            <w:tcW w:w="1060" w:type="dxa"/>
            <w:vAlign w:val="bottom"/>
          </w:tcPr>
          <w:p>
            <w:pPr>
              <w:jc w:val="center"/>
              <w:ind w:right="186"/>
              <w:spacing w:after="0" w:line="108" w:lineRule="exact"/>
              <w:rPr>
                <w:sz w:val="20"/>
                <w:szCs w:val="20"/>
                <w:color w:val="auto"/>
              </w:rPr>
            </w:pPr>
            <w:r>
              <w:rPr>
                <w:rFonts w:ascii="Arial" w:cs="Arial" w:eastAsia="Arial" w:hAnsi="Arial"/>
                <w:sz w:val="11"/>
                <w:szCs w:val="11"/>
                <w:b w:val="1"/>
                <w:bCs w:val="1"/>
                <w:color w:val="052666"/>
                <w:w w:val="97"/>
              </w:rPr>
              <w:t>Table Total for</w:t>
            </w:r>
          </w:p>
        </w:tc>
        <w:tc>
          <w:tcPr>
            <w:tcW w:w="220" w:type="dxa"/>
            <w:vAlign w:val="bottom"/>
          </w:tcPr>
          <w:p>
            <w:pPr>
              <w:spacing w:after="0"/>
              <w:rPr>
                <w:sz w:val="9"/>
                <w:szCs w:val="9"/>
                <w:color w:val="auto"/>
              </w:rPr>
            </w:pPr>
          </w:p>
        </w:tc>
        <w:tc>
          <w:tcPr>
            <w:tcW w:w="1060" w:type="dxa"/>
            <w:vAlign w:val="bottom"/>
          </w:tcPr>
          <w:p>
            <w:pPr>
              <w:jc w:val="center"/>
              <w:ind w:right="188"/>
              <w:spacing w:after="0" w:line="108" w:lineRule="exact"/>
              <w:rPr>
                <w:sz w:val="20"/>
                <w:szCs w:val="20"/>
                <w:color w:val="auto"/>
              </w:rPr>
            </w:pPr>
            <w:r>
              <w:rPr>
                <w:rFonts w:ascii="Arial" w:cs="Arial" w:eastAsia="Arial" w:hAnsi="Arial"/>
                <w:sz w:val="11"/>
                <w:szCs w:val="11"/>
                <w:b w:val="1"/>
                <w:bCs w:val="1"/>
                <w:color w:val="052666"/>
                <w:w w:val="97"/>
              </w:rPr>
              <w:t>for Other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052666"/>
                <w:w w:val="96"/>
              </w:rPr>
              <w:t>Shareholder</w:t>
            </w:r>
          </w:p>
        </w:tc>
        <w:tc>
          <w:tcPr>
            <w:tcW w:w="220" w:type="dxa"/>
            <w:vAlign w:val="bottom"/>
          </w:tcPr>
          <w:p>
            <w:pPr>
              <w:spacing w:after="0"/>
              <w:rPr>
                <w:sz w:val="9"/>
                <w:szCs w:val="9"/>
                <w:color w:val="auto"/>
              </w:rPr>
            </w:pPr>
          </w:p>
        </w:tc>
        <w:tc>
          <w:tcPr>
            <w:tcW w:w="94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052666"/>
                <w:w w:val="99"/>
              </w:rPr>
              <w:t>Shareholder</w:t>
            </w:r>
          </w:p>
        </w:tc>
        <w:tc>
          <w:tcPr>
            <w:tcW w:w="1160" w:type="dxa"/>
            <w:vAlign w:val="bottom"/>
            <w:gridSpan w:val="2"/>
          </w:tcPr>
          <w:p>
            <w:pPr>
              <w:jc w:val="right"/>
              <w:ind w:right="126"/>
              <w:spacing w:after="0" w:line="108" w:lineRule="exact"/>
              <w:rPr>
                <w:sz w:val="20"/>
                <w:szCs w:val="20"/>
                <w:color w:val="auto"/>
              </w:rPr>
            </w:pPr>
            <w:r>
              <w:rPr>
                <w:rFonts w:ascii="Arial" w:cs="Arial" w:eastAsia="Arial" w:hAnsi="Arial"/>
                <w:sz w:val="11"/>
                <w:szCs w:val="11"/>
                <w:b w:val="1"/>
                <w:bCs w:val="1"/>
                <w:color w:val="052666"/>
              </w:rPr>
              <w:t>Net Income ($ in</w:t>
            </w:r>
          </w:p>
        </w:tc>
        <w:tc>
          <w:tcPr>
            <w:tcW w:w="260" w:type="dxa"/>
            <w:vAlign w:val="bottom"/>
          </w:tcPr>
          <w:p>
            <w:pPr>
              <w:spacing w:after="0"/>
              <w:rPr>
                <w:sz w:val="9"/>
                <w:szCs w:val="9"/>
                <w:color w:val="auto"/>
              </w:rPr>
            </w:pPr>
          </w:p>
        </w:tc>
        <w:tc>
          <w:tcPr>
            <w:tcW w:w="1020" w:type="dxa"/>
            <w:vAlign w:val="bottom"/>
          </w:tcPr>
          <w:p>
            <w:pPr>
              <w:jc w:val="center"/>
              <w:ind w:right="246"/>
              <w:spacing w:after="0" w:line="108" w:lineRule="exact"/>
              <w:rPr>
                <w:sz w:val="20"/>
                <w:szCs w:val="20"/>
                <w:color w:val="auto"/>
              </w:rPr>
            </w:pPr>
            <w:r>
              <w:rPr>
                <w:rFonts w:ascii="Arial" w:cs="Arial" w:eastAsia="Arial" w:hAnsi="Arial"/>
                <w:sz w:val="11"/>
                <w:szCs w:val="11"/>
                <w:b w:val="1"/>
                <w:bCs w:val="1"/>
                <w:color w:val="052666"/>
                <w:w w:val="98"/>
              </w:rPr>
              <w:t>per share,</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052666"/>
            </w:tcBorders>
          </w:tcPr>
          <w:p>
            <w:pPr>
              <w:ind w:left="560"/>
              <w:spacing w:after="0"/>
              <w:rPr>
                <w:sz w:val="20"/>
                <w:szCs w:val="20"/>
                <w:color w:val="auto"/>
              </w:rPr>
            </w:pPr>
            <w:r>
              <w:rPr>
                <w:rFonts w:ascii="Arial" w:cs="Arial" w:eastAsia="Arial" w:hAnsi="Arial"/>
                <w:sz w:val="11"/>
                <w:szCs w:val="11"/>
                <w:b w:val="1"/>
                <w:bCs w:val="1"/>
                <w:color w:val="052666"/>
              </w:rPr>
              <w:t>Year</w:t>
            </w:r>
          </w:p>
        </w:tc>
        <w:tc>
          <w:tcPr>
            <w:tcW w:w="440" w:type="dxa"/>
            <w:vAlign w:val="bottom"/>
            <w:tcBorders>
              <w:bottom w:val="single" w:sz="8" w:color="052666"/>
            </w:tcBorders>
          </w:tcPr>
          <w:p>
            <w:pPr>
              <w:spacing w:after="0"/>
              <w:rPr>
                <w:sz w:val="15"/>
                <w:szCs w:val="15"/>
                <w:color w:val="auto"/>
              </w:rPr>
            </w:pPr>
          </w:p>
        </w:tc>
        <w:tc>
          <w:tcPr>
            <w:tcW w:w="1060" w:type="dxa"/>
            <w:vAlign w:val="bottom"/>
            <w:tcBorders>
              <w:bottom w:val="single" w:sz="8" w:color="052666"/>
            </w:tcBorders>
          </w:tcPr>
          <w:p>
            <w:pPr>
              <w:jc w:val="center"/>
              <w:ind w:right="168"/>
              <w:spacing w:after="0" w:line="149" w:lineRule="exact"/>
              <w:rPr>
                <w:sz w:val="20"/>
                <w:szCs w:val="20"/>
                <w:color w:val="auto"/>
              </w:rPr>
            </w:pPr>
            <w:r>
              <w:rPr>
                <w:rFonts w:ascii="Arial" w:cs="Arial" w:eastAsia="Arial" w:hAnsi="Arial"/>
                <w:sz w:val="17"/>
                <w:szCs w:val="17"/>
                <w:b w:val="1"/>
                <w:bCs w:val="1"/>
                <w:color w:val="052666"/>
                <w:vertAlign w:val="subscript"/>
              </w:rPr>
              <w:t>CEO</w:t>
            </w:r>
            <w:r>
              <w:rPr>
                <w:rFonts w:ascii="Arial" w:cs="Arial" w:eastAsia="Arial" w:hAnsi="Arial"/>
                <w:sz w:val="6"/>
                <w:szCs w:val="6"/>
                <w:b w:val="1"/>
                <w:bCs w:val="1"/>
                <w:color w:val="052666"/>
              </w:rPr>
              <w:t>(1)</w:t>
            </w:r>
          </w:p>
        </w:tc>
        <w:tc>
          <w:tcPr>
            <w:tcW w:w="220" w:type="dxa"/>
            <w:vAlign w:val="bottom"/>
            <w:tcBorders>
              <w:bottom w:val="single" w:sz="8" w:color="052666"/>
            </w:tcBorders>
          </w:tcPr>
          <w:p>
            <w:pPr>
              <w:spacing w:after="0"/>
              <w:rPr>
                <w:sz w:val="15"/>
                <w:szCs w:val="15"/>
                <w:color w:val="auto"/>
              </w:rPr>
            </w:pPr>
          </w:p>
        </w:tc>
        <w:tc>
          <w:tcPr>
            <w:tcW w:w="1080" w:type="dxa"/>
            <w:vAlign w:val="bottom"/>
            <w:tcBorders>
              <w:bottom w:val="single" w:sz="8" w:color="052666"/>
            </w:tcBorders>
          </w:tcPr>
          <w:p>
            <w:pPr>
              <w:jc w:val="center"/>
              <w:ind w:right="166"/>
              <w:spacing w:after="0" w:line="149" w:lineRule="exact"/>
              <w:rPr>
                <w:sz w:val="20"/>
                <w:szCs w:val="20"/>
                <w:color w:val="auto"/>
              </w:rPr>
            </w:pPr>
            <w:r>
              <w:rPr>
                <w:rFonts w:ascii="Arial" w:cs="Arial" w:eastAsia="Arial" w:hAnsi="Arial"/>
                <w:sz w:val="11"/>
                <w:szCs w:val="11"/>
                <w:b w:val="1"/>
                <w:bCs w:val="1"/>
                <w:color w:val="052666"/>
                <w:w w:val="94"/>
              </w:rPr>
              <w:t>to CEO</w:t>
            </w:r>
            <w:r>
              <w:rPr>
                <w:rFonts w:ascii="Arial" w:cs="Arial" w:eastAsia="Arial" w:hAnsi="Arial"/>
                <w:sz w:val="14"/>
                <w:szCs w:val="14"/>
                <w:b w:val="1"/>
                <w:bCs w:val="1"/>
                <w:color w:val="052666"/>
                <w:w w:val="94"/>
                <w:vertAlign w:val="superscript"/>
              </w:rPr>
              <w:t>(2)</w:t>
            </w:r>
          </w:p>
        </w:tc>
        <w:tc>
          <w:tcPr>
            <w:tcW w:w="220" w:type="dxa"/>
            <w:vAlign w:val="bottom"/>
            <w:tcBorders>
              <w:bottom w:val="single" w:sz="8" w:color="052666"/>
            </w:tcBorders>
          </w:tcPr>
          <w:p>
            <w:pPr>
              <w:spacing w:after="0"/>
              <w:rPr>
                <w:sz w:val="15"/>
                <w:szCs w:val="15"/>
                <w:color w:val="auto"/>
              </w:rPr>
            </w:pPr>
          </w:p>
        </w:tc>
        <w:tc>
          <w:tcPr>
            <w:tcW w:w="1060" w:type="dxa"/>
            <w:vAlign w:val="bottom"/>
            <w:tcBorders>
              <w:bottom w:val="single" w:sz="8" w:color="052666"/>
            </w:tcBorders>
          </w:tcPr>
          <w:p>
            <w:pPr>
              <w:jc w:val="center"/>
              <w:ind w:right="186"/>
              <w:spacing w:after="0" w:line="149" w:lineRule="exact"/>
              <w:rPr>
                <w:sz w:val="20"/>
                <w:szCs w:val="20"/>
                <w:color w:val="auto"/>
              </w:rPr>
            </w:pPr>
            <w:r>
              <w:rPr>
                <w:rFonts w:ascii="Arial" w:cs="Arial" w:eastAsia="Arial" w:hAnsi="Arial"/>
                <w:sz w:val="11"/>
                <w:szCs w:val="11"/>
                <w:b w:val="1"/>
                <w:bCs w:val="1"/>
                <w:color w:val="052666"/>
                <w:w w:val="94"/>
              </w:rPr>
              <w:t>Other NEOs</w:t>
            </w:r>
            <w:r>
              <w:rPr>
                <w:rFonts w:ascii="Arial" w:cs="Arial" w:eastAsia="Arial" w:hAnsi="Arial"/>
                <w:sz w:val="14"/>
                <w:szCs w:val="14"/>
                <w:b w:val="1"/>
                <w:bCs w:val="1"/>
                <w:color w:val="052666"/>
                <w:w w:val="94"/>
                <w:vertAlign w:val="superscript"/>
              </w:rPr>
              <w:t>(1)</w:t>
            </w:r>
          </w:p>
        </w:tc>
        <w:tc>
          <w:tcPr>
            <w:tcW w:w="220" w:type="dxa"/>
            <w:vAlign w:val="bottom"/>
            <w:tcBorders>
              <w:bottom w:val="single" w:sz="8" w:color="052666"/>
            </w:tcBorders>
          </w:tcPr>
          <w:p>
            <w:pPr>
              <w:spacing w:after="0"/>
              <w:rPr>
                <w:sz w:val="15"/>
                <w:szCs w:val="15"/>
                <w:color w:val="auto"/>
              </w:rPr>
            </w:pPr>
          </w:p>
        </w:tc>
        <w:tc>
          <w:tcPr>
            <w:tcW w:w="1060" w:type="dxa"/>
            <w:vAlign w:val="bottom"/>
            <w:tcBorders>
              <w:bottom w:val="single" w:sz="8" w:color="052666"/>
            </w:tcBorders>
          </w:tcPr>
          <w:p>
            <w:pPr>
              <w:jc w:val="center"/>
              <w:ind w:right="188"/>
              <w:spacing w:after="0" w:line="149" w:lineRule="exact"/>
              <w:rPr>
                <w:sz w:val="20"/>
                <w:szCs w:val="20"/>
                <w:color w:val="auto"/>
              </w:rPr>
            </w:pPr>
            <w:r>
              <w:rPr>
                <w:rFonts w:ascii="Arial" w:cs="Arial" w:eastAsia="Arial" w:hAnsi="Arial"/>
                <w:sz w:val="17"/>
                <w:szCs w:val="17"/>
                <w:b w:val="1"/>
                <w:bCs w:val="1"/>
                <w:color w:val="052666"/>
                <w:vertAlign w:val="subscript"/>
              </w:rPr>
              <w:t>NEOs</w:t>
            </w:r>
            <w:r>
              <w:rPr>
                <w:rFonts w:ascii="Arial" w:cs="Arial" w:eastAsia="Arial" w:hAnsi="Arial"/>
                <w:sz w:val="6"/>
                <w:szCs w:val="6"/>
                <w:b w:val="1"/>
                <w:bCs w:val="1"/>
                <w:color w:val="052666"/>
              </w:rPr>
              <w:t>(1)(2)</w:t>
            </w:r>
          </w:p>
        </w:tc>
        <w:tc>
          <w:tcPr>
            <w:tcW w:w="100" w:type="dxa"/>
            <w:vAlign w:val="bottom"/>
            <w:tcBorders>
              <w:bottom w:val="single" w:sz="8" w:color="052666"/>
            </w:tcBorders>
          </w:tcPr>
          <w:p>
            <w:pPr>
              <w:spacing w:after="0"/>
              <w:rPr>
                <w:sz w:val="15"/>
                <w:szCs w:val="15"/>
                <w:color w:val="auto"/>
              </w:rPr>
            </w:pPr>
          </w:p>
        </w:tc>
        <w:tc>
          <w:tcPr>
            <w:tcW w:w="120" w:type="dxa"/>
            <w:vAlign w:val="bottom"/>
            <w:tcBorders>
              <w:bottom w:val="single" w:sz="8" w:color="052666"/>
            </w:tcBorders>
          </w:tcPr>
          <w:p>
            <w:pPr>
              <w:spacing w:after="0"/>
              <w:rPr>
                <w:sz w:val="15"/>
                <w:szCs w:val="15"/>
                <w:color w:val="auto"/>
              </w:rPr>
            </w:pPr>
          </w:p>
        </w:tc>
        <w:tc>
          <w:tcPr>
            <w:tcW w:w="920" w:type="dxa"/>
            <w:vAlign w:val="bottom"/>
            <w:tcBorders>
              <w:bottom w:val="single" w:sz="8" w:color="052666"/>
            </w:tcBorders>
          </w:tcPr>
          <w:p>
            <w:pPr>
              <w:jc w:val="center"/>
              <w:ind w:right="166"/>
              <w:spacing w:after="0" w:line="149" w:lineRule="exact"/>
              <w:rPr>
                <w:sz w:val="20"/>
                <w:szCs w:val="20"/>
                <w:color w:val="auto"/>
              </w:rPr>
            </w:pPr>
            <w:r>
              <w:rPr>
                <w:rFonts w:ascii="Arial" w:cs="Arial" w:eastAsia="Arial" w:hAnsi="Arial"/>
                <w:sz w:val="11"/>
                <w:szCs w:val="11"/>
                <w:b w:val="1"/>
                <w:bCs w:val="1"/>
                <w:color w:val="052666"/>
                <w:w w:val="89"/>
              </w:rPr>
              <w:t>Return</w:t>
            </w:r>
            <w:r>
              <w:rPr>
                <w:rFonts w:ascii="Arial" w:cs="Arial" w:eastAsia="Arial" w:hAnsi="Arial"/>
                <w:sz w:val="14"/>
                <w:szCs w:val="14"/>
                <w:b w:val="1"/>
                <w:bCs w:val="1"/>
                <w:color w:val="052666"/>
                <w:w w:val="89"/>
                <w:vertAlign w:val="superscript"/>
              </w:rPr>
              <w:t>(3)</w:t>
            </w:r>
          </w:p>
        </w:tc>
        <w:tc>
          <w:tcPr>
            <w:tcW w:w="220" w:type="dxa"/>
            <w:vAlign w:val="bottom"/>
            <w:tcBorders>
              <w:bottom w:val="single" w:sz="8" w:color="052666"/>
            </w:tcBorders>
          </w:tcPr>
          <w:p>
            <w:pPr>
              <w:spacing w:after="0"/>
              <w:rPr>
                <w:sz w:val="15"/>
                <w:szCs w:val="15"/>
                <w:color w:val="auto"/>
              </w:rPr>
            </w:pPr>
          </w:p>
        </w:tc>
        <w:tc>
          <w:tcPr>
            <w:tcW w:w="940" w:type="dxa"/>
            <w:vAlign w:val="bottom"/>
            <w:tcBorders>
              <w:bottom w:val="single" w:sz="8" w:color="052666"/>
            </w:tcBorders>
          </w:tcPr>
          <w:p>
            <w:pPr>
              <w:jc w:val="center"/>
              <w:ind w:right="166"/>
              <w:spacing w:after="0" w:line="149" w:lineRule="exact"/>
              <w:rPr>
                <w:sz w:val="20"/>
                <w:szCs w:val="20"/>
                <w:color w:val="auto"/>
              </w:rPr>
            </w:pPr>
            <w:r>
              <w:rPr>
                <w:rFonts w:ascii="Arial" w:cs="Arial" w:eastAsia="Arial" w:hAnsi="Arial"/>
                <w:sz w:val="11"/>
                <w:szCs w:val="11"/>
                <w:b w:val="1"/>
                <w:bCs w:val="1"/>
                <w:color w:val="052666"/>
                <w:w w:val="93"/>
              </w:rPr>
              <w:t>Return</w:t>
            </w:r>
            <w:r>
              <w:rPr>
                <w:rFonts w:ascii="Arial" w:cs="Arial" w:eastAsia="Arial" w:hAnsi="Arial"/>
                <w:sz w:val="14"/>
                <w:szCs w:val="14"/>
                <w:b w:val="1"/>
                <w:bCs w:val="1"/>
                <w:color w:val="052666"/>
                <w:w w:val="93"/>
                <w:vertAlign w:val="superscript"/>
              </w:rPr>
              <w:t>(3)</w:t>
            </w:r>
          </w:p>
        </w:tc>
        <w:tc>
          <w:tcPr>
            <w:tcW w:w="220" w:type="dxa"/>
            <w:vAlign w:val="bottom"/>
            <w:tcBorders>
              <w:bottom w:val="single" w:sz="8" w:color="052666"/>
            </w:tcBorders>
          </w:tcPr>
          <w:p>
            <w:pPr>
              <w:spacing w:after="0"/>
              <w:rPr>
                <w:sz w:val="15"/>
                <w:szCs w:val="15"/>
                <w:color w:val="auto"/>
              </w:rPr>
            </w:pPr>
          </w:p>
        </w:tc>
        <w:tc>
          <w:tcPr>
            <w:tcW w:w="940" w:type="dxa"/>
            <w:vAlign w:val="bottom"/>
            <w:tcBorders>
              <w:bottom w:val="single" w:sz="8" w:color="052666"/>
            </w:tcBorders>
          </w:tcPr>
          <w:p>
            <w:pPr>
              <w:jc w:val="right"/>
              <w:ind w:right="246"/>
              <w:spacing w:after="0"/>
              <w:rPr>
                <w:sz w:val="20"/>
                <w:szCs w:val="20"/>
                <w:color w:val="auto"/>
              </w:rPr>
            </w:pPr>
            <w:r>
              <w:rPr>
                <w:rFonts w:ascii="Arial" w:cs="Arial" w:eastAsia="Arial" w:hAnsi="Arial"/>
                <w:sz w:val="11"/>
                <w:szCs w:val="11"/>
                <w:b w:val="1"/>
                <w:bCs w:val="1"/>
                <w:color w:val="052666"/>
              </w:rPr>
              <w:t>thousands)</w:t>
            </w:r>
          </w:p>
        </w:tc>
        <w:tc>
          <w:tcPr>
            <w:tcW w:w="260" w:type="dxa"/>
            <w:vAlign w:val="bottom"/>
            <w:tcBorders>
              <w:bottom w:val="single" w:sz="8" w:color="052666"/>
            </w:tcBorders>
          </w:tcPr>
          <w:p>
            <w:pPr>
              <w:spacing w:after="0"/>
              <w:rPr>
                <w:sz w:val="15"/>
                <w:szCs w:val="15"/>
                <w:color w:val="auto"/>
              </w:rPr>
            </w:pPr>
          </w:p>
        </w:tc>
        <w:tc>
          <w:tcPr>
            <w:tcW w:w="1020" w:type="dxa"/>
            <w:vAlign w:val="bottom"/>
            <w:tcBorders>
              <w:bottom w:val="single" w:sz="8" w:color="052666"/>
            </w:tcBorders>
          </w:tcPr>
          <w:p>
            <w:pPr>
              <w:jc w:val="center"/>
              <w:ind w:right="246"/>
              <w:spacing w:after="0" w:line="149" w:lineRule="exact"/>
              <w:rPr>
                <w:sz w:val="20"/>
                <w:szCs w:val="20"/>
                <w:color w:val="auto"/>
              </w:rPr>
            </w:pPr>
            <w:r>
              <w:rPr>
                <w:rFonts w:ascii="Arial" w:cs="Arial" w:eastAsia="Arial" w:hAnsi="Arial"/>
                <w:sz w:val="11"/>
                <w:szCs w:val="11"/>
                <w:b w:val="1"/>
                <w:bCs w:val="1"/>
                <w:color w:val="052666"/>
                <w:w w:val="92"/>
              </w:rPr>
              <w:t>diluted</w:t>
            </w:r>
            <w:r>
              <w:rPr>
                <w:rFonts w:ascii="Arial" w:cs="Arial" w:eastAsia="Arial" w:hAnsi="Arial"/>
                <w:sz w:val="14"/>
                <w:szCs w:val="14"/>
                <w:b w:val="1"/>
                <w:bCs w:val="1"/>
                <w:color w:val="052666"/>
                <w:w w:val="92"/>
                <w:vertAlign w:val="superscript"/>
              </w:rPr>
              <w:t>(4)</w:t>
            </w:r>
          </w:p>
        </w:tc>
        <w:tc>
          <w:tcPr>
            <w:tcW w:w="0" w:type="dxa"/>
            <w:vAlign w:val="bottom"/>
          </w:tcPr>
          <w:p>
            <w:pPr>
              <w:spacing w:after="0"/>
              <w:rPr>
                <w:sz w:val="1"/>
                <w:szCs w:val="1"/>
                <w:color w:val="auto"/>
              </w:rPr>
            </w:pPr>
          </w:p>
        </w:tc>
      </w:tr>
      <w:tr>
        <w:trPr>
          <w:trHeight w:val="142"/>
        </w:trPr>
        <w:tc>
          <w:tcPr>
            <w:tcW w:w="1140" w:type="dxa"/>
            <w:vAlign w:val="bottom"/>
            <w:tcBorders>
              <w:top w:val="single" w:sz="8" w:color="EDEDED"/>
            </w:tcBorders>
          </w:tcPr>
          <w:p>
            <w:pPr>
              <w:ind w:left="560"/>
              <w:spacing w:after="0"/>
              <w:rPr>
                <w:sz w:val="20"/>
                <w:szCs w:val="20"/>
                <w:color w:val="auto"/>
              </w:rPr>
            </w:pPr>
            <w:r>
              <w:rPr>
                <w:rFonts w:ascii="Arial" w:cs="Arial" w:eastAsia="Arial" w:hAnsi="Arial"/>
                <w:sz w:val="11"/>
                <w:szCs w:val="11"/>
                <w:color w:val="auto"/>
              </w:rPr>
              <w:t>2025</w:t>
            </w:r>
          </w:p>
        </w:tc>
        <w:tc>
          <w:tcPr>
            <w:tcW w:w="440" w:type="dxa"/>
            <w:vAlign w:val="bottom"/>
            <w:tcBorders>
              <w:top w:val="single" w:sz="8" w:color="EDEDED"/>
            </w:tcBorders>
            <w:vMerge w:val="restart"/>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top w:val="single" w:sz="8" w:color="EDEDED"/>
            </w:tcBorders>
            <w:vMerge w:val="restart"/>
          </w:tcPr>
          <w:p>
            <w:pPr>
              <w:jc w:val="right"/>
              <w:ind w:right="48"/>
              <w:spacing w:after="0"/>
              <w:rPr>
                <w:sz w:val="20"/>
                <w:szCs w:val="20"/>
                <w:color w:val="auto"/>
              </w:rPr>
            </w:pPr>
            <w:r>
              <w:rPr>
                <w:rFonts w:ascii="Arial" w:cs="Arial" w:eastAsia="Arial" w:hAnsi="Arial"/>
                <w:sz w:val="11"/>
                <w:szCs w:val="11"/>
                <w:color w:val="auto"/>
              </w:rPr>
              <w:t>16,148,937</w:t>
            </w:r>
          </w:p>
        </w:tc>
        <w:tc>
          <w:tcPr>
            <w:tcW w:w="220" w:type="dxa"/>
            <w:vAlign w:val="bottom"/>
            <w:tcBorders>
              <w:top w:val="single" w:sz="8" w:color="EDEDED"/>
            </w:tcBorders>
            <w:vMerge w:val="restart"/>
          </w:tcPr>
          <w:p>
            <w:pPr>
              <w:jc w:val="right"/>
              <w:spacing w:after="0"/>
              <w:rPr>
                <w:sz w:val="20"/>
                <w:szCs w:val="20"/>
                <w:color w:val="auto"/>
              </w:rPr>
            </w:pPr>
            <w:r>
              <w:rPr>
                <w:rFonts w:ascii="Arial" w:cs="Arial" w:eastAsia="Arial" w:hAnsi="Arial"/>
                <w:sz w:val="11"/>
                <w:szCs w:val="11"/>
                <w:color w:val="auto"/>
              </w:rPr>
              <w:t>$</w:t>
            </w:r>
          </w:p>
        </w:tc>
        <w:tc>
          <w:tcPr>
            <w:tcW w:w="1080" w:type="dxa"/>
            <w:vAlign w:val="bottom"/>
            <w:tcBorders>
              <w:top w:val="single" w:sz="8" w:color="EDEDED"/>
            </w:tcBorders>
            <w:vMerge w:val="restart"/>
          </w:tcPr>
          <w:p>
            <w:pPr>
              <w:jc w:val="right"/>
              <w:ind w:right="66"/>
              <w:spacing w:after="0"/>
              <w:rPr>
                <w:sz w:val="20"/>
                <w:szCs w:val="20"/>
                <w:color w:val="auto"/>
              </w:rPr>
            </w:pPr>
            <w:r>
              <w:rPr>
                <w:rFonts w:ascii="Arial" w:cs="Arial" w:eastAsia="Arial" w:hAnsi="Arial"/>
                <w:sz w:val="11"/>
                <w:szCs w:val="11"/>
                <w:color w:val="auto"/>
              </w:rPr>
              <w:t>27,735,374</w:t>
            </w:r>
          </w:p>
        </w:tc>
        <w:tc>
          <w:tcPr>
            <w:tcW w:w="220" w:type="dxa"/>
            <w:vAlign w:val="bottom"/>
            <w:tcBorders>
              <w:top w:val="single" w:sz="8" w:color="EDEDED"/>
            </w:tcBorders>
            <w:vMerge w:val="restart"/>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top w:val="single" w:sz="8" w:color="EDEDED"/>
            </w:tcBorders>
            <w:vMerge w:val="restart"/>
          </w:tcPr>
          <w:p>
            <w:pPr>
              <w:jc w:val="right"/>
              <w:ind w:right="66"/>
              <w:spacing w:after="0"/>
              <w:rPr>
                <w:sz w:val="20"/>
                <w:szCs w:val="20"/>
                <w:color w:val="auto"/>
              </w:rPr>
            </w:pPr>
            <w:r>
              <w:rPr>
                <w:rFonts w:ascii="Arial" w:cs="Arial" w:eastAsia="Arial" w:hAnsi="Arial"/>
                <w:sz w:val="11"/>
                <w:szCs w:val="11"/>
                <w:color w:val="auto"/>
              </w:rPr>
              <w:t>5,530,829</w:t>
            </w:r>
          </w:p>
        </w:tc>
        <w:tc>
          <w:tcPr>
            <w:tcW w:w="220" w:type="dxa"/>
            <w:vAlign w:val="bottom"/>
            <w:tcBorders>
              <w:top w:val="single" w:sz="8" w:color="EDEDED"/>
            </w:tcBorders>
            <w:vMerge w:val="restart"/>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top w:val="single" w:sz="8" w:color="EDEDED"/>
            </w:tcBorders>
            <w:vMerge w:val="restart"/>
          </w:tcPr>
          <w:p>
            <w:pPr>
              <w:jc w:val="right"/>
              <w:ind w:right="68"/>
              <w:spacing w:after="0"/>
              <w:rPr>
                <w:sz w:val="20"/>
                <w:szCs w:val="20"/>
                <w:color w:val="auto"/>
              </w:rPr>
            </w:pPr>
            <w:r>
              <w:rPr>
                <w:rFonts w:ascii="Arial" w:cs="Arial" w:eastAsia="Arial" w:hAnsi="Arial"/>
                <w:sz w:val="11"/>
                <w:szCs w:val="11"/>
                <w:color w:val="auto"/>
              </w:rPr>
              <w:t>9,126,950</w:t>
            </w:r>
          </w:p>
        </w:tc>
        <w:tc>
          <w:tcPr>
            <w:tcW w:w="220" w:type="dxa"/>
            <w:vAlign w:val="bottom"/>
            <w:tcBorders>
              <w:top w:val="single" w:sz="8" w:color="EDEDED"/>
            </w:tcBorders>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tcBorders>
              <w:top w:val="single" w:sz="8" w:color="EDEDED"/>
            </w:tcBorders>
            <w:vMerge w:val="restart"/>
          </w:tcPr>
          <w:p>
            <w:pPr>
              <w:jc w:val="right"/>
              <w:ind w:right="66"/>
              <w:spacing w:after="0"/>
              <w:rPr>
                <w:sz w:val="20"/>
                <w:szCs w:val="20"/>
                <w:color w:val="auto"/>
              </w:rPr>
            </w:pPr>
            <w:r>
              <w:rPr>
                <w:rFonts w:ascii="Arial" w:cs="Arial" w:eastAsia="Arial" w:hAnsi="Arial"/>
                <w:sz w:val="11"/>
                <w:szCs w:val="11"/>
                <w:color w:val="auto"/>
              </w:rPr>
              <w:t>163</w:t>
            </w:r>
          </w:p>
        </w:tc>
        <w:tc>
          <w:tcPr>
            <w:tcW w:w="220" w:type="dxa"/>
            <w:vAlign w:val="bottom"/>
            <w:tcBorders>
              <w:top w:val="single" w:sz="8" w:color="EDEDED"/>
            </w:tcBorders>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EDEDED"/>
            </w:tcBorders>
            <w:vMerge w:val="restart"/>
          </w:tcPr>
          <w:p>
            <w:pPr>
              <w:jc w:val="right"/>
              <w:ind w:right="66"/>
              <w:spacing w:after="0"/>
              <w:rPr>
                <w:sz w:val="20"/>
                <w:szCs w:val="20"/>
                <w:color w:val="auto"/>
              </w:rPr>
            </w:pPr>
            <w:r>
              <w:rPr>
                <w:rFonts w:ascii="Arial" w:cs="Arial" w:eastAsia="Arial" w:hAnsi="Arial"/>
                <w:sz w:val="11"/>
                <w:szCs w:val="11"/>
                <w:color w:val="auto"/>
              </w:rPr>
              <w:t>284</w:t>
            </w:r>
          </w:p>
        </w:tc>
        <w:tc>
          <w:tcPr>
            <w:tcW w:w="220" w:type="dxa"/>
            <w:vAlign w:val="bottom"/>
            <w:tcBorders>
              <w:top w:val="single" w:sz="8" w:color="EDEDED"/>
            </w:tcBorders>
            <w:vMerge w:val="restart"/>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EDEDED"/>
            </w:tcBorders>
            <w:vMerge w:val="restart"/>
          </w:tcPr>
          <w:p>
            <w:pPr>
              <w:jc w:val="right"/>
              <w:ind w:right="66"/>
              <w:spacing w:after="0"/>
              <w:rPr>
                <w:sz w:val="20"/>
                <w:szCs w:val="20"/>
                <w:color w:val="auto"/>
              </w:rPr>
            </w:pPr>
            <w:r>
              <w:rPr>
                <w:rFonts w:ascii="Arial" w:cs="Arial" w:eastAsia="Arial" w:hAnsi="Arial"/>
                <w:sz w:val="11"/>
                <w:szCs w:val="11"/>
                <w:color w:val="auto"/>
              </w:rPr>
              <w:t>1,511,182</w:t>
            </w:r>
          </w:p>
        </w:tc>
        <w:tc>
          <w:tcPr>
            <w:tcW w:w="260" w:type="dxa"/>
            <w:vAlign w:val="bottom"/>
            <w:tcBorders>
              <w:top w:val="single" w:sz="8" w:color="EDEDED"/>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top w:val="single" w:sz="8" w:color="EDEDED"/>
            </w:tcBorders>
            <w:vMerge w:val="restart"/>
          </w:tcPr>
          <w:p>
            <w:pPr>
              <w:jc w:val="right"/>
              <w:ind w:right="86"/>
              <w:spacing w:after="0"/>
              <w:rPr>
                <w:sz w:val="20"/>
                <w:szCs w:val="20"/>
                <w:color w:val="auto"/>
              </w:rPr>
            </w:pPr>
            <w:r>
              <w:rPr>
                <w:rFonts w:ascii="Arial" w:cs="Arial" w:eastAsia="Arial" w:hAnsi="Arial"/>
                <w:sz w:val="11"/>
                <w:szCs w:val="11"/>
                <w:color w:val="auto"/>
              </w:rPr>
              <w:t>21.74</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140" w:type="dxa"/>
            <w:vAlign w:val="bottom"/>
            <w:tcBorders>
              <w:bottom w:val="single" w:sz="8" w:color="EDEDED"/>
            </w:tcBorders>
            <w:shd w:val="clear" w:color="auto" w:fill="EDEDED"/>
          </w:tcPr>
          <w:p>
            <w:pPr>
              <w:ind w:left="560"/>
              <w:spacing w:after="0"/>
              <w:rPr>
                <w:sz w:val="20"/>
                <w:szCs w:val="20"/>
                <w:color w:val="auto"/>
              </w:rPr>
            </w:pPr>
            <w:r>
              <w:rPr>
                <w:rFonts w:ascii="Arial" w:cs="Arial" w:eastAsia="Arial" w:hAnsi="Arial"/>
                <w:sz w:val="11"/>
                <w:szCs w:val="11"/>
                <w:color w:val="auto"/>
              </w:rPr>
              <w:t>2024</w:t>
            </w:r>
          </w:p>
        </w:tc>
        <w:tc>
          <w:tcPr>
            <w:tcW w:w="4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EDEDED"/>
            </w:tcBorders>
            <w:shd w:val="clear" w:color="auto" w:fill="EDEDED"/>
          </w:tcPr>
          <w:p>
            <w:pPr>
              <w:jc w:val="right"/>
              <w:ind w:right="48"/>
              <w:spacing w:after="0"/>
              <w:rPr>
                <w:sz w:val="20"/>
                <w:szCs w:val="20"/>
                <w:color w:val="auto"/>
              </w:rPr>
            </w:pPr>
            <w:r>
              <w:rPr>
                <w:rFonts w:ascii="Arial" w:cs="Arial" w:eastAsia="Arial" w:hAnsi="Arial"/>
                <w:sz w:val="11"/>
                <w:szCs w:val="11"/>
                <w:color w:val="auto"/>
              </w:rPr>
              <w:t>15,021,836</w:t>
            </w:r>
          </w:p>
        </w:tc>
        <w:tc>
          <w:tcPr>
            <w:tcW w:w="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25,780,128</w:t>
            </w:r>
          </w:p>
        </w:tc>
        <w:tc>
          <w:tcPr>
            <w:tcW w:w="22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5,449,127</w:t>
            </w:r>
          </w:p>
        </w:tc>
        <w:tc>
          <w:tcPr>
            <w:tcW w:w="22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EDEDED"/>
            </w:tcBorders>
            <w:shd w:val="clear" w:color="auto" w:fill="EDEDED"/>
          </w:tcPr>
          <w:p>
            <w:pPr>
              <w:jc w:val="right"/>
              <w:ind w:right="68"/>
              <w:spacing w:after="0"/>
              <w:rPr>
                <w:sz w:val="20"/>
                <w:szCs w:val="20"/>
                <w:color w:val="auto"/>
              </w:rPr>
            </w:pPr>
            <w:r>
              <w:rPr>
                <w:rFonts w:ascii="Arial" w:cs="Arial" w:eastAsia="Arial" w:hAnsi="Arial"/>
                <w:sz w:val="11"/>
                <w:szCs w:val="11"/>
                <w:color w:val="auto"/>
              </w:rPr>
              <w:t>9,590,254</w:t>
            </w:r>
          </w:p>
        </w:tc>
        <w:tc>
          <w:tcPr>
            <w:tcW w:w="220" w:type="dxa"/>
            <w:vAlign w:val="bottom"/>
            <w:tcBorders>
              <w:bottom w:val="single" w:sz="8" w:color="EDEDED"/>
            </w:tcBorders>
            <w:gridSpan w:val="2"/>
            <w:shd w:val="clear" w:color="auto" w:fill="EDEDED"/>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133</w:t>
            </w:r>
          </w:p>
        </w:tc>
        <w:tc>
          <w:tcPr>
            <w:tcW w:w="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187</w:t>
            </w:r>
          </w:p>
        </w:tc>
        <w:tc>
          <w:tcPr>
            <w:tcW w:w="22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1,163,109</w:t>
            </w:r>
          </w:p>
        </w:tc>
        <w:tc>
          <w:tcPr>
            <w:tcW w:w="260" w:type="dxa"/>
            <w:vAlign w:val="bottom"/>
            <w:tcBorders>
              <w:bottom w:val="single" w:sz="8" w:color="EDEDED"/>
            </w:tcBorders>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EDEDED"/>
            </w:tcBorders>
            <w:shd w:val="clear" w:color="auto" w:fill="EDEDED"/>
          </w:tcPr>
          <w:p>
            <w:pPr>
              <w:jc w:val="right"/>
              <w:ind w:right="86"/>
              <w:spacing w:after="0"/>
              <w:rPr>
                <w:sz w:val="20"/>
                <w:szCs w:val="20"/>
                <w:color w:val="auto"/>
              </w:rPr>
            </w:pPr>
            <w:r>
              <w:rPr>
                <w:rFonts w:ascii="Arial" w:cs="Arial" w:eastAsia="Arial" w:hAnsi="Arial"/>
                <w:sz w:val="11"/>
                <w:szCs w:val="11"/>
                <w:color w:val="auto"/>
              </w:rPr>
              <w:t>16.61</w:t>
            </w:r>
          </w:p>
        </w:tc>
        <w:tc>
          <w:tcPr>
            <w:tcW w:w="0" w:type="dxa"/>
            <w:vAlign w:val="bottom"/>
          </w:tcPr>
          <w:p>
            <w:pPr>
              <w:spacing w:after="0"/>
              <w:rPr>
                <w:sz w:val="1"/>
                <w:szCs w:val="1"/>
                <w:color w:val="auto"/>
              </w:rPr>
            </w:pPr>
          </w:p>
        </w:tc>
      </w:tr>
      <w:tr>
        <w:trPr>
          <w:trHeight w:val="142"/>
        </w:trPr>
        <w:tc>
          <w:tcPr>
            <w:tcW w:w="1140" w:type="dxa"/>
            <w:vAlign w:val="bottom"/>
          </w:tcPr>
          <w:p>
            <w:pPr>
              <w:ind w:left="560"/>
              <w:spacing w:after="0"/>
              <w:rPr>
                <w:sz w:val="20"/>
                <w:szCs w:val="20"/>
                <w:color w:val="auto"/>
              </w:rPr>
            </w:pPr>
            <w:r>
              <w:rPr>
                <w:rFonts w:ascii="Arial" w:cs="Arial" w:eastAsia="Arial" w:hAnsi="Arial"/>
                <w:sz w:val="11"/>
                <w:szCs w:val="11"/>
                <w:color w:val="auto"/>
              </w:rPr>
              <w:t>2023</w:t>
            </w: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1"/>
                <w:szCs w:val="11"/>
                <w:color w:val="auto"/>
              </w:rPr>
              <w:t>14,407,937</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80" w:type="dxa"/>
            <w:vAlign w:val="bottom"/>
            <w:vMerge w:val="restart"/>
          </w:tcPr>
          <w:p>
            <w:pPr>
              <w:jc w:val="right"/>
              <w:ind w:right="66"/>
              <w:spacing w:after="0"/>
              <w:rPr>
                <w:sz w:val="20"/>
                <w:szCs w:val="20"/>
                <w:color w:val="auto"/>
              </w:rPr>
            </w:pPr>
            <w:r>
              <w:rPr>
                <w:rFonts w:ascii="Arial" w:cs="Arial" w:eastAsia="Arial" w:hAnsi="Arial"/>
                <w:sz w:val="11"/>
                <w:szCs w:val="11"/>
                <w:color w:val="auto"/>
              </w:rPr>
              <w:t>14,959,742</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66"/>
              <w:spacing w:after="0"/>
              <w:rPr>
                <w:sz w:val="20"/>
                <w:szCs w:val="20"/>
                <w:color w:val="auto"/>
              </w:rPr>
            </w:pPr>
            <w:r>
              <w:rPr>
                <w:rFonts w:ascii="Arial" w:cs="Arial" w:eastAsia="Arial" w:hAnsi="Arial"/>
                <w:sz w:val="11"/>
                <w:szCs w:val="11"/>
                <w:color w:val="auto"/>
              </w:rPr>
              <w:t>5,764,662</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68"/>
              <w:spacing w:after="0"/>
              <w:rPr>
                <w:sz w:val="20"/>
                <w:szCs w:val="20"/>
                <w:color w:val="auto"/>
              </w:rPr>
            </w:pPr>
            <w:r>
              <w:rPr>
                <w:rFonts w:ascii="Arial" w:cs="Arial" w:eastAsia="Arial" w:hAnsi="Arial"/>
                <w:sz w:val="11"/>
                <w:szCs w:val="11"/>
                <w:color w:val="auto"/>
              </w:rPr>
              <w:t>4,627,875</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66"/>
              <w:spacing w:after="0"/>
              <w:rPr>
                <w:sz w:val="20"/>
                <w:szCs w:val="20"/>
                <w:color w:val="auto"/>
              </w:rPr>
            </w:pPr>
            <w:r>
              <w:rPr>
                <w:rFonts w:ascii="Arial" w:cs="Arial" w:eastAsia="Arial" w:hAnsi="Arial"/>
                <w:sz w:val="11"/>
                <w:szCs w:val="11"/>
                <w:color w:val="auto"/>
              </w:rPr>
              <w:t>113</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168</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719,307</w:t>
            </w:r>
          </w:p>
        </w:tc>
        <w:tc>
          <w:tcPr>
            <w:tcW w:w="2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86"/>
              <w:spacing w:after="0"/>
              <w:rPr>
                <w:sz w:val="20"/>
                <w:szCs w:val="20"/>
                <w:color w:val="auto"/>
              </w:rPr>
            </w:pPr>
            <w:r>
              <w:rPr>
                <w:rFonts w:ascii="Arial" w:cs="Arial" w:eastAsia="Arial" w:hAnsi="Arial"/>
                <w:sz w:val="11"/>
                <w:szCs w:val="11"/>
                <w:color w:val="auto"/>
              </w:rPr>
              <w:t>10.54</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140" w:type="dxa"/>
            <w:vAlign w:val="bottom"/>
            <w:tcBorders>
              <w:bottom w:val="single" w:sz="8" w:color="EDEDED"/>
            </w:tcBorders>
            <w:shd w:val="clear" w:color="auto" w:fill="EDEDED"/>
          </w:tcPr>
          <w:p>
            <w:pPr>
              <w:ind w:left="560"/>
              <w:spacing w:after="0"/>
              <w:rPr>
                <w:sz w:val="20"/>
                <w:szCs w:val="20"/>
                <w:color w:val="auto"/>
              </w:rPr>
            </w:pPr>
            <w:r>
              <w:rPr>
                <w:rFonts w:ascii="Arial" w:cs="Arial" w:eastAsia="Arial" w:hAnsi="Arial"/>
                <w:sz w:val="11"/>
                <w:szCs w:val="11"/>
                <w:color w:val="auto"/>
              </w:rPr>
              <w:t>2022</w:t>
            </w:r>
          </w:p>
        </w:tc>
        <w:tc>
          <w:tcPr>
            <w:tcW w:w="4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EDEDED"/>
            </w:tcBorders>
            <w:shd w:val="clear" w:color="auto" w:fill="EDEDED"/>
          </w:tcPr>
          <w:p>
            <w:pPr>
              <w:jc w:val="right"/>
              <w:ind w:right="48"/>
              <w:spacing w:after="0"/>
              <w:rPr>
                <w:sz w:val="20"/>
                <w:szCs w:val="20"/>
                <w:color w:val="auto"/>
              </w:rPr>
            </w:pPr>
            <w:r>
              <w:rPr>
                <w:rFonts w:ascii="Arial" w:cs="Arial" w:eastAsia="Arial" w:hAnsi="Arial"/>
                <w:sz w:val="11"/>
                <w:szCs w:val="11"/>
                <w:color w:val="auto"/>
              </w:rPr>
              <w:t>10,919,976</w:t>
            </w:r>
          </w:p>
        </w:tc>
        <w:tc>
          <w:tcPr>
            <w:tcW w:w="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13,476,236</w:t>
            </w:r>
          </w:p>
        </w:tc>
        <w:tc>
          <w:tcPr>
            <w:tcW w:w="22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3,270,794</w:t>
            </w:r>
          </w:p>
        </w:tc>
        <w:tc>
          <w:tcPr>
            <w:tcW w:w="22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EDEDED"/>
            </w:tcBorders>
            <w:shd w:val="clear" w:color="auto" w:fill="EDEDED"/>
          </w:tcPr>
          <w:p>
            <w:pPr>
              <w:jc w:val="right"/>
              <w:ind w:right="68"/>
              <w:spacing w:after="0"/>
              <w:rPr>
                <w:sz w:val="20"/>
                <w:szCs w:val="20"/>
                <w:color w:val="auto"/>
              </w:rPr>
            </w:pPr>
            <w:r>
              <w:rPr>
                <w:rFonts w:ascii="Arial" w:cs="Arial" w:eastAsia="Arial" w:hAnsi="Arial"/>
                <w:sz w:val="11"/>
                <w:szCs w:val="11"/>
                <w:color w:val="auto"/>
              </w:rPr>
              <w:t>5,112,238</w:t>
            </w:r>
          </w:p>
        </w:tc>
        <w:tc>
          <w:tcPr>
            <w:tcW w:w="220" w:type="dxa"/>
            <w:vAlign w:val="bottom"/>
            <w:tcBorders>
              <w:bottom w:val="single" w:sz="8" w:color="EDEDED"/>
            </w:tcBorders>
            <w:gridSpan w:val="2"/>
            <w:shd w:val="clear" w:color="auto" w:fill="EDEDED"/>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104</w:t>
            </w:r>
          </w:p>
        </w:tc>
        <w:tc>
          <w:tcPr>
            <w:tcW w:w="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146</w:t>
            </w:r>
          </w:p>
        </w:tc>
        <w:tc>
          <w:tcPr>
            <w:tcW w:w="22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1"/>
                <w:szCs w:val="11"/>
                <w:color w:val="auto"/>
              </w:rPr>
              <w:t>656,982</w:t>
            </w:r>
          </w:p>
        </w:tc>
        <w:tc>
          <w:tcPr>
            <w:tcW w:w="260" w:type="dxa"/>
            <w:vAlign w:val="bottom"/>
            <w:tcBorders>
              <w:bottom w:val="single" w:sz="8" w:color="EDEDED"/>
            </w:tcBorders>
            <w:shd w:val="clear" w:color="auto" w:fill="EDEDED"/>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EDEDED"/>
            </w:tcBorders>
            <w:shd w:val="clear" w:color="auto" w:fill="EDEDED"/>
          </w:tcPr>
          <w:p>
            <w:pPr>
              <w:jc w:val="right"/>
              <w:ind w:right="86"/>
              <w:spacing w:after="0"/>
              <w:rPr>
                <w:sz w:val="20"/>
                <w:szCs w:val="20"/>
                <w:color w:val="auto"/>
              </w:rPr>
            </w:pPr>
            <w:r>
              <w:rPr>
                <w:rFonts w:ascii="Arial" w:cs="Arial" w:eastAsia="Arial" w:hAnsi="Arial"/>
                <w:sz w:val="11"/>
                <w:szCs w:val="11"/>
                <w:color w:val="auto"/>
              </w:rPr>
              <w:t>9.88</w:t>
            </w:r>
          </w:p>
        </w:tc>
        <w:tc>
          <w:tcPr>
            <w:tcW w:w="0" w:type="dxa"/>
            <w:vAlign w:val="bottom"/>
          </w:tcPr>
          <w:p>
            <w:pPr>
              <w:spacing w:after="0"/>
              <w:rPr>
                <w:sz w:val="1"/>
                <w:szCs w:val="1"/>
                <w:color w:val="auto"/>
              </w:rPr>
            </w:pPr>
          </w:p>
        </w:tc>
      </w:tr>
      <w:tr>
        <w:trPr>
          <w:trHeight w:val="142"/>
        </w:trPr>
        <w:tc>
          <w:tcPr>
            <w:tcW w:w="1140" w:type="dxa"/>
            <w:vAlign w:val="bottom"/>
          </w:tcPr>
          <w:p>
            <w:pPr>
              <w:ind w:left="560"/>
              <w:spacing w:after="0"/>
              <w:rPr>
                <w:sz w:val="20"/>
                <w:szCs w:val="20"/>
                <w:color w:val="auto"/>
              </w:rPr>
            </w:pPr>
            <w:r>
              <w:rPr>
                <w:rFonts w:ascii="Arial" w:cs="Arial" w:eastAsia="Arial" w:hAnsi="Arial"/>
                <w:sz w:val="11"/>
                <w:szCs w:val="11"/>
                <w:color w:val="auto"/>
              </w:rPr>
              <w:t>2021</w:t>
            </w: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1"/>
                <w:szCs w:val="11"/>
                <w:color w:val="auto"/>
              </w:rPr>
              <w:t>14,020,942</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80" w:type="dxa"/>
            <w:vAlign w:val="bottom"/>
            <w:vMerge w:val="restart"/>
          </w:tcPr>
          <w:p>
            <w:pPr>
              <w:jc w:val="right"/>
              <w:ind w:right="66"/>
              <w:spacing w:after="0"/>
              <w:rPr>
                <w:sz w:val="20"/>
                <w:szCs w:val="20"/>
                <w:color w:val="auto"/>
              </w:rPr>
            </w:pPr>
            <w:r>
              <w:rPr>
                <w:rFonts w:ascii="Arial" w:cs="Arial" w:eastAsia="Arial" w:hAnsi="Arial"/>
                <w:sz w:val="11"/>
                <w:szCs w:val="11"/>
                <w:color w:val="auto"/>
              </w:rPr>
              <w:t>9,784,532</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66"/>
              <w:spacing w:after="0"/>
              <w:rPr>
                <w:sz w:val="20"/>
                <w:szCs w:val="20"/>
                <w:color w:val="auto"/>
              </w:rPr>
            </w:pPr>
            <w:r>
              <w:rPr>
                <w:rFonts w:ascii="Arial" w:cs="Arial" w:eastAsia="Arial" w:hAnsi="Arial"/>
                <w:sz w:val="11"/>
                <w:szCs w:val="11"/>
                <w:color w:val="auto"/>
              </w:rPr>
              <w:t>6,684,372</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ind w:right="68"/>
              <w:spacing w:after="0"/>
              <w:rPr>
                <w:sz w:val="20"/>
                <w:szCs w:val="20"/>
                <w:color w:val="auto"/>
              </w:rPr>
            </w:pPr>
            <w:r>
              <w:rPr>
                <w:rFonts w:ascii="Arial" w:cs="Arial" w:eastAsia="Arial" w:hAnsi="Arial"/>
                <w:sz w:val="11"/>
                <w:szCs w:val="11"/>
                <w:color w:val="auto"/>
              </w:rPr>
              <w:t>995,897</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66"/>
              <w:spacing w:after="0"/>
              <w:rPr>
                <w:sz w:val="20"/>
                <w:szCs w:val="20"/>
                <w:color w:val="auto"/>
              </w:rPr>
            </w:pPr>
            <w:r>
              <w:rPr>
                <w:rFonts w:ascii="Arial" w:cs="Arial" w:eastAsia="Arial" w:hAnsi="Arial"/>
                <w:sz w:val="11"/>
                <w:szCs w:val="11"/>
                <w:color w:val="auto"/>
              </w:rPr>
              <w:t>95</w:t>
            </w: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158</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987,632</w:t>
            </w:r>
          </w:p>
        </w:tc>
        <w:tc>
          <w:tcPr>
            <w:tcW w:w="26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86"/>
              <w:spacing w:after="0"/>
              <w:rPr>
                <w:sz w:val="20"/>
                <w:szCs w:val="20"/>
                <w:color w:val="auto"/>
              </w:rPr>
            </w:pPr>
            <w:r>
              <w:rPr>
                <w:rFonts w:ascii="Arial" w:cs="Arial" w:eastAsia="Arial" w:hAnsi="Arial"/>
                <w:sz w:val="11"/>
                <w:szCs w:val="11"/>
                <w:color w:val="auto"/>
              </w:rPr>
              <w:t>11.82</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140" w:type="dxa"/>
            <w:vAlign w:val="bottom"/>
            <w:tcBorders>
              <w:bottom w:val="single" w:sz="8" w:color="7F7F7F"/>
            </w:tcBorders>
          </w:tcPr>
          <w:p>
            <w:pPr>
              <w:spacing w:after="0"/>
              <w:rPr>
                <w:sz w:val="2"/>
                <w:szCs w:val="2"/>
                <w:color w:val="auto"/>
              </w:rPr>
            </w:pPr>
          </w:p>
        </w:tc>
        <w:tc>
          <w:tcPr>
            <w:tcW w:w="440" w:type="dxa"/>
            <w:vAlign w:val="bottom"/>
            <w:tcBorders>
              <w:bottom w:val="single" w:sz="8" w:color="7F7F7F"/>
            </w:tcBorders>
          </w:tcPr>
          <w:p>
            <w:pPr>
              <w:spacing w:after="0"/>
              <w:rPr>
                <w:sz w:val="2"/>
                <w:szCs w:val="2"/>
                <w:color w:val="auto"/>
              </w:rPr>
            </w:pPr>
          </w:p>
        </w:tc>
        <w:tc>
          <w:tcPr>
            <w:tcW w:w="106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108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106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1060" w:type="dxa"/>
            <w:vAlign w:val="bottom"/>
            <w:tcBorders>
              <w:bottom w:val="single" w:sz="8" w:color="7F7F7F"/>
            </w:tcBorders>
          </w:tcPr>
          <w:p>
            <w:pPr>
              <w:spacing w:after="0"/>
              <w:rPr>
                <w:sz w:val="2"/>
                <w:szCs w:val="2"/>
                <w:color w:val="auto"/>
              </w:rPr>
            </w:pPr>
          </w:p>
        </w:tc>
        <w:tc>
          <w:tcPr>
            <w:tcW w:w="10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92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94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940" w:type="dxa"/>
            <w:vAlign w:val="bottom"/>
            <w:tcBorders>
              <w:bottom w:val="single" w:sz="8" w:color="7F7F7F"/>
            </w:tcBorders>
          </w:tcPr>
          <w:p>
            <w:pPr>
              <w:spacing w:after="0"/>
              <w:rPr>
                <w:sz w:val="2"/>
                <w:szCs w:val="2"/>
                <w:color w:val="auto"/>
              </w:rPr>
            </w:pPr>
          </w:p>
        </w:tc>
        <w:tc>
          <w:tcPr>
            <w:tcW w:w="260" w:type="dxa"/>
            <w:vAlign w:val="bottom"/>
            <w:tcBorders>
              <w:bottom w:val="single" w:sz="8" w:color="7F7F7F"/>
            </w:tcBorders>
          </w:tcPr>
          <w:p>
            <w:pPr>
              <w:spacing w:after="0"/>
              <w:rPr>
                <w:sz w:val="2"/>
                <w:szCs w:val="2"/>
                <w:color w:val="auto"/>
              </w:rPr>
            </w:pPr>
          </w:p>
        </w:tc>
        <w:tc>
          <w:tcPr>
            <w:tcW w:w="102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372"/>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Named executive officers included in the above compensation columns reflect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052666"/>
              </w:rPr>
              <w:t>Year</w:t>
            </w:r>
          </w:p>
        </w:tc>
        <w:tc>
          <w:tcPr>
            <w:tcW w:w="180" w:type="dxa"/>
            <w:vAlign w:val="bottom"/>
          </w:tcPr>
          <w:p>
            <w:pPr>
              <w:spacing w:after="0"/>
              <w:rPr>
                <w:sz w:val="14"/>
                <w:szCs w:val="14"/>
                <w:color w:val="auto"/>
              </w:rPr>
            </w:pPr>
          </w:p>
        </w:tc>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052666"/>
              </w:rPr>
              <w:t>CEO</w:t>
            </w:r>
          </w:p>
        </w:tc>
        <w:tc>
          <w:tcPr>
            <w:tcW w:w="180" w:type="dxa"/>
            <w:vAlign w:val="bottom"/>
          </w:tcPr>
          <w:p>
            <w:pPr>
              <w:spacing w:after="0"/>
              <w:rPr>
                <w:sz w:val="14"/>
                <w:szCs w:val="14"/>
                <w:color w:val="auto"/>
              </w:rPr>
            </w:pPr>
          </w:p>
        </w:tc>
        <w:tc>
          <w:tcPr>
            <w:tcW w:w="7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052666"/>
              </w:rPr>
              <w:t>Non-CEO NEOs</w:t>
            </w:r>
          </w:p>
        </w:tc>
      </w:tr>
      <w:tr>
        <w:trPr>
          <w:trHeight w:val="201"/>
        </w:trPr>
        <w:tc>
          <w:tcPr>
            <w:tcW w:w="1100" w:type="dxa"/>
            <w:vAlign w:val="bottom"/>
          </w:tcPr>
          <w:p>
            <w:pPr>
              <w:jc w:val="right"/>
              <w:ind w:right="308"/>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7"/>
                <w:szCs w:val="17"/>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Marc D. Miller</w:t>
            </w:r>
          </w:p>
        </w:tc>
        <w:tc>
          <w:tcPr>
            <w:tcW w:w="18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Arial" w:cs="Arial" w:eastAsia="Arial" w:hAnsi="Arial"/>
                <w:sz w:val="14"/>
                <w:szCs w:val="14"/>
                <w:color w:val="auto"/>
              </w:rPr>
              <w:t>Alan B. Miller, Filton, Peterson, Sim</w:t>
            </w:r>
          </w:p>
        </w:tc>
      </w:tr>
      <w:tr>
        <w:trPr>
          <w:trHeight w:val="270"/>
        </w:trPr>
        <w:tc>
          <w:tcPr>
            <w:tcW w:w="1100" w:type="dxa"/>
            <w:vAlign w:val="bottom"/>
          </w:tcPr>
          <w:p>
            <w:pPr>
              <w:jc w:val="right"/>
              <w:ind w:right="308"/>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23"/>
                <w:szCs w:val="23"/>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Marc D. Miller</w:t>
            </w:r>
          </w:p>
        </w:tc>
        <w:tc>
          <w:tcPr>
            <w:tcW w:w="180" w:type="dxa"/>
            <w:vAlign w:val="bottom"/>
          </w:tcPr>
          <w:p>
            <w:pPr>
              <w:spacing w:after="0"/>
              <w:rPr>
                <w:sz w:val="23"/>
                <w:szCs w:val="23"/>
                <w:color w:val="auto"/>
              </w:rPr>
            </w:pPr>
          </w:p>
        </w:tc>
        <w:tc>
          <w:tcPr>
            <w:tcW w:w="7560" w:type="dxa"/>
            <w:vAlign w:val="bottom"/>
          </w:tcPr>
          <w:p>
            <w:pPr>
              <w:ind w:left="100"/>
              <w:spacing w:after="0"/>
              <w:rPr>
                <w:sz w:val="20"/>
                <w:szCs w:val="20"/>
                <w:color w:val="auto"/>
              </w:rPr>
            </w:pPr>
            <w:r>
              <w:rPr>
                <w:rFonts w:ascii="Arial" w:cs="Arial" w:eastAsia="Arial" w:hAnsi="Arial"/>
                <w:sz w:val="14"/>
                <w:szCs w:val="14"/>
                <w:color w:val="auto"/>
              </w:rPr>
              <w:t>Alan B. Miller, Filton, Peterson, Sim</w:t>
            </w:r>
          </w:p>
        </w:tc>
      </w:tr>
      <w:tr>
        <w:trPr>
          <w:trHeight w:val="257"/>
        </w:trPr>
        <w:tc>
          <w:tcPr>
            <w:tcW w:w="1100" w:type="dxa"/>
            <w:vAlign w:val="bottom"/>
          </w:tcPr>
          <w:p>
            <w:pPr>
              <w:jc w:val="right"/>
              <w:ind w:right="308"/>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22"/>
                <w:szCs w:val="22"/>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Marc D. Miller</w:t>
            </w:r>
          </w:p>
        </w:tc>
        <w:tc>
          <w:tcPr>
            <w:tcW w:w="180" w:type="dxa"/>
            <w:vAlign w:val="bottom"/>
          </w:tcPr>
          <w:p>
            <w:pPr>
              <w:spacing w:after="0"/>
              <w:rPr>
                <w:sz w:val="22"/>
                <w:szCs w:val="22"/>
                <w:color w:val="auto"/>
              </w:rPr>
            </w:pPr>
          </w:p>
        </w:tc>
        <w:tc>
          <w:tcPr>
            <w:tcW w:w="7560" w:type="dxa"/>
            <w:vAlign w:val="bottom"/>
          </w:tcPr>
          <w:p>
            <w:pPr>
              <w:ind w:left="100"/>
              <w:spacing w:after="0"/>
              <w:rPr>
                <w:sz w:val="20"/>
                <w:szCs w:val="20"/>
                <w:color w:val="auto"/>
              </w:rPr>
            </w:pPr>
            <w:r>
              <w:rPr>
                <w:rFonts w:ascii="Arial" w:cs="Arial" w:eastAsia="Arial" w:hAnsi="Arial"/>
                <w:sz w:val="14"/>
                <w:szCs w:val="14"/>
                <w:color w:val="auto"/>
              </w:rPr>
              <w:t>Alan B. Miller, Filton, Peterson, Sim</w:t>
            </w:r>
          </w:p>
        </w:tc>
      </w:tr>
      <w:tr>
        <w:trPr>
          <w:trHeight w:val="257"/>
        </w:trPr>
        <w:tc>
          <w:tcPr>
            <w:tcW w:w="1100" w:type="dxa"/>
            <w:vAlign w:val="bottom"/>
          </w:tcPr>
          <w:p>
            <w:pPr>
              <w:jc w:val="right"/>
              <w:ind w:right="308"/>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22"/>
                <w:szCs w:val="22"/>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Marc D. Miller</w:t>
            </w:r>
          </w:p>
        </w:tc>
        <w:tc>
          <w:tcPr>
            <w:tcW w:w="180" w:type="dxa"/>
            <w:vAlign w:val="bottom"/>
          </w:tcPr>
          <w:p>
            <w:pPr>
              <w:spacing w:after="0"/>
              <w:rPr>
                <w:sz w:val="22"/>
                <w:szCs w:val="22"/>
                <w:color w:val="auto"/>
              </w:rPr>
            </w:pPr>
          </w:p>
        </w:tc>
        <w:tc>
          <w:tcPr>
            <w:tcW w:w="7560" w:type="dxa"/>
            <w:vAlign w:val="bottom"/>
          </w:tcPr>
          <w:p>
            <w:pPr>
              <w:ind w:left="100"/>
              <w:spacing w:after="0"/>
              <w:rPr>
                <w:sz w:val="20"/>
                <w:szCs w:val="20"/>
                <w:color w:val="auto"/>
              </w:rPr>
            </w:pPr>
            <w:r>
              <w:rPr>
                <w:rFonts w:ascii="Arial" w:cs="Arial" w:eastAsia="Arial" w:hAnsi="Arial"/>
                <w:sz w:val="14"/>
                <w:szCs w:val="14"/>
                <w:color w:val="auto"/>
              </w:rPr>
              <w:t>Alan B. Miller, Filton, Pember, Peterson, Sim</w:t>
            </w:r>
          </w:p>
        </w:tc>
      </w:tr>
      <w:tr>
        <w:trPr>
          <w:trHeight w:val="256"/>
        </w:trPr>
        <w:tc>
          <w:tcPr>
            <w:tcW w:w="1100" w:type="dxa"/>
            <w:vAlign w:val="bottom"/>
          </w:tcPr>
          <w:p>
            <w:pPr>
              <w:jc w:val="right"/>
              <w:ind w:right="308"/>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22"/>
                <w:szCs w:val="22"/>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Marc D. Miller</w:t>
            </w:r>
          </w:p>
        </w:tc>
        <w:tc>
          <w:tcPr>
            <w:tcW w:w="180" w:type="dxa"/>
            <w:vAlign w:val="bottom"/>
          </w:tcPr>
          <w:p>
            <w:pPr>
              <w:spacing w:after="0"/>
              <w:rPr>
                <w:sz w:val="22"/>
                <w:szCs w:val="22"/>
                <w:color w:val="auto"/>
              </w:rPr>
            </w:pPr>
          </w:p>
        </w:tc>
        <w:tc>
          <w:tcPr>
            <w:tcW w:w="7560" w:type="dxa"/>
            <w:vAlign w:val="bottom"/>
          </w:tcPr>
          <w:p>
            <w:pPr>
              <w:ind w:left="100"/>
              <w:spacing w:after="0"/>
              <w:rPr>
                <w:sz w:val="20"/>
                <w:szCs w:val="20"/>
                <w:color w:val="auto"/>
              </w:rPr>
            </w:pPr>
            <w:r>
              <w:rPr>
                <w:rFonts w:ascii="Arial" w:cs="Arial" w:eastAsia="Arial" w:hAnsi="Arial"/>
                <w:sz w:val="14"/>
                <w:szCs w:val="14"/>
                <w:color w:val="auto"/>
              </w:rPr>
              <w:t>Alan B. Miller, Filton, Pember, Peterson</w:t>
            </w:r>
          </w:p>
        </w:tc>
      </w:tr>
    </w:tbl>
    <w:p>
      <w:pPr>
        <w:spacing w:after="0" w:line="250" w:lineRule="exact"/>
        <w:rPr>
          <w:sz w:val="20"/>
          <w:szCs w:val="20"/>
          <w:color w:val="auto"/>
        </w:rPr>
      </w:pPr>
    </w:p>
    <w:p>
      <w:pPr>
        <w:jc w:val="both"/>
        <w:ind w:left="500" w:hanging="372"/>
        <w:spacing w:after="0" w:line="255"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SEC rules require certain adjustment be made to the Summary Compensation Table (“SCT”) totals to determine “Compensation Actually Paid” (“CAP”) as reported in the Pay Versus Performance Table. CAP does not necessarily represent cash and/or equity value transferred to the applicable NEO without restriction, but rather is a value calculated under applicable SEC rules. In general, CAP is calculated as the total compensation from the SCT, adjusted to include, among other things, the fair market value of equity awards as of December 31 of the applicable year or, if earlier, the vesting date (rather than the grant date). No adjustment is made for dividends or other earnings, since dividends are factored into the fair value of the award.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these adjustments: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79"/>
              <w:spacing w:after="0"/>
              <w:rPr>
                <w:sz w:val="20"/>
                <w:szCs w:val="20"/>
                <w:color w:val="auto"/>
              </w:rPr>
            </w:pPr>
            <w:r>
              <w:rPr>
                <w:rFonts w:ascii="Arial" w:cs="Arial" w:eastAsia="Arial" w:hAnsi="Arial"/>
                <w:sz w:val="12"/>
                <w:szCs w:val="12"/>
                <w:b w:val="1"/>
                <w:bCs w:val="1"/>
                <w:color w:val="052666"/>
                <w:w w:val="96"/>
              </w:rPr>
              <w:t>Change in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5"/>
        </w:trPr>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ind w:right="199"/>
              <w:spacing w:after="0" w:line="135" w:lineRule="exact"/>
              <w:rPr>
                <w:sz w:val="20"/>
                <w:szCs w:val="20"/>
                <w:color w:val="auto"/>
              </w:rPr>
            </w:pPr>
            <w:r>
              <w:rPr>
                <w:rFonts w:ascii="Arial" w:cs="Arial" w:eastAsia="Arial" w:hAnsi="Arial"/>
                <w:sz w:val="12"/>
                <w:szCs w:val="12"/>
                <w:b w:val="1"/>
                <w:bCs w:val="1"/>
                <w:color w:val="052666"/>
                <w:w w:val="96"/>
              </w:rPr>
              <w:t>Change in</w:t>
            </w:r>
          </w:p>
        </w:tc>
        <w:tc>
          <w:tcPr>
            <w:tcW w:w="180" w:type="dxa"/>
            <w:vAlign w:val="bottom"/>
          </w:tcPr>
          <w:p>
            <w:pPr>
              <w:spacing w:after="0"/>
              <w:rPr>
                <w:sz w:val="11"/>
                <w:szCs w:val="11"/>
                <w:color w:val="auto"/>
              </w:rPr>
            </w:pPr>
          </w:p>
        </w:tc>
        <w:tc>
          <w:tcPr>
            <w:tcW w:w="900" w:type="dxa"/>
            <w:vAlign w:val="bottom"/>
          </w:tcPr>
          <w:p>
            <w:pPr>
              <w:jc w:val="center"/>
              <w:ind w:right="199"/>
              <w:spacing w:after="0" w:line="135" w:lineRule="exact"/>
              <w:rPr>
                <w:sz w:val="20"/>
                <w:szCs w:val="20"/>
                <w:color w:val="auto"/>
              </w:rPr>
            </w:pPr>
            <w:r>
              <w:rPr>
                <w:rFonts w:ascii="Arial" w:cs="Arial" w:eastAsia="Arial" w:hAnsi="Arial"/>
                <w:sz w:val="12"/>
                <w:szCs w:val="12"/>
                <w:b w:val="1"/>
                <w:bCs w:val="1"/>
                <w:color w:val="052666"/>
                <w:w w:val="96"/>
              </w:rPr>
              <w:t>Change in</w:t>
            </w:r>
          </w:p>
        </w:tc>
        <w:tc>
          <w:tcPr>
            <w:tcW w:w="160" w:type="dxa"/>
            <w:vAlign w:val="bottom"/>
          </w:tcPr>
          <w:p>
            <w:pPr>
              <w:spacing w:after="0"/>
              <w:rPr>
                <w:sz w:val="11"/>
                <w:szCs w:val="11"/>
                <w:color w:val="auto"/>
              </w:rPr>
            </w:pPr>
          </w:p>
        </w:tc>
        <w:tc>
          <w:tcPr>
            <w:tcW w:w="920" w:type="dxa"/>
            <w:vAlign w:val="bottom"/>
          </w:tcPr>
          <w:p>
            <w:pPr>
              <w:jc w:val="center"/>
              <w:ind w:right="159"/>
              <w:spacing w:after="0" w:line="135" w:lineRule="exact"/>
              <w:rPr>
                <w:sz w:val="20"/>
                <w:szCs w:val="20"/>
                <w:color w:val="auto"/>
              </w:rPr>
            </w:pPr>
            <w:r>
              <w:rPr>
                <w:rFonts w:ascii="Arial" w:cs="Arial" w:eastAsia="Arial" w:hAnsi="Arial"/>
                <w:sz w:val="12"/>
                <w:szCs w:val="12"/>
                <w:b w:val="1"/>
                <w:bCs w:val="1"/>
                <w:color w:val="052666"/>
                <w:w w:val="98"/>
              </w:rPr>
              <w:t>Value of</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99"/>
              <w:spacing w:after="0" w:line="135" w:lineRule="exact"/>
              <w:rPr>
                <w:sz w:val="20"/>
                <w:szCs w:val="20"/>
                <w:color w:val="auto"/>
              </w:rPr>
            </w:pPr>
            <w:r>
              <w:rPr>
                <w:rFonts w:ascii="Arial" w:cs="Arial" w:eastAsia="Arial" w:hAnsi="Arial"/>
                <w:sz w:val="12"/>
                <w:szCs w:val="12"/>
                <w:b w:val="1"/>
                <w:bCs w:val="1"/>
                <w:color w:val="052666"/>
                <w:w w:val="97"/>
              </w:rPr>
              <w:t>Grant Date</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ind w:right="179"/>
              <w:spacing w:after="0" w:line="135" w:lineRule="exact"/>
              <w:rPr>
                <w:sz w:val="20"/>
                <w:szCs w:val="20"/>
                <w:color w:val="auto"/>
              </w:rPr>
            </w:pPr>
            <w:r>
              <w:rPr>
                <w:rFonts w:ascii="Arial" w:cs="Arial" w:eastAsia="Arial" w:hAnsi="Arial"/>
                <w:sz w:val="12"/>
                <w:szCs w:val="12"/>
                <w:b w:val="1"/>
                <w:bCs w:val="1"/>
                <w:color w:val="052666"/>
                <w:w w:val="98"/>
              </w:rPr>
              <w:t>Value of</w:t>
            </w:r>
          </w:p>
        </w:tc>
        <w:tc>
          <w:tcPr>
            <w:tcW w:w="180" w:type="dxa"/>
            <w:vAlign w:val="bottom"/>
          </w:tcPr>
          <w:p>
            <w:pPr>
              <w:spacing w:after="0"/>
              <w:rPr>
                <w:sz w:val="11"/>
                <w:szCs w:val="11"/>
                <w:color w:val="auto"/>
              </w:rPr>
            </w:pPr>
          </w:p>
        </w:tc>
        <w:tc>
          <w:tcPr>
            <w:tcW w:w="900" w:type="dxa"/>
            <w:vAlign w:val="bottom"/>
          </w:tcPr>
          <w:p>
            <w:pPr>
              <w:jc w:val="center"/>
              <w:ind w:right="179"/>
              <w:spacing w:after="0" w:line="135" w:lineRule="exact"/>
              <w:rPr>
                <w:sz w:val="20"/>
                <w:szCs w:val="20"/>
                <w:color w:val="auto"/>
              </w:rPr>
            </w:pPr>
            <w:r>
              <w:rPr>
                <w:rFonts w:ascii="Arial" w:cs="Arial" w:eastAsia="Arial" w:hAnsi="Arial"/>
                <w:sz w:val="12"/>
                <w:szCs w:val="12"/>
                <w:b w:val="1"/>
                <w:bCs w:val="1"/>
                <w:color w:val="052666"/>
                <w:w w:val="98"/>
              </w:rPr>
              <w:t>Value of</w:t>
            </w:r>
          </w:p>
        </w:tc>
        <w:tc>
          <w:tcPr>
            <w:tcW w:w="160" w:type="dxa"/>
            <w:vAlign w:val="bottom"/>
          </w:tcPr>
          <w:p>
            <w:pPr>
              <w:spacing w:after="0"/>
              <w:rPr>
                <w:sz w:val="11"/>
                <w:szCs w:val="11"/>
                <w:color w:val="auto"/>
              </w:rPr>
            </w:pPr>
          </w:p>
        </w:tc>
        <w:tc>
          <w:tcPr>
            <w:tcW w:w="920" w:type="dxa"/>
            <w:vAlign w:val="bottom"/>
          </w:tcPr>
          <w:p>
            <w:pPr>
              <w:jc w:val="center"/>
              <w:ind w:right="159"/>
              <w:spacing w:after="0" w:line="135" w:lineRule="exact"/>
              <w:rPr>
                <w:sz w:val="20"/>
                <w:szCs w:val="20"/>
                <w:color w:val="auto"/>
              </w:rPr>
            </w:pPr>
            <w:r>
              <w:rPr>
                <w:rFonts w:ascii="Arial" w:cs="Arial" w:eastAsia="Arial" w:hAnsi="Arial"/>
                <w:sz w:val="12"/>
                <w:szCs w:val="12"/>
                <w:b w:val="1"/>
                <w:bCs w:val="1"/>
                <w:color w:val="052666"/>
                <w:w w:val="96"/>
              </w:rPr>
              <w:t>Awards that</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79"/>
              <w:spacing w:after="0" w:line="135" w:lineRule="exact"/>
              <w:rPr>
                <w:sz w:val="20"/>
                <w:szCs w:val="20"/>
                <w:color w:val="auto"/>
              </w:rPr>
            </w:pPr>
            <w:r>
              <w:rPr>
                <w:rFonts w:ascii="Arial" w:cs="Arial" w:eastAsia="Arial" w:hAnsi="Arial"/>
                <w:sz w:val="12"/>
                <w:szCs w:val="12"/>
                <w:b w:val="1"/>
                <w:bCs w:val="1"/>
                <w:color w:val="052666"/>
                <w:w w:val="98"/>
              </w:rPr>
              <w:t>Value of</w:t>
            </w:r>
          </w:p>
        </w:tc>
        <w:tc>
          <w:tcPr>
            <w:tcW w:w="220" w:type="dxa"/>
            <w:vAlign w:val="bottom"/>
          </w:tcPr>
          <w:p>
            <w:pPr>
              <w:spacing w:after="0"/>
              <w:rPr>
                <w:sz w:val="11"/>
                <w:szCs w:val="11"/>
                <w:color w:val="auto"/>
              </w:rPr>
            </w:pPr>
          </w:p>
        </w:tc>
        <w:tc>
          <w:tcPr>
            <w:tcW w:w="860" w:type="dxa"/>
            <w:vAlign w:val="bottom"/>
          </w:tcPr>
          <w:p>
            <w:pPr>
              <w:jc w:val="center"/>
              <w:ind w:right="138"/>
              <w:spacing w:after="0" w:line="135" w:lineRule="exact"/>
              <w:rPr>
                <w:sz w:val="20"/>
                <w:szCs w:val="20"/>
                <w:color w:val="auto"/>
              </w:rPr>
            </w:pPr>
            <w:r>
              <w:rPr>
                <w:rFonts w:ascii="Arial" w:cs="Arial" w:eastAsia="Arial" w:hAnsi="Arial"/>
                <w:sz w:val="12"/>
                <w:szCs w:val="12"/>
                <w:b w:val="1"/>
                <w:bCs w:val="1"/>
                <w:color w:val="052666"/>
                <w:w w:val="96"/>
              </w:rPr>
              <w:t>Year End</w:t>
            </w:r>
          </w:p>
        </w:tc>
        <w:tc>
          <w:tcPr>
            <w:tcW w:w="220" w:type="dxa"/>
            <w:vAlign w:val="bottom"/>
          </w:tcPr>
          <w:p>
            <w:pPr>
              <w:spacing w:after="0"/>
              <w:rPr>
                <w:sz w:val="11"/>
                <w:szCs w:val="11"/>
                <w:color w:val="auto"/>
              </w:rPr>
            </w:pPr>
          </w:p>
        </w:tc>
        <w:tc>
          <w:tcPr>
            <w:tcW w:w="900" w:type="dxa"/>
            <w:vAlign w:val="bottom"/>
          </w:tcPr>
          <w:p>
            <w:pPr>
              <w:jc w:val="center"/>
              <w:ind w:right="199"/>
              <w:spacing w:after="0" w:line="135" w:lineRule="exact"/>
              <w:rPr>
                <w:sz w:val="20"/>
                <w:szCs w:val="20"/>
                <w:color w:val="auto"/>
              </w:rPr>
            </w:pPr>
            <w:r>
              <w:rPr>
                <w:rFonts w:ascii="Arial" w:cs="Arial" w:eastAsia="Arial" w:hAnsi="Arial"/>
                <w:sz w:val="12"/>
                <w:szCs w:val="12"/>
                <w:b w:val="1"/>
                <w:bCs w:val="1"/>
                <w:color w:val="052666"/>
                <w:w w:val="96"/>
              </w:rPr>
              <w:t>Unvested</w:t>
            </w:r>
          </w:p>
        </w:tc>
        <w:tc>
          <w:tcPr>
            <w:tcW w:w="180" w:type="dxa"/>
            <w:vAlign w:val="bottom"/>
          </w:tcPr>
          <w:p>
            <w:pPr>
              <w:spacing w:after="0"/>
              <w:rPr>
                <w:sz w:val="11"/>
                <w:szCs w:val="11"/>
                <w:color w:val="auto"/>
              </w:rPr>
            </w:pPr>
          </w:p>
        </w:tc>
        <w:tc>
          <w:tcPr>
            <w:tcW w:w="900" w:type="dxa"/>
            <w:vAlign w:val="bottom"/>
          </w:tcPr>
          <w:p>
            <w:pPr>
              <w:jc w:val="center"/>
              <w:ind w:right="179"/>
              <w:spacing w:after="0" w:line="135" w:lineRule="exact"/>
              <w:rPr>
                <w:sz w:val="20"/>
                <w:szCs w:val="20"/>
                <w:color w:val="auto"/>
              </w:rPr>
            </w:pPr>
            <w:r>
              <w:rPr>
                <w:rFonts w:ascii="Arial" w:cs="Arial" w:eastAsia="Arial" w:hAnsi="Arial"/>
                <w:sz w:val="12"/>
                <w:szCs w:val="12"/>
                <w:b w:val="1"/>
                <w:bCs w:val="1"/>
                <w:color w:val="052666"/>
                <w:w w:val="96"/>
              </w:rPr>
              <w:t>Vested</w:t>
            </w:r>
          </w:p>
        </w:tc>
        <w:tc>
          <w:tcPr>
            <w:tcW w:w="160" w:type="dxa"/>
            <w:vAlign w:val="bottom"/>
          </w:tcPr>
          <w:p>
            <w:pPr>
              <w:spacing w:after="0"/>
              <w:rPr>
                <w:sz w:val="11"/>
                <w:szCs w:val="11"/>
                <w:color w:val="auto"/>
              </w:rPr>
            </w:pPr>
          </w:p>
        </w:tc>
        <w:tc>
          <w:tcPr>
            <w:tcW w:w="920" w:type="dxa"/>
            <w:vAlign w:val="bottom"/>
          </w:tcPr>
          <w:p>
            <w:pPr>
              <w:jc w:val="center"/>
              <w:ind w:right="179"/>
              <w:spacing w:after="0" w:line="135" w:lineRule="exact"/>
              <w:rPr>
                <w:sz w:val="20"/>
                <w:szCs w:val="20"/>
                <w:color w:val="auto"/>
              </w:rPr>
            </w:pPr>
            <w:r>
              <w:rPr>
                <w:rFonts w:ascii="Arial" w:cs="Arial" w:eastAsia="Arial" w:hAnsi="Arial"/>
                <w:sz w:val="12"/>
                <w:szCs w:val="12"/>
                <w:b w:val="1"/>
                <w:bCs w:val="1"/>
                <w:color w:val="052666"/>
                <w:w w:val="97"/>
              </w:rPr>
              <w:t>Failed to</w:t>
            </w:r>
          </w:p>
        </w:tc>
        <w:tc>
          <w:tcPr>
            <w:tcW w:w="160" w:type="dxa"/>
            <w:vAlign w:val="bottom"/>
          </w:tcPr>
          <w:p>
            <w:pPr>
              <w:spacing w:after="0"/>
              <w:rPr>
                <w:sz w:val="11"/>
                <w:szCs w:val="11"/>
                <w:color w:val="auto"/>
              </w:rPr>
            </w:pPr>
          </w:p>
        </w:tc>
        <w:tc>
          <w:tcPr>
            <w:tcW w:w="920" w:type="dxa"/>
            <w:vAlign w:val="bottom"/>
          </w:tcPr>
          <w:p>
            <w:pPr>
              <w:jc w:val="center"/>
              <w:ind w:right="158"/>
              <w:spacing w:after="0" w:line="135" w:lineRule="exact"/>
              <w:rPr>
                <w:sz w:val="20"/>
                <w:szCs w:val="20"/>
                <w:color w:val="auto"/>
              </w:rPr>
            </w:pPr>
            <w:r>
              <w:rPr>
                <w:rFonts w:ascii="Arial" w:cs="Arial" w:eastAsia="Arial" w:hAnsi="Arial"/>
                <w:sz w:val="12"/>
                <w:szCs w:val="12"/>
                <w:b w:val="1"/>
                <w:bCs w:val="1"/>
                <w:color w:val="052666"/>
                <w:w w:val="96"/>
              </w:rPr>
              <w:t>Total Equity</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99"/>
              <w:spacing w:after="0" w:line="135" w:lineRule="exact"/>
              <w:rPr>
                <w:sz w:val="20"/>
                <w:szCs w:val="20"/>
                <w:color w:val="auto"/>
              </w:rPr>
            </w:pPr>
            <w:r>
              <w:rPr>
                <w:rFonts w:ascii="Arial" w:cs="Arial" w:eastAsia="Arial" w:hAnsi="Arial"/>
                <w:sz w:val="12"/>
                <w:szCs w:val="12"/>
                <w:b w:val="1"/>
                <w:bCs w:val="1"/>
                <w:color w:val="052666"/>
                <w:w w:val="97"/>
              </w:rPr>
              <w:t>New</w:t>
            </w:r>
          </w:p>
        </w:tc>
        <w:tc>
          <w:tcPr>
            <w:tcW w:w="220" w:type="dxa"/>
            <w:vAlign w:val="bottom"/>
          </w:tcPr>
          <w:p>
            <w:pPr>
              <w:spacing w:after="0"/>
              <w:rPr>
                <w:sz w:val="11"/>
                <w:szCs w:val="11"/>
                <w:color w:val="auto"/>
              </w:rPr>
            </w:pPr>
          </w:p>
        </w:tc>
        <w:tc>
          <w:tcPr>
            <w:tcW w:w="860" w:type="dxa"/>
            <w:vAlign w:val="bottom"/>
          </w:tcPr>
          <w:p>
            <w:pPr>
              <w:jc w:val="center"/>
              <w:ind w:right="138"/>
              <w:spacing w:after="0" w:line="135" w:lineRule="exact"/>
              <w:rPr>
                <w:sz w:val="20"/>
                <w:szCs w:val="20"/>
                <w:color w:val="auto"/>
              </w:rPr>
            </w:pPr>
            <w:r>
              <w:rPr>
                <w:rFonts w:ascii="Arial" w:cs="Arial" w:eastAsia="Arial" w:hAnsi="Arial"/>
                <w:sz w:val="12"/>
                <w:szCs w:val="12"/>
                <w:b w:val="1"/>
                <w:bCs w:val="1"/>
                <w:color w:val="052666"/>
                <w:w w:val="98"/>
              </w:rPr>
              <w:t>Value of</w:t>
            </w:r>
          </w:p>
        </w:tc>
        <w:tc>
          <w:tcPr>
            <w:tcW w:w="220" w:type="dxa"/>
            <w:vAlign w:val="bottom"/>
          </w:tcPr>
          <w:p>
            <w:pPr>
              <w:spacing w:after="0"/>
              <w:rPr>
                <w:sz w:val="11"/>
                <w:szCs w:val="11"/>
                <w:color w:val="auto"/>
              </w:rPr>
            </w:pPr>
          </w:p>
        </w:tc>
        <w:tc>
          <w:tcPr>
            <w:tcW w:w="900" w:type="dxa"/>
            <w:vAlign w:val="bottom"/>
          </w:tcPr>
          <w:p>
            <w:pPr>
              <w:jc w:val="center"/>
              <w:ind w:right="199"/>
              <w:spacing w:after="0" w:line="135" w:lineRule="exact"/>
              <w:rPr>
                <w:sz w:val="20"/>
                <w:szCs w:val="20"/>
                <w:color w:val="auto"/>
              </w:rPr>
            </w:pPr>
            <w:r>
              <w:rPr>
                <w:rFonts w:ascii="Arial" w:cs="Arial" w:eastAsia="Arial" w:hAnsi="Arial"/>
                <w:sz w:val="12"/>
                <w:szCs w:val="12"/>
                <w:b w:val="1"/>
                <w:bCs w:val="1"/>
                <w:color w:val="052666"/>
                <w:w w:val="99"/>
              </w:rPr>
              <w:t>Prior</w:t>
            </w:r>
          </w:p>
        </w:tc>
        <w:tc>
          <w:tcPr>
            <w:tcW w:w="180" w:type="dxa"/>
            <w:vAlign w:val="bottom"/>
          </w:tcPr>
          <w:p>
            <w:pPr>
              <w:spacing w:after="0"/>
              <w:rPr>
                <w:sz w:val="11"/>
                <w:szCs w:val="11"/>
                <w:color w:val="auto"/>
              </w:rPr>
            </w:pPr>
          </w:p>
        </w:tc>
        <w:tc>
          <w:tcPr>
            <w:tcW w:w="900" w:type="dxa"/>
            <w:vAlign w:val="bottom"/>
          </w:tcPr>
          <w:p>
            <w:pPr>
              <w:jc w:val="center"/>
              <w:ind w:right="199"/>
              <w:spacing w:after="0" w:line="135" w:lineRule="exact"/>
              <w:rPr>
                <w:sz w:val="20"/>
                <w:szCs w:val="20"/>
                <w:color w:val="auto"/>
              </w:rPr>
            </w:pPr>
            <w:r>
              <w:rPr>
                <w:rFonts w:ascii="Arial" w:cs="Arial" w:eastAsia="Arial" w:hAnsi="Arial"/>
                <w:sz w:val="12"/>
                <w:szCs w:val="12"/>
                <w:b w:val="1"/>
                <w:bCs w:val="1"/>
                <w:color w:val="052666"/>
                <w:w w:val="99"/>
              </w:rPr>
              <w:t>Prior</w:t>
            </w:r>
          </w:p>
        </w:tc>
        <w:tc>
          <w:tcPr>
            <w:tcW w:w="1080" w:type="dxa"/>
            <w:vAlign w:val="bottom"/>
            <w:gridSpan w:val="2"/>
          </w:tcPr>
          <w:p>
            <w:pPr>
              <w:jc w:val="center"/>
              <w:ind w:right="19"/>
              <w:spacing w:after="0" w:line="135" w:lineRule="exact"/>
              <w:rPr>
                <w:sz w:val="20"/>
                <w:szCs w:val="20"/>
                <w:color w:val="auto"/>
              </w:rPr>
            </w:pPr>
            <w:r>
              <w:rPr>
                <w:rFonts w:ascii="Arial" w:cs="Arial" w:eastAsia="Arial" w:hAnsi="Arial"/>
                <w:sz w:val="12"/>
                <w:szCs w:val="12"/>
                <w:b w:val="1"/>
                <w:bCs w:val="1"/>
                <w:color w:val="052666"/>
                <w:w w:val="97"/>
              </w:rPr>
              <w:t>Meet Vesting</w:t>
            </w:r>
          </w:p>
        </w:tc>
        <w:tc>
          <w:tcPr>
            <w:tcW w:w="160" w:type="dxa"/>
            <w:vAlign w:val="bottom"/>
          </w:tcPr>
          <w:p>
            <w:pPr>
              <w:spacing w:after="0"/>
              <w:rPr>
                <w:sz w:val="11"/>
                <w:szCs w:val="11"/>
                <w:color w:val="auto"/>
              </w:rPr>
            </w:pPr>
          </w:p>
        </w:tc>
        <w:tc>
          <w:tcPr>
            <w:tcW w:w="920" w:type="dxa"/>
            <w:vAlign w:val="bottom"/>
          </w:tcPr>
          <w:p>
            <w:pPr>
              <w:jc w:val="center"/>
              <w:ind w:right="178"/>
              <w:spacing w:after="0" w:line="135" w:lineRule="exact"/>
              <w:rPr>
                <w:sz w:val="20"/>
                <w:szCs w:val="20"/>
                <w:color w:val="auto"/>
              </w:rPr>
            </w:pPr>
            <w:r>
              <w:rPr>
                <w:rFonts w:ascii="Arial" w:cs="Arial" w:eastAsia="Arial" w:hAnsi="Arial"/>
                <w:sz w:val="12"/>
                <w:szCs w:val="12"/>
                <w:b w:val="1"/>
                <w:bCs w:val="1"/>
                <w:color w:val="052666"/>
                <w:w w:val="94"/>
              </w:rPr>
              <w:t>CAP</w:t>
            </w:r>
          </w:p>
        </w:tc>
        <w:tc>
          <w:tcPr>
            <w:tcW w:w="180" w:type="dxa"/>
            <w:vAlign w:val="bottom"/>
          </w:tcPr>
          <w:p>
            <w:pPr>
              <w:spacing w:after="0"/>
              <w:rPr>
                <w:sz w:val="11"/>
                <w:szCs w:val="11"/>
                <w:color w:val="auto"/>
              </w:rPr>
            </w:pPr>
          </w:p>
        </w:tc>
        <w:tc>
          <w:tcPr>
            <w:tcW w:w="940" w:type="dxa"/>
            <w:vAlign w:val="bottom"/>
          </w:tcPr>
          <w:p>
            <w:pPr>
              <w:jc w:val="center"/>
              <w:ind w:right="158"/>
              <w:spacing w:after="0" w:line="135" w:lineRule="exact"/>
              <w:rPr>
                <w:sz w:val="20"/>
                <w:szCs w:val="20"/>
                <w:color w:val="auto"/>
              </w:rPr>
            </w:pPr>
            <w:r>
              <w:rPr>
                <w:rFonts w:ascii="Arial" w:cs="Arial" w:eastAsia="Arial" w:hAnsi="Arial"/>
                <w:sz w:val="12"/>
                <w:szCs w:val="12"/>
                <w:b w:val="1"/>
                <w:bCs w:val="1"/>
                <w:color w:val="052666"/>
                <w:w w:val="94"/>
              </w:rPr>
              <w:t>CAP</w:t>
            </w:r>
          </w:p>
        </w:tc>
      </w:tr>
      <w:tr>
        <w:trPr>
          <w:trHeight w:val="135"/>
        </w:trPr>
        <w:tc>
          <w:tcPr>
            <w:tcW w:w="106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052666"/>
                <w:w w:val="99"/>
              </w:rPr>
              <w:t>Fiscal</w:t>
            </w: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jc w:val="right"/>
              <w:ind w:right="398"/>
              <w:spacing w:after="0" w:line="135" w:lineRule="exact"/>
              <w:rPr>
                <w:sz w:val="20"/>
                <w:szCs w:val="20"/>
                <w:color w:val="auto"/>
              </w:rPr>
            </w:pPr>
            <w:r>
              <w:rPr>
                <w:rFonts w:ascii="Arial" w:cs="Arial" w:eastAsia="Arial" w:hAnsi="Arial"/>
                <w:sz w:val="12"/>
                <w:szCs w:val="12"/>
                <w:b w:val="1"/>
                <w:bCs w:val="1"/>
                <w:color w:val="052666"/>
              </w:rPr>
              <w:t>SCT</w:t>
            </w:r>
          </w:p>
        </w:tc>
        <w:tc>
          <w:tcPr>
            <w:tcW w:w="240" w:type="dxa"/>
            <w:vAlign w:val="bottom"/>
          </w:tcPr>
          <w:p>
            <w:pPr>
              <w:spacing w:after="0"/>
              <w:rPr>
                <w:sz w:val="11"/>
                <w:szCs w:val="11"/>
                <w:color w:val="auto"/>
              </w:rPr>
            </w:pPr>
          </w:p>
        </w:tc>
        <w:tc>
          <w:tcPr>
            <w:tcW w:w="900" w:type="dxa"/>
            <w:vAlign w:val="bottom"/>
          </w:tcPr>
          <w:p>
            <w:pPr>
              <w:jc w:val="center"/>
              <w:ind w:right="179"/>
              <w:spacing w:after="0" w:line="135" w:lineRule="exact"/>
              <w:rPr>
                <w:sz w:val="20"/>
                <w:szCs w:val="20"/>
                <w:color w:val="auto"/>
              </w:rPr>
            </w:pPr>
            <w:r>
              <w:rPr>
                <w:rFonts w:ascii="Arial" w:cs="Arial" w:eastAsia="Arial" w:hAnsi="Arial"/>
                <w:sz w:val="12"/>
                <w:szCs w:val="12"/>
                <w:b w:val="1"/>
                <w:bCs w:val="1"/>
                <w:color w:val="052666"/>
                <w:w w:val="96"/>
              </w:rPr>
              <w:t>Awards</w:t>
            </w:r>
          </w:p>
        </w:tc>
        <w:tc>
          <w:tcPr>
            <w:tcW w:w="220" w:type="dxa"/>
            <w:vAlign w:val="bottom"/>
          </w:tcPr>
          <w:p>
            <w:pPr>
              <w:spacing w:after="0"/>
              <w:rPr>
                <w:sz w:val="11"/>
                <w:szCs w:val="11"/>
                <w:color w:val="auto"/>
              </w:rPr>
            </w:pPr>
          </w:p>
        </w:tc>
        <w:tc>
          <w:tcPr>
            <w:tcW w:w="860" w:type="dxa"/>
            <w:vAlign w:val="bottom"/>
          </w:tcPr>
          <w:p>
            <w:pPr>
              <w:jc w:val="center"/>
              <w:ind w:right="158"/>
              <w:spacing w:after="0" w:line="135" w:lineRule="exact"/>
              <w:rPr>
                <w:sz w:val="20"/>
                <w:szCs w:val="20"/>
                <w:color w:val="auto"/>
              </w:rPr>
            </w:pPr>
            <w:r>
              <w:rPr>
                <w:rFonts w:ascii="Arial" w:cs="Arial" w:eastAsia="Arial" w:hAnsi="Arial"/>
                <w:sz w:val="12"/>
                <w:szCs w:val="12"/>
                <w:b w:val="1"/>
                <w:bCs w:val="1"/>
                <w:color w:val="052666"/>
                <w:w w:val="97"/>
              </w:rPr>
              <w:t>New</w:t>
            </w:r>
          </w:p>
        </w:tc>
        <w:tc>
          <w:tcPr>
            <w:tcW w:w="220" w:type="dxa"/>
            <w:vAlign w:val="bottom"/>
          </w:tcPr>
          <w:p>
            <w:pPr>
              <w:spacing w:after="0"/>
              <w:rPr>
                <w:sz w:val="11"/>
                <w:szCs w:val="11"/>
                <w:color w:val="auto"/>
              </w:rPr>
            </w:pPr>
          </w:p>
        </w:tc>
        <w:tc>
          <w:tcPr>
            <w:tcW w:w="900" w:type="dxa"/>
            <w:vAlign w:val="bottom"/>
          </w:tcPr>
          <w:p>
            <w:pPr>
              <w:jc w:val="center"/>
              <w:ind w:right="179"/>
              <w:spacing w:after="0" w:line="135" w:lineRule="exact"/>
              <w:rPr>
                <w:sz w:val="20"/>
                <w:szCs w:val="20"/>
                <w:color w:val="auto"/>
              </w:rPr>
            </w:pPr>
            <w:r>
              <w:rPr>
                <w:rFonts w:ascii="Arial" w:cs="Arial" w:eastAsia="Arial" w:hAnsi="Arial"/>
                <w:sz w:val="12"/>
                <w:szCs w:val="12"/>
                <w:b w:val="1"/>
                <w:bCs w:val="1"/>
                <w:color w:val="052666"/>
                <w:w w:val="96"/>
              </w:rPr>
              <w:t>Awards</w:t>
            </w:r>
          </w:p>
        </w:tc>
        <w:tc>
          <w:tcPr>
            <w:tcW w:w="180" w:type="dxa"/>
            <w:vAlign w:val="bottom"/>
          </w:tcPr>
          <w:p>
            <w:pPr>
              <w:spacing w:after="0"/>
              <w:rPr>
                <w:sz w:val="11"/>
                <w:szCs w:val="11"/>
                <w:color w:val="auto"/>
              </w:rPr>
            </w:pPr>
          </w:p>
        </w:tc>
        <w:tc>
          <w:tcPr>
            <w:tcW w:w="900" w:type="dxa"/>
            <w:vAlign w:val="bottom"/>
          </w:tcPr>
          <w:p>
            <w:pPr>
              <w:jc w:val="center"/>
              <w:ind w:right="179"/>
              <w:spacing w:after="0" w:line="135" w:lineRule="exact"/>
              <w:rPr>
                <w:sz w:val="20"/>
                <w:szCs w:val="20"/>
                <w:color w:val="auto"/>
              </w:rPr>
            </w:pPr>
            <w:r>
              <w:rPr>
                <w:rFonts w:ascii="Arial" w:cs="Arial" w:eastAsia="Arial" w:hAnsi="Arial"/>
                <w:sz w:val="12"/>
                <w:szCs w:val="12"/>
                <w:b w:val="1"/>
                <w:bCs w:val="1"/>
                <w:color w:val="052666"/>
                <w:w w:val="96"/>
              </w:rPr>
              <w:t>Awards</w:t>
            </w:r>
          </w:p>
        </w:tc>
        <w:tc>
          <w:tcPr>
            <w:tcW w:w="160" w:type="dxa"/>
            <w:vAlign w:val="bottom"/>
          </w:tcPr>
          <w:p>
            <w:pPr>
              <w:spacing w:after="0"/>
              <w:rPr>
                <w:sz w:val="11"/>
                <w:szCs w:val="11"/>
                <w:color w:val="auto"/>
              </w:rPr>
            </w:pPr>
          </w:p>
        </w:tc>
        <w:tc>
          <w:tcPr>
            <w:tcW w:w="920" w:type="dxa"/>
            <w:vAlign w:val="bottom"/>
          </w:tcPr>
          <w:p>
            <w:pPr>
              <w:jc w:val="center"/>
              <w:ind w:right="159"/>
              <w:spacing w:after="0" w:line="135" w:lineRule="exact"/>
              <w:rPr>
                <w:sz w:val="20"/>
                <w:szCs w:val="20"/>
                <w:color w:val="auto"/>
              </w:rPr>
            </w:pPr>
            <w:r>
              <w:rPr>
                <w:rFonts w:ascii="Arial" w:cs="Arial" w:eastAsia="Arial" w:hAnsi="Arial"/>
                <w:sz w:val="12"/>
                <w:szCs w:val="12"/>
                <w:b w:val="1"/>
                <w:bCs w:val="1"/>
                <w:color w:val="052666"/>
                <w:w w:val="98"/>
              </w:rPr>
              <w:t>Conditions</w:t>
            </w:r>
          </w:p>
        </w:tc>
        <w:tc>
          <w:tcPr>
            <w:tcW w:w="160" w:type="dxa"/>
            <w:vAlign w:val="bottom"/>
          </w:tcPr>
          <w:p>
            <w:pPr>
              <w:spacing w:after="0"/>
              <w:rPr>
                <w:sz w:val="11"/>
                <w:szCs w:val="11"/>
                <w:color w:val="auto"/>
              </w:rPr>
            </w:pPr>
          </w:p>
        </w:tc>
        <w:tc>
          <w:tcPr>
            <w:tcW w:w="920" w:type="dxa"/>
            <w:vAlign w:val="bottom"/>
          </w:tcPr>
          <w:p>
            <w:pPr>
              <w:jc w:val="center"/>
              <w:ind w:right="158"/>
              <w:spacing w:after="0" w:line="135" w:lineRule="exact"/>
              <w:rPr>
                <w:sz w:val="20"/>
                <w:szCs w:val="20"/>
                <w:color w:val="auto"/>
              </w:rPr>
            </w:pPr>
            <w:r>
              <w:rPr>
                <w:rFonts w:ascii="Arial" w:cs="Arial" w:eastAsia="Arial" w:hAnsi="Arial"/>
                <w:sz w:val="12"/>
                <w:szCs w:val="12"/>
                <w:b w:val="1"/>
                <w:bCs w:val="1"/>
                <w:color w:val="052666"/>
                <w:w w:val="96"/>
              </w:rPr>
              <w:t>(c) = (i) + (ii)</w:t>
            </w:r>
          </w:p>
        </w:tc>
        <w:tc>
          <w:tcPr>
            <w:tcW w:w="180" w:type="dxa"/>
            <w:vAlign w:val="bottom"/>
          </w:tcPr>
          <w:p>
            <w:pPr>
              <w:spacing w:after="0"/>
              <w:rPr>
                <w:sz w:val="11"/>
                <w:szCs w:val="11"/>
                <w:color w:val="auto"/>
              </w:rPr>
            </w:pPr>
          </w:p>
        </w:tc>
        <w:tc>
          <w:tcPr>
            <w:tcW w:w="940" w:type="dxa"/>
            <w:vAlign w:val="bottom"/>
          </w:tcPr>
          <w:p>
            <w:pPr>
              <w:jc w:val="center"/>
              <w:ind w:right="158"/>
              <w:spacing w:after="0" w:line="135" w:lineRule="exact"/>
              <w:rPr>
                <w:sz w:val="20"/>
                <w:szCs w:val="20"/>
                <w:color w:val="auto"/>
              </w:rPr>
            </w:pPr>
            <w:r>
              <w:rPr>
                <w:rFonts w:ascii="Arial" w:cs="Arial" w:eastAsia="Arial" w:hAnsi="Arial"/>
                <w:sz w:val="12"/>
                <w:szCs w:val="12"/>
                <w:b w:val="1"/>
                <w:bCs w:val="1"/>
                <w:color w:val="052666"/>
                <w:w w:val="97"/>
              </w:rPr>
              <w:t>(d) = (a) - (b)</w:t>
            </w:r>
          </w:p>
        </w:tc>
      </w:tr>
      <w:tr>
        <w:trPr>
          <w:trHeight w:val="145"/>
        </w:trPr>
        <w:tc>
          <w:tcPr>
            <w:tcW w:w="1060" w:type="dxa"/>
            <w:vAlign w:val="bottom"/>
            <w:tcBorders>
              <w:bottom w:val="single" w:sz="8" w:color="052666"/>
            </w:tcBorders>
          </w:tcPr>
          <w:p>
            <w:pPr>
              <w:jc w:val="center"/>
              <w:ind w:right="18"/>
              <w:spacing w:after="0"/>
              <w:rPr>
                <w:sz w:val="20"/>
                <w:szCs w:val="20"/>
                <w:color w:val="auto"/>
              </w:rPr>
            </w:pPr>
            <w:r>
              <w:rPr>
                <w:rFonts w:ascii="Arial" w:cs="Arial" w:eastAsia="Arial" w:hAnsi="Arial"/>
                <w:sz w:val="12"/>
                <w:szCs w:val="12"/>
                <w:b w:val="1"/>
                <w:bCs w:val="1"/>
                <w:color w:val="052666"/>
                <w:w w:val="99"/>
              </w:rPr>
              <w:t>Year</w:t>
            </w:r>
          </w:p>
        </w:tc>
        <w:tc>
          <w:tcPr>
            <w:tcW w:w="1260" w:type="dxa"/>
            <w:vAlign w:val="bottom"/>
            <w:tcBorders>
              <w:bottom w:val="single" w:sz="8" w:color="052666"/>
            </w:tcBorders>
          </w:tcPr>
          <w:p>
            <w:pPr>
              <w:jc w:val="center"/>
              <w:ind w:left="77"/>
              <w:spacing w:after="0"/>
              <w:rPr>
                <w:sz w:val="20"/>
                <w:szCs w:val="20"/>
                <w:color w:val="auto"/>
              </w:rPr>
            </w:pPr>
            <w:r>
              <w:rPr>
                <w:rFonts w:ascii="Arial" w:cs="Arial" w:eastAsia="Arial" w:hAnsi="Arial"/>
                <w:sz w:val="12"/>
                <w:szCs w:val="12"/>
                <w:b w:val="1"/>
                <w:bCs w:val="1"/>
                <w:color w:val="052666"/>
                <w:w w:val="95"/>
              </w:rPr>
              <w:t>Executives</w:t>
            </w:r>
          </w:p>
        </w:tc>
        <w:tc>
          <w:tcPr>
            <w:tcW w:w="380" w:type="dxa"/>
            <w:vAlign w:val="bottom"/>
            <w:tcBorders>
              <w:bottom w:val="single" w:sz="8" w:color="052666"/>
            </w:tcBorders>
          </w:tcPr>
          <w:p>
            <w:pPr>
              <w:spacing w:after="0"/>
              <w:rPr>
                <w:sz w:val="12"/>
                <w:szCs w:val="12"/>
                <w:color w:val="auto"/>
              </w:rPr>
            </w:pPr>
          </w:p>
        </w:tc>
        <w:tc>
          <w:tcPr>
            <w:tcW w:w="840" w:type="dxa"/>
            <w:vAlign w:val="bottom"/>
            <w:tcBorders>
              <w:bottom w:val="single" w:sz="8" w:color="052666"/>
            </w:tcBorders>
          </w:tcPr>
          <w:p>
            <w:pPr>
              <w:jc w:val="right"/>
              <w:ind w:right="438"/>
              <w:spacing w:after="0"/>
              <w:rPr>
                <w:sz w:val="20"/>
                <w:szCs w:val="20"/>
                <w:color w:val="auto"/>
              </w:rPr>
            </w:pPr>
            <w:r>
              <w:rPr>
                <w:rFonts w:ascii="Arial" w:cs="Arial" w:eastAsia="Arial" w:hAnsi="Arial"/>
                <w:sz w:val="12"/>
                <w:szCs w:val="12"/>
                <w:b w:val="1"/>
                <w:bCs w:val="1"/>
                <w:color w:val="052666"/>
              </w:rPr>
              <w:t>(a)</w:t>
            </w:r>
          </w:p>
        </w:tc>
        <w:tc>
          <w:tcPr>
            <w:tcW w:w="240" w:type="dxa"/>
            <w:vAlign w:val="bottom"/>
            <w:tcBorders>
              <w:bottom w:val="single" w:sz="8" w:color="052666"/>
            </w:tcBorders>
          </w:tcPr>
          <w:p>
            <w:pPr>
              <w:spacing w:after="0"/>
              <w:rPr>
                <w:sz w:val="12"/>
                <w:szCs w:val="12"/>
                <w:color w:val="auto"/>
              </w:rPr>
            </w:pPr>
          </w:p>
        </w:tc>
        <w:tc>
          <w:tcPr>
            <w:tcW w:w="900" w:type="dxa"/>
            <w:vAlign w:val="bottom"/>
            <w:tcBorders>
              <w:bottom w:val="single" w:sz="8" w:color="052666"/>
            </w:tcBorders>
          </w:tcPr>
          <w:p>
            <w:pPr>
              <w:jc w:val="center"/>
              <w:ind w:right="179"/>
              <w:spacing w:after="0"/>
              <w:rPr>
                <w:sz w:val="20"/>
                <w:szCs w:val="20"/>
                <w:color w:val="auto"/>
              </w:rPr>
            </w:pPr>
            <w:r>
              <w:rPr>
                <w:rFonts w:ascii="Arial" w:cs="Arial" w:eastAsia="Arial" w:hAnsi="Arial"/>
                <w:sz w:val="12"/>
                <w:szCs w:val="12"/>
                <w:b w:val="1"/>
                <w:bCs w:val="1"/>
                <w:color w:val="052666"/>
                <w:w w:val="91"/>
              </w:rPr>
              <w:t>(b)</w:t>
            </w:r>
          </w:p>
        </w:tc>
        <w:tc>
          <w:tcPr>
            <w:tcW w:w="220" w:type="dxa"/>
            <w:vAlign w:val="bottom"/>
            <w:tcBorders>
              <w:bottom w:val="single" w:sz="8" w:color="052666"/>
            </w:tcBorders>
          </w:tcPr>
          <w:p>
            <w:pPr>
              <w:spacing w:after="0"/>
              <w:rPr>
                <w:sz w:val="12"/>
                <w:szCs w:val="12"/>
                <w:color w:val="auto"/>
              </w:rPr>
            </w:pPr>
          </w:p>
        </w:tc>
        <w:tc>
          <w:tcPr>
            <w:tcW w:w="860" w:type="dxa"/>
            <w:vAlign w:val="bottom"/>
            <w:tcBorders>
              <w:bottom w:val="single" w:sz="8" w:color="052666"/>
            </w:tcBorders>
          </w:tcPr>
          <w:p>
            <w:pPr>
              <w:jc w:val="center"/>
              <w:ind w:right="158"/>
              <w:spacing w:after="0"/>
              <w:rPr>
                <w:sz w:val="20"/>
                <w:szCs w:val="20"/>
                <w:color w:val="auto"/>
              </w:rPr>
            </w:pPr>
            <w:r>
              <w:rPr>
                <w:rFonts w:ascii="Arial" w:cs="Arial" w:eastAsia="Arial" w:hAnsi="Arial"/>
                <w:sz w:val="12"/>
                <w:szCs w:val="12"/>
                <w:b w:val="1"/>
                <w:bCs w:val="1"/>
                <w:color w:val="052666"/>
                <w:w w:val="96"/>
              </w:rPr>
              <w:t>Awards (i)</w:t>
            </w:r>
          </w:p>
        </w:tc>
        <w:tc>
          <w:tcPr>
            <w:tcW w:w="220" w:type="dxa"/>
            <w:vAlign w:val="bottom"/>
            <w:tcBorders>
              <w:bottom w:val="single" w:sz="8" w:color="052666"/>
            </w:tcBorders>
          </w:tcPr>
          <w:p>
            <w:pPr>
              <w:spacing w:after="0"/>
              <w:rPr>
                <w:sz w:val="12"/>
                <w:szCs w:val="12"/>
                <w:color w:val="auto"/>
              </w:rPr>
            </w:pPr>
          </w:p>
        </w:tc>
        <w:tc>
          <w:tcPr>
            <w:tcW w:w="900" w:type="dxa"/>
            <w:vAlign w:val="bottom"/>
            <w:tcBorders>
              <w:bottom w:val="single" w:sz="8" w:color="052666"/>
            </w:tcBorders>
          </w:tcPr>
          <w:p>
            <w:pPr>
              <w:jc w:val="center"/>
              <w:ind w:right="179"/>
              <w:spacing w:after="0"/>
              <w:rPr>
                <w:sz w:val="20"/>
                <w:szCs w:val="20"/>
                <w:color w:val="auto"/>
              </w:rPr>
            </w:pPr>
            <w:r>
              <w:rPr>
                <w:rFonts w:ascii="Arial" w:cs="Arial" w:eastAsia="Arial" w:hAnsi="Arial"/>
                <w:sz w:val="12"/>
                <w:szCs w:val="12"/>
                <w:b w:val="1"/>
                <w:bCs w:val="1"/>
                <w:color w:val="052666"/>
                <w:w w:val="95"/>
              </w:rPr>
              <w:t>(ii)</w:t>
            </w:r>
          </w:p>
        </w:tc>
        <w:tc>
          <w:tcPr>
            <w:tcW w:w="180" w:type="dxa"/>
            <w:vAlign w:val="bottom"/>
            <w:tcBorders>
              <w:bottom w:val="single" w:sz="8" w:color="052666"/>
            </w:tcBorders>
          </w:tcPr>
          <w:p>
            <w:pPr>
              <w:spacing w:after="0"/>
              <w:rPr>
                <w:sz w:val="12"/>
                <w:szCs w:val="12"/>
                <w:color w:val="auto"/>
              </w:rPr>
            </w:pPr>
          </w:p>
        </w:tc>
        <w:tc>
          <w:tcPr>
            <w:tcW w:w="900" w:type="dxa"/>
            <w:vAlign w:val="bottom"/>
            <w:tcBorders>
              <w:bottom w:val="single" w:sz="8" w:color="052666"/>
            </w:tcBorders>
          </w:tcPr>
          <w:p>
            <w:pPr>
              <w:jc w:val="center"/>
              <w:ind w:right="179"/>
              <w:spacing w:after="0"/>
              <w:rPr>
                <w:sz w:val="20"/>
                <w:szCs w:val="20"/>
                <w:color w:val="auto"/>
              </w:rPr>
            </w:pPr>
            <w:r>
              <w:rPr>
                <w:rFonts w:ascii="Arial" w:cs="Arial" w:eastAsia="Arial" w:hAnsi="Arial"/>
                <w:sz w:val="12"/>
                <w:szCs w:val="12"/>
                <w:b w:val="1"/>
                <w:bCs w:val="1"/>
                <w:color w:val="052666"/>
                <w:w w:val="99"/>
              </w:rPr>
              <w:t>(iii)</w:t>
            </w:r>
          </w:p>
        </w:tc>
        <w:tc>
          <w:tcPr>
            <w:tcW w:w="160" w:type="dxa"/>
            <w:vAlign w:val="bottom"/>
            <w:tcBorders>
              <w:bottom w:val="single" w:sz="8" w:color="052666"/>
            </w:tcBorders>
          </w:tcPr>
          <w:p>
            <w:pPr>
              <w:spacing w:after="0"/>
              <w:rPr>
                <w:sz w:val="12"/>
                <w:szCs w:val="12"/>
                <w:color w:val="auto"/>
              </w:rPr>
            </w:pPr>
          </w:p>
        </w:tc>
        <w:tc>
          <w:tcPr>
            <w:tcW w:w="920" w:type="dxa"/>
            <w:vAlign w:val="bottom"/>
            <w:tcBorders>
              <w:bottom w:val="single" w:sz="8" w:color="052666"/>
            </w:tcBorders>
          </w:tcPr>
          <w:p>
            <w:pPr>
              <w:jc w:val="center"/>
              <w:ind w:right="159"/>
              <w:spacing w:after="0"/>
              <w:rPr>
                <w:sz w:val="20"/>
                <w:szCs w:val="20"/>
                <w:color w:val="auto"/>
              </w:rPr>
            </w:pPr>
            <w:r>
              <w:rPr>
                <w:rFonts w:ascii="Arial" w:cs="Arial" w:eastAsia="Arial" w:hAnsi="Arial"/>
                <w:sz w:val="12"/>
                <w:szCs w:val="12"/>
                <w:b w:val="1"/>
                <w:bCs w:val="1"/>
                <w:color w:val="052666"/>
                <w:w w:val="99"/>
              </w:rPr>
              <w:t>(iv)</w:t>
            </w:r>
          </w:p>
        </w:tc>
        <w:tc>
          <w:tcPr>
            <w:tcW w:w="160" w:type="dxa"/>
            <w:vAlign w:val="bottom"/>
            <w:tcBorders>
              <w:bottom w:val="single" w:sz="8" w:color="052666"/>
            </w:tcBorders>
          </w:tcPr>
          <w:p>
            <w:pPr>
              <w:spacing w:after="0"/>
              <w:rPr>
                <w:sz w:val="12"/>
                <w:szCs w:val="12"/>
                <w:color w:val="auto"/>
              </w:rPr>
            </w:pPr>
          </w:p>
        </w:tc>
        <w:tc>
          <w:tcPr>
            <w:tcW w:w="920" w:type="dxa"/>
            <w:vAlign w:val="bottom"/>
            <w:tcBorders>
              <w:bottom w:val="single" w:sz="8" w:color="052666"/>
            </w:tcBorders>
          </w:tcPr>
          <w:p>
            <w:pPr>
              <w:jc w:val="center"/>
              <w:ind w:right="158"/>
              <w:spacing w:after="0"/>
              <w:rPr>
                <w:sz w:val="20"/>
                <w:szCs w:val="20"/>
                <w:color w:val="auto"/>
              </w:rPr>
            </w:pPr>
            <w:r>
              <w:rPr>
                <w:rFonts w:ascii="Arial" w:cs="Arial" w:eastAsia="Arial" w:hAnsi="Arial"/>
                <w:sz w:val="12"/>
                <w:szCs w:val="12"/>
                <w:b w:val="1"/>
                <w:bCs w:val="1"/>
                <w:color w:val="052666"/>
                <w:w w:val="96"/>
              </w:rPr>
              <w:t>+ (iii) + (iv)</w:t>
            </w:r>
          </w:p>
        </w:tc>
        <w:tc>
          <w:tcPr>
            <w:tcW w:w="180" w:type="dxa"/>
            <w:vAlign w:val="bottom"/>
            <w:tcBorders>
              <w:bottom w:val="single" w:sz="8" w:color="052666"/>
            </w:tcBorders>
          </w:tcPr>
          <w:p>
            <w:pPr>
              <w:spacing w:after="0"/>
              <w:rPr>
                <w:sz w:val="12"/>
                <w:szCs w:val="12"/>
                <w:color w:val="auto"/>
              </w:rPr>
            </w:pPr>
          </w:p>
        </w:tc>
        <w:tc>
          <w:tcPr>
            <w:tcW w:w="940" w:type="dxa"/>
            <w:vAlign w:val="bottom"/>
            <w:tcBorders>
              <w:bottom w:val="single" w:sz="8" w:color="052666"/>
            </w:tcBorders>
          </w:tcPr>
          <w:p>
            <w:pPr>
              <w:jc w:val="center"/>
              <w:ind w:right="158"/>
              <w:spacing w:after="0"/>
              <w:rPr>
                <w:sz w:val="20"/>
                <w:szCs w:val="20"/>
                <w:color w:val="auto"/>
              </w:rPr>
            </w:pPr>
            <w:r>
              <w:rPr>
                <w:rFonts w:ascii="Arial" w:cs="Arial" w:eastAsia="Arial" w:hAnsi="Arial"/>
                <w:sz w:val="12"/>
                <w:szCs w:val="12"/>
                <w:b w:val="1"/>
                <w:bCs w:val="1"/>
                <w:color w:val="052666"/>
                <w:w w:val="95"/>
              </w:rPr>
              <w:t>+ (c)</w:t>
            </w:r>
          </w:p>
        </w:tc>
      </w:tr>
      <w:tr>
        <w:trPr>
          <w:trHeight w:val="237"/>
        </w:trPr>
        <w:tc>
          <w:tcPr>
            <w:tcW w:w="10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6"/>
              </w:rPr>
              <w:t>2025</w:t>
            </w:r>
          </w:p>
        </w:tc>
        <w:tc>
          <w:tcPr>
            <w:tcW w:w="1260" w:type="dxa"/>
            <w:vAlign w:val="bottom"/>
            <w:shd w:val="clear" w:color="auto" w:fill="EDEDED"/>
          </w:tcPr>
          <w:p>
            <w:pPr>
              <w:jc w:val="center"/>
              <w:ind w:left="77"/>
              <w:spacing w:after="0"/>
              <w:rPr>
                <w:sz w:val="20"/>
                <w:szCs w:val="20"/>
                <w:color w:val="auto"/>
              </w:rPr>
            </w:pPr>
            <w:r>
              <w:rPr>
                <w:rFonts w:ascii="Arial" w:cs="Arial" w:eastAsia="Arial" w:hAnsi="Arial"/>
                <w:sz w:val="13"/>
                <w:szCs w:val="13"/>
                <w:color w:val="auto"/>
                <w:w w:val="99"/>
              </w:rPr>
              <w:t>CEO</w:t>
            </w:r>
          </w:p>
        </w:tc>
        <w:tc>
          <w:tcPr>
            <w:tcW w:w="38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16,148,937</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9,999,904</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DEDED"/>
          </w:tcPr>
          <w:p>
            <w:pPr>
              <w:jc w:val="right"/>
              <w:ind w:right="38"/>
              <w:spacing w:after="0"/>
              <w:rPr>
                <w:sz w:val="20"/>
                <w:szCs w:val="20"/>
                <w:color w:val="auto"/>
              </w:rPr>
            </w:pPr>
            <w:r>
              <w:rPr>
                <w:rFonts w:ascii="Arial" w:cs="Arial" w:eastAsia="Arial" w:hAnsi="Arial"/>
                <w:sz w:val="13"/>
                <w:szCs w:val="13"/>
                <w:color w:val="auto"/>
              </w:rPr>
              <w:t>12,276,387</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10,772,075</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39"/>
              <w:spacing w:after="0"/>
              <w:rPr>
                <w:sz w:val="20"/>
                <w:szCs w:val="20"/>
                <w:color w:val="auto"/>
              </w:rPr>
            </w:pPr>
            <w:r>
              <w:rPr>
                <w:rFonts w:ascii="Arial" w:cs="Arial" w:eastAsia="Arial" w:hAnsi="Arial"/>
                <w:sz w:val="13"/>
                <w:szCs w:val="13"/>
                <w:color w:val="auto"/>
              </w:rPr>
              <w:t>(1,462,121)</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8"/>
              <w:spacing w:after="0"/>
              <w:rPr>
                <w:sz w:val="20"/>
                <w:szCs w:val="20"/>
                <w:color w:val="auto"/>
              </w:rPr>
            </w:pPr>
            <w:r>
              <w:rPr>
                <w:rFonts w:ascii="Arial" w:cs="Arial" w:eastAsia="Arial" w:hAnsi="Arial"/>
                <w:sz w:val="13"/>
                <w:szCs w:val="13"/>
                <w:color w:val="auto"/>
              </w:rPr>
              <w:t>21,586,341</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27,735,374</w:t>
            </w:r>
          </w:p>
        </w:tc>
      </w:tr>
      <w:tr>
        <w:trPr>
          <w:trHeight w:val="203"/>
        </w:trPr>
        <w:tc>
          <w:tcPr>
            <w:tcW w:w="10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6"/>
              </w:rPr>
              <w:t>2025</w:t>
            </w:r>
          </w:p>
        </w:tc>
        <w:tc>
          <w:tcPr>
            <w:tcW w:w="1260" w:type="dxa"/>
            <w:vAlign w:val="bottom"/>
            <w:shd w:val="clear" w:color="auto" w:fill="EDEDED"/>
          </w:tcPr>
          <w:p>
            <w:pPr>
              <w:jc w:val="center"/>
              <w:ind w:left="77"/>
              <w:spacing w:after="0"/>
              <w:rPr>
                <w:sz w:val="20"/>
                <w:szCs w:val="20"/>
                <w:color w:val="auto"/>
              </w:rPr>
            </w:pPr>
            <w:r>
              <w:rPr>
                <w:rFonts w:ascii="Arial" w:cs="Arial" w:eastAsia="Arial" w:hAnsi="Arial"/>
                <w:sz w:val="13"/>
                <w:szCs w:val="13"/>
                <w:color w:val="auto"/>
                <w:w w:val="95"/>
              </w:rPr>
              <w:t>Other NEOs</w:t>
            </w:r>
          </w:p>
        </w:tc>
        <w:tc>
          <w:tcPr>
            <w:tcW w:w="38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5,530,829</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2,953,813</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DEDED"/>
          </w:tcPr>
          <w:p>
            <w:pPr>
              <w:jc w:val="right"/>
              <w:ind w:right="38"/>
              <w:spacing w:after="0"/>
              <w:rPr>
                <w:sz w:val="20"/>
                <w:szCs w:val="20"/>
                <w:color w:val="auto"/>
              </w:rPr>
            </w:pPr>
            <w:r>
              <w:rPr>
                <w:rFonts w:ascii="Arial" w:cs="Arial" w:eastAsia="Arial" w:hAnsi="Arial"/>
                <w:sz w:val="13"/>
                <w:szCs w:val="13"/>
                <w:color w:val="auto"/>
              </w:rPr>
              <w:t>3,626,250</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3,322,345</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39"/>
              <w:spacing w:after="0"/>
              <w:rPr>
                <w:sz w:val="20"/>
                <w:szCs w:val="20"/>
                <w:color w:val="auto"/>
              </w:rPr>
            </w:pPr>
            <w:r>
              <w:rPr>
                <w:rFonts w:ascii="Arial" w:cs="Arial" w:eastAsia="Arial" w:hAnsi="Arial"/>
                <w:sz w:val="13"/>
                <w:szCs w:val="13"/>
                <w:color w:val="auto"/>
              </w:rPr>
              <w:t>(398,661)</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8"/>
              <w:spacing w:after="0"/>
              <w:rPr>
                <w:sz w:val="20"/>
                <w:szCs w:val="20"/>
                <w:color w:val="auto"/>
              </w:rPr>
            </w:pPr>
            <w:r>
              <w:rPr>
                <w:rFonts w:ascii="Arial" w:cs="Arial" w:eastAsia="Arial" w:hAnsi="Arial"/>
                <w:sz w:val="13"/>
                <w:szCs w:val="13"/>
                <w:color w:val="auto"/>
              </w:rPr>
              <w:t>6,549,934</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9,126,950</w:t>
            </w:r>
          </w:p>
        </w:tc>
      </w:tr>
      <w:tr>
        <w:trPr>
          <w:trHeight w:val="215"/>
        </w:trPr>
        <w:tc>
          <w:tcPr>
            <w:tcW w:w="106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1260" w:type="dxa"/>
            <w:vAlign w:val="bottom"/>
          </w:tcPr>
          <w:p>
            <w:pPr>
              <w:jc w:val="center"/>
              <w:ind w:left="77"/>
              <w:spacing w:after="0"/>
              <w:rPr>
                <w:sz w:val="20"/>
                <w:szCs w:val="20"/>
                <w:color w:val="auto"/>
              </w:rPr>
            </w:pPr>
            <w:r>
              <w:rPr>
                <w:rFonts w:ascii="Arial" w:cs="Arial" w:eastAsia="Arial" w:hAnsi="Arial"/>
                <w:sz w:val="13"/>
                <w:szCs w:val="13"/>
                <w:color w:val="auto"/>
                <w:w w:val="99"/>
              </w:rPr>
              <w:t>CEO</w:t>
            </w:r>
          </w:p>
        </w:tc>
        <w:tc>
          <w:tcPr>
            <w:tcW w:w="3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15,021,836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9,255,605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9,217,204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8,145,304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2,651,390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8"/>
              <w:spacing w:after="0"/>
              <w:rPr>
                <w:sz w:val="20"/>
                <w:szCs w:val="20"/>
                <w:color w:val="auto"/>
              </w:rPr>
            </w:pPr>
            <w:r>
              <w:rPr>
                <w:rFonts w:ascii="Arial" w:cs="Arial" w:eastAsia="Arial" w:hAnsi="Arial"/>
                <w:sz w:val="13"/>
                <w:szCs w:val="13"/>
                <w:color w:val="auto"/>
              </w:rPr>
              <w:t>20,013,897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25,780,128</w:t>
            </w:r>
          </w:p>
        </w:tc>
      </w:tr>
      <w:tr>
        <w:trPr>
          <w:trHeight w:val="190"/>
        </w:trPr>
        <w:tc>
          <w:tcPr>
            <w:tcW w:w="106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1260" w:type="dxa"/>
            <w:vAlign w:val="bottom"/>
          </w:tcPr>
          <w:p>
            <w:pPr>
              <w:jc w:val="center"/>
              <w:ind w:left="77"/>
              <w:spacing w:after="0"/>
              <w:rPr>
                <w:sz w:val="20"/>
                <w:szCs w:val="20"/>
                <w:color w:val="auto"/>
              </w:rPr>
            </w:pPr>
            <w:r>
              <w:rPr>
                <w:rFonts w:ascii="Arial" w:cs="Arial" w:eastAsia="Arial" w:hAnsi="Arial"/>
                <w:sz w:val="13"/>
                <w:szCs w:val="13"/>
                <w:color w:val="auto"/>
                <w:w w:val="95"/>
              </w:rPr>
              <w:t>Other NEOs</w:t>
            </w:r>
          </w:p>
        </w:tc>
        <w:tc>
          <w:tcPr>
            <w:tcW w:w="3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5,449,127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2,840,213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2,828,429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2,330,210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1,822,701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8"/>
              <w:spacing w:after="0"/>
              <w:rPr>
                <w:sz w:val="20"/>
                <w:szCs w:val="20"/>
                <w:color w:val="auto"/>
              </w:rPr>
            </w:pPr>
            <w:r>
              <w:rPr>
                <w:rFonts w:ascii="Arial" w:cs="Arial" w:eastAsia="Arial" w:hAnsi="Arial"/>
                <w:sz w:val="13"/>
                <w:szCs w:val="13"/>
                <w:color w:val="auto"/>
              </w:rPr>
              <w:t>6,981,341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9,590,254</w:t>
            </w:r>
          </w:p>
        </w:tc>
      </w:tr>
      <w:tr>
        <w:trPr>
          <w:trHeight w:val="203"/>
        </w:trPr>
        <w:tc>
          <w:tcPr>
            <w:tcW w:w="10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6"/>
              </w:rPr>
              <w:t>2023</w:t>
            </w:r>
          </w:p>
        </w:tc>
        <w:tc>
          <w:tcPr>
            <w:tcW w:w="1260" w:type="dxa"/>
            <w:vAlign w:val="bottom"/>
            <w:shd w:val="clear" w:color="auto" w:fill="EDEDED"/>
          </w:tcPr>
          <w:p>
            <w:pPr>
              <w:jc w:val="center"/>
              <w:ind w:left="77"/>
              <w:spacing w:after="0"/>
              <w:rPr>
                <w:sz w:val="20"/>
                <w:szCs w:val="20"/>
                <w:color w:val="auto"/>
              </w:rPr>
            </w:pPr>
            <w:r>
              <w:rPr>
                <w:rFonts w:ascii="Arial" w:cs="Arial" w:eastAsia="Arial" w:hAnsi="Arial"/>
                <w:sz w:val="13"/>
                <w:szCs w:val="13"/>
                <w:color w:val="auto"/>
                <w:w w:val="99"/>
              </w:rPr>
              <w:t>CEO</w:t>
            </w:r>
          </w:p>
        </w:tc>
        <w:tc>
          <w:tcPr>
            <w:tcW w:w="38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14,407,937</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9,888,558</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DEDED"/>
          </w:tcPr>
          <w:p>
            <w:pPr>
              <w:jc w:val="right"/>
              <w:ind w:right="38"/>
              <w:spacing w:after="0"/>
              <w:rPr>
                <w:sz w:val="20"/>
                <w:szCs w:val="20"/>
                <w:color w:val="auto"/>
              </w:rPr>
            </w:pPr>
            <w:r>
              <w:rPr>
                <w:rFonts w:ascii="Arial" w:cs="Arial" w:eastAsia="Arial" w:hAnsi="Arial"/>
                <w:sz w:val="13"/>
                <w:szCs w:val="13"/>
                <w:color w:val="auto"/>
              </w:rPr>
              <w:t>13,063,409</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39"/>
              <w:spacing w:after="0"/>
              <w:rPr>
                <w:sz w:val="20"/>
                <w:szCs w:val="20"/>
                <w:color w:val="auto"/>
              </w:rPr>
            </w:pPr>
            <w:r>
              <w:rPr>
                <w:rFonts w:ascii="Arial" w:cs="Arial" w:eastAsia="Arial" w:hAnsi="Arial"/>
                <w:sz w:val="13"/>
                <w:szCs w:val="13"/>
                <w:color w:val="auto"/>
              </w:rPr>
              <w:t>(131,034)</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39"/>
              <w:spacing w:after="0"/>
              <w:rPr>
                <w:sz w:val="20"/>
                <w:szCs w:val="20"/>
                <w:color w:val="auto"/>
              </w:rPr>
            </w:pPr>
            <w:r>
              <w:rPr>
                <w:rFonts w:ascii="Arial" w:cs="Arial" w:eastAsia="Arial" w:hAnsi="Arial"/>
                <w:sz w:val="13"/>
                <w:szCs w:val="13"/>
                <w:color w:val="auto"/>
              </w:rPr>
              <w:t>(2,492,012)</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8"/>
              <w:spacing w:after="0"/>
              <w:rPr>
                <w:sz w:val="20"/>
                <w:szCs w:val="20"/>
                <w:color w:val="auto"/>
              </w:rPr>
            </w:pPr>
            <w:r>
              <w:rPr>
                <w:rFonts w:ascii="Arial" w:cs="Arial" w:eastAsia="Arial" w:hAnsi="Arial"/>
                <w:sz w:val="13"/>
                <w:szCs w:val="13"/>
                <w:color w:val="auto"/>
              </w:rPr>
              <w:t>10,440,363</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14,959,742</w:t>
            </w:r>
          </w:p>
        </w:tc>
      </w:tr>
      <w:tr>
        <w:trPr>
          <w:trHeight w:val="203"/>
        </w:trPr>
        <w:tc>
          <w:tcPr>
            <w:tcW w:w="10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6"/>
              </w:rPr>
              <w:t>2023</w:t>
            </w:r>
          </w:p>
        </w:tc>
        <w:tc>
          <w:tcPr>
            <w:tcW w:w="1260" w:type="dxa"/>
            <w:vAlign w:val="bottom"/>
            <w:shd w:val="clear" w:color="auto" w:fill="EDEDED"/>
          </w:tcPr>
          <w:p>
            <w:pPr>
              <w:jc w:val="center"/>
              <w:ind w:left="77"/>
              <w:spacing w:after="0"/>
              <w:rPr>
                <w:sz w:val="20"/>
                <w:szCs w:val="20"/>
                <w:color w:val="auto"/>
              </w:rPr>
            </w:pPr>
            <w:r>
              <w:rPr>
                <w:rFonts w:ascii="Arial" w:cs="Arial" w:eastAsia="Arial" w:hAnsi="Arial"/>
                <w:sz w:val="13"/>
                <w:szCs w:val="13"/>
                <w:color w:val="auto"/>
                <w:w w:val="95"/>
              </w:rPr>
              <w:t>Other NEOs</w:t>
            </w:r>
          </w:p>
        </w:tc>
        <w:tc>
          <w:tcPr>
            <w:tcW w:w="38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5,764,662</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3,384,852</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DEDED"/>
          </w:tcPr>
          <w:p>
            <w:pPr>
              <w:jc w:val="right"/>
              <w:ind w:right="38"/>
              <w:spacing w:after="0"/>
              <w:rPr>
                <w:sz w:val="20"/>
                <w:szCs w:val="20"/>
                <w:color w:val="auto"/>
              </w:rPr>
            </w:pPr>
            <w:r>
              <w:rPr>
                <w:rFonts w:ascii="Arial" w:cs="Arial" w:eastAsia="Arial" w:hAnsi="Arial"/>
                <w:sz w:val="13"/>
                <w:szCs w:val="13"/>
                <w:color w:val="auto"/>
              </w:rPr>
              <w:t>4,123,681</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349,678</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39"/>
              <w:spacing w:after="0"/>
              <w:rPr>
                <w:sz w:val="20"/>
                <w:szCs w:val="20"/>
                <w:color w:val="auto"/>
              </w:rPr>
            </w:pPr>
            <w:r>
              <w:rPr>
                <w:rFonts w:ascii="Arial" w:cs="Arial" w:eastAsia="Arial" w:hAnsi="Arial"/>
                <w:sz w:val="13"/>
                <w:szCs w:val="13"/>
                <w:color w:val="auto"/>
              </w:rPr>
              <w:t>(2,225,294)</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8"/>
              <w:spacing w:after="0"/>
              <w:rPr>
                <w:sz w:val="20"/>
                <w:szCs w:val="20"/>
                <w:color w:val="auto"/>
              </w:rPr>
            </w:pPr>
            <w:r>
              <w:rPr>
                <w:rFonts w:ascii="Arial" w:cs="Arial" w:eastAsia="Arial" w:hAnsi="Arial"/>
                <w:sz w:val="13"/>
                <w:szCs w:val="13"/>
                <w:color w:val="auto"/>
              </w:rPr>
              <w:t>2,248,065</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4,627,875</w:t>
            </w:r>
          </w:p>
        </w:tc>
      </w:tr>
      <w:tr>
        <w:trPr>
          <w:trHeight w:val="215"/>
        </w:trPr>
        <w:tc>
          <w:tcPr>
            <w:tcW w:w="106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1260" w:type="dxa"/>
            <w:vAlign w:val="bottom"/>
          </w:tcPr>
          <w:p>
            <w:pPr>
              <w:jc w:val="center"/>
              <w:ind w:left="77"/>
              <w:spacing w:after="0"/>
              <w:rPr>
                <w:sz w:val="20"/>
                <w:szCs w:val="20"/>
                <w:color w:val="auto"/>
              </w:rPr>
            </w:pPr>
            <w:r>
              <w:rPr>
                <w:rFonts w:ascii="Arial" w:cs="Arial" w:eastAsia="Arial" w:hAnsi="Arial"/>
                <w:sz w:val="13"/>
                <w:szCs w:val="13"/>
                <w:color w:val="auto"/>
                <w:w w:val="99"/>
              </w:rPr>
              <w:t>CEO</w:t>
            </w:r>
          </w:p>
        </w:tc>
        <w:tc>
          <w:tcPr>
            <w:tcW w:w="3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10,919,976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9,508,078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9,680,126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430,267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1,953,945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8"/>
              <w:spacing w:after="0"/>
              <w:rPr>
                <w:sz w:val="20"/>
                <w:szCs w:val="20"/>
                <w:color w:val="auto"/>
              </w:rPr>
            </w:pPr>
            <w:r>
              <w:rPr>
                <w:rFonts w:ascii="Arial" w:cs="Arial" w:eastAsia="Arial" w:hAnsi="Arial"/>
                <w:sz w:val="13"/>
                <w:szCs w:val="13"/>
                <w:color w:val="auto"/>
              </w:rPr>
              <w:t>12,064,338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13,476,236</w:t>
            </w:r>
          </w:p>
        </w:tc>
      </w:tr>
      <w:tr>
        <w:trPr>
          <w:trHeight w:val="190"/>
        </w:trPr>
        <w:tc>
          <w:tcPr>
            <w:tcW w:w="106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1260" w:type="dxa"/>
            <w:vAlign w:val="bottom"/>
          </w:tcPr>
          <w:p>
            <w:pPr>
              <w:jc w:val="center"/>
              <w:ind w:left="77"/>
              <w:spacing w:after="0"/>
              <w:rPr>
                <w:sz w:val="20"/>
                <w:szCs w:val="20"/>
                <w:color w:val="auto"/>
              </w:rPr>
            </w:pPr>
            <w:r>
              <w:rPr>
                <w:rFonts w:ascii="Arial" w:cs="Arial" w:eastAsia="Arial" w:hAnsi="Arial"/>
                <w:sz w:val="13"/>
                <w:szCs w:val="13"/>
                <w:color w:val="auto"/>
                <w:w w:val="95"/>
              </w:rPr>
              <w:t>Other NEOs</w:t>
            </w:r>
          </w:p>
        </w:tc>
        <w:tc>
          <w:tcPr>
            <w:tcW w:w="3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3,270,794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2,342,607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1,915,653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865,575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9"/>
              <w:spacing w:after="0"/>
              <w:rPr>
                <w:sz w:val="20"/>
                <w:szCs w:val="20"/>
                <w:color w:val="auto"/>
              </w:rPr>
            </w:pPr>
            <w:r>
              <w:rPr>
                <w:rFonts w:ascii="Arial" w:cs="Arial" w:eastAsia="Arial" w:hAnsi="Arial"/>
                <w:sz w:val="13"/>
                <w:szCs w:val="13"/>
                <w:color w:val="auto"/>
              </w:rPr>
              <w:t>1,920,853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9"/>
              <w:spacing w:after="0"/>
              <w:rPr>
                <w:sz w:val="20"/>
                <w:szCs w:val="20"/>
                <w:color w:val="auto"/>
              </w:rPr>
            </w:pPr>
            <w:r>
              <w:rPr>
                <w:rFonts w:ascii="Arial" w:cs="Arial" w:eastAsia="Arial" w:hAnsi="Arial"/>
                <w:sz w:val="13"/>
                <w:szCs w:val="13"/>
                <w:color w:val="auto"/>
              </w:rPr>
              <w:t>(518,031)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8"/>
              <w:spacing w:after="0"/>
              <w:rPr>
                <w:sz w:val="20"/>
                <w:szCs w:val="20"/>
                <w:color w:val="auto"/>
              </w:rPr>
            </w:pPr>
            <w:r>
              <w:rPr>
                <w:rFonts w:ascii="Arial" w:cs="Arial" w:eastAsia="Arial" w:hAnsi="Arial"/>
                <w:sz w:val="13"/>
                <w:szCs w:val="13"/>
                <w:color w:val="auto"/>
              </w:rPr>
              <w:t>4,184,050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8"/>
              <w:spacing w:after="0"/>
              <w:rPr>
                <w:sz w:val="20"/>
                <w:szCs w:val="20"/>
                <w:color w:val="auto"/>
              </w:rPr>
            </w:pPr>
            <w:r>
              <w:rPr>
                <w:rFonts w:ascii="Arial" w:cs="Arial" w:eastAsia="Arial" w:hAnsi="Arial"/>
                <w:sz w:val="13"/>
                <w:szCs w:val="13"/>
                <w:color w:val="auto"/>
              </w:rPr>
              <w:t>5,112,238</w:t>
            </w:r>
          </w:p>
        </w:tc>
      </w:tr>
      <w:tr>
        <w:trPr>
          <w:trHeight w:val="202"/>
        </w:trPr>
        <w:tc>
          <w:tcPr>
            <w:tcW w:w="10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6"/>
              </w:rPr>
              <w:t>2021</w:t>
            </w:r>
          </w:p>
        </w:tc>
        <w:tc>
          <w:tcPr>
            <w:tcW w:w="1260" w:type="dxa"/>
            <w:vAlign w:val="bottom"/>
            <w:shd w:val="clear" w:color="auto" w:fill="EDEDED"/>
          </w:tcPr>
          <w:p>
            <w:pPr>
              <w:jc w:val="center"/>
              <w:ind w:left="77"/>
              <w:spacing w:after="0"/>
              <w:rPr>
                <w:sz w:val="20"/>
                <w:szCs w:val="20"/>
                <w:color w:val="auto"/>
              </w:rPr>
            </w:pPr>
            <w:r>
              <w:rPr>
                <w:rFonts w:ascii="Arial" w:cs="Arial" w:eastAsia="Arial" w:hAnsi="Arial"/>
                <w:sz w:val="13"/>
                <w:szCs w:val="13"/>
                <w:color w:val="auto"/>
                <w:w w:val="99"/>
              </w:rPr>
              <w:t>CEO</w:t>
            </w:r>
          </w:p>
        </w:tc>
        <w:tc>
          <w:tcPr>
            <w:tcW w:w="38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14,020,942</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10,104,427</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DEDED"/>
          </w:tcPr>
          <w:p>
            <w:pPr>
              <w:jc w:val="right"/>
              <w:ind w:right="38"/>
              <w:spacing w:after="0"/>
              <w:rPr>
                <w:sz w:val="20"/>
                <w:szCs w:val="20"/>
                <w:color w:val="auto"/>
              </w:rPr>
            </w:pPr>
            <w:r>
              <w:rPr>
                <w:rFonts w:ascii="Arial" w:cs="Arial" w:eastAsia="Arial" w:hAnsi="Arial"/>
                <w:sz w:val="13"/>
                <w:szCs w:val="13"/>
                <w:color w:val="auto"/>
              </w:rPr>
              <w:t>8,545,032</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39"/>
              <w:spacing w:after="0"/>
              <w:rPr>
                <w:sz w:val="20"/>
                <w:szCs w:val="20"/>
                <w:color w:val="auto"/>
              </w:rPr>
            </w:pPr>
            <w:r>
              <w:rPr>
                <w:rFonts w:ascii="Arial" w:cs="Arial" w:eastAsia="Arial" w:hAnsi="Arial"/>
                <w:sz w:val="13"/>
                <w:szCs w:val="13"/>
                <w:color w:val="auto"/>
              </w:rPr>
              <w:t>(2,230,851)</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39"/>
              <w:spacing w:after="0"/>
              <w:rPr>
                <w:sz w:val="20"/>
                <w:szCs w:val="20"/>
                <w:color w:val="auto"/>
              </w:rPr>
            </w:pPr>
            <w:r>
              <w:rPr>
                <w:rFonts w:ascii="Arial" w:cs="Arial" w:eastAsia="Arial" w:hAnsi="Arial"/>
                <w:sz w:val="13"/>
                <w:szCs w:val="13"/>
                <w:color w:val="auto"/>
              </w:rPr>
              <w:t>(446,165)</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8"/>
              <w:spacing w:after="0"/>
              <w:rPr>
                <w:sz w:val="20"/>
                <w:szCs w:val="20"/>
                <w:color w:val="auto"/>
              </w:rPr>
            </w:pPr>
            <w:r>
              <w:rPr>
                <w:rFonts w:ascii="Arial" w:cs="Arial" w:eastAsia="Arial" w:hAnsi="Arial"/>
                <w:sz w:val="13"/>
                <w:szCs w:val="13"/>
                <w:color w:val="auto"/>
              </w:rPr>
              <w:t>5,868,017</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9,784,532</w:t>
            </w:r>
          </w:p>
        </w:tc>
      </w:tr>
      <w:tr>
        <w:trPr>
          <w:trHeight w:val="203"/>
        </w:trPr>
        <w:tc>
          <w:tcPr>
            <w:tcW w:w="10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6"/>
              </w:rPr>
              <w:t>2021</w:t>
            </w:r>
          </w:p>
        </w:tc>
        <w:tc>
          <w:tcPr>
            <w:tcW w:w="1260" w:type="dxa"/>
            <w:vAlign w:val="bottom"/>
            <w:shd w:val="clear" w:color="auto" w:fill="EDEDED"/>
          </w:tcPr>
          <w:p>
            <w:pPr>
              <w:jc w:val="center"/>
              <w:ind w:left="77"/>
              <w:spacing w:after="0"/>
              <w:rPr>
                <w:sz w:val="20"/>
                <w:szCs w:val="20"/>
                <w:color w:val="auto"/>
              </w:rPr>
            </w:pPr>
            <w:r>
              <w:rPr>
                <w:rFonts w:ascii="Arial" w:cs="Arial" w:eastAsia="Arial" w:hAnsi="Arial"/>
                <w:sz w:val="13"/>
                <w:szCs w:val="13"/>
                <w:color w:val="auto"/>
                <w:w w:val="95"/>
              </w:rPr>
              <w:t>Other NEOs</w:t>
            </w:r>
          </w:p>
        </w:tc>
        <w:tc>
          <w:tcPr>
            <w:tcW w:w="38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6,684,372</w:t>
            </w:r>
          </w:p>
        </w:tc>
        <w:tc>
          <w:tcPr>
            <w:tcW w:w="2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4,794,552</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DEDED"/>
          </w:tcPr>
          <w:p>
            <w:pPr>
              <w:jc w:val="right"/>
              <w:ind w:right="38"/>
              <w:spacing w:after="0"/>
              <w:rPr>
                <w:sz w:val="20"/>
                <w:szCs w:val="20"/>
                <w:color w:val="auto"/>
              </w:rPr>
            </w:pPr>
            <w:r>
              <w:rPr>
                <w:rFonts w:ascii="Arial" w:cs="Arial" w:eastAsia="Arial" w:hAnsi="Arial"/>
                <w:sz w:val="13"/>
                <w:szCs w:val="13"/>
                <w:color w:val="auto"/>
              </w:rPr>
              <w:t>4,054,620</w:t>
            </w:r>
          </w:p>
        </w:tc>
        <w:tc>
          <w:tcPr>
            <w:tcW w:w="22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39"/>
              <w:spacing w:after="0"/>
              <w:rPr>
                <w:sz w:val="20"/>
                <w:szCs w:val="20"/>
                <w:color w:val="auto"/>
              </w:rPr>
            </w:pPr>
            <w:r>
              <w:rPr>
                <w:rFonts w:ascii="Arial" w:cs="Arial" w:eastAsia="Arial" w:hAnsi="Arial"/>
                <w:sz w:val="13"/>
                <w:szCs w:val="13"/>
                <w:color w:val="auto"/>
              </w:rPr>
              <w:t>(4,194,869)</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EDEDED"/>
          </w:tcPr>
          <w:p>
            <w:pPr>
              <w:jc w:val="right"/>
              <w:ind w:right="39"/>
              <w:spacing w:after="0"/>
              <w:rPr>
                <w:sz w:val="20"/>
                <w:szCs w:val="20"/>
                <w:color w:val="auto"/>
              </w:rPr>
            </w:pPr>
            <w:r>
              <w:rPr>
                <w:rFonts w:ascii="Arial" w:cs="Arial" w:eastAsia="Arial" w:hAnsi="Arial"/>
                <w:sz w:val="13"/>
                <w:szCs w:val="13"/>
                <w:color w:val="auto"/>
              </w:rPr>
              <w:t>(753,674)</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79"/>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EDEDED"/>
          </w:tcPr>
          <w:p>
            <w:pPr>
              <w:jc w:val="right"/>
              <w:ind w:right="38"/>
              <w:spacing w:after="0"/>
              <w:rPr>
                <w:sz w:val="20"/>
                <w:szCs w:val="20"/>
                <w:color w:val="auto"/>
              </w:rPr>
            </w:pPr>
            <w:r>
              <w:rPr>
                <w:rFonts w:ascii="Arial" w:cs="Arial" w:eastAsia="Arial" w:hAnsi="Arial"/>
                <w:sz w:val="13"/>
                <w:szCs w:val="13"/>
                <w:color w:val="auto"/>
              </w:rPr>
              <w:t>(893,923)</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DEDED"/>
          </w:tcPr>
          <w:p>
            <w:pPr>
              <w:jc w:val="right"/>
              <w:ind w:right="58"/>
              <w:spacing w:after="0"/>
              <w:rPr>
                <w:sz w:val="20"/>
                <w:szCs w:val="20"/>
                <w:color w:val="auto"/>
              </w:rPr>
            </w:pPr>
            <w:r>
              <w:rPr>
                <w:rFonts w:ascii="Arial" w:cs="Arial" w:eastAsia="Arial" w:hAnsi="Arial"/>
                <w:sz w:val="13"/>
                <w:szCs w:val="13"/>
                <w:color w:val="auto"/>
              </w:rPr>
              <w:t>995,897</w:t>
            </w:r>
          </w:p>
        </w:tc>
      </w:tr>
      <w:tr>
        <w:trPr>
          <w:trHeight w:val="41"/>
        </w:trPr>
        <w:tc>
          <w:tcPr>
            <w:tcW w:w="106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24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18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80" w:type="dxa"/>
            <w:vAlign w:val="bottom"/>
            <w:tcBorders>
              <w:bottom w:val="single" w:sz="8" w:color="7F7F7F"/>
            </w:tcBorders>
          </w:tcPr>
          <w:p>
            <w:pPr>
              <w:spacing w:after="0"/>
              <w:rPr>
                <w:sz w:val="3"/>
                <w:szCs w:val="3"/>
                <w:color w:val="auto"/>
              </w:rPr>
            </w:pPr>
          </w:p>
        </w:tc>
        <w:tc>
          <w:tcPr>
            <w:tcW w:w="940" w:type="dxa"/>
            <w:vAlign w:val="bottom"/>
            <w:tcBorders>
              <w:bottom w:val="single" w:sz="8" w:color="7F7F7F"/>
            </w:tcBorders>
          </w:tcPr>
          <w:p>
            <w:pPr>
              <w:spacing w:after="0"/>
              <w:rPr>
                <w:sz w:val="3"/>
                <w:szCs w:val="3"/>
                <w:color w:val="auto"/>
              </w:rPr>
            </w:pPr>
          </w:p>
        </w:tc>
      </w:tr>
    </w:tbl>
    <w:p>
      <w:pPr>
        <w:spacing w:after="0" w:line="202" w:lineRule="exact"/>
        <w:rPr>
          <w:sz w:val="20"/>
          <w:szCs w:val="20"/>
          <w:color w:val="auto"/>
        </w:rPr>
      </w:pPr>
    </w:p>
    <w:p>
      <w:pPr>
        <w:jc w:val="both"/>
        <w:ind w:left="500" w:hanging="372"/>
        <w:spacing w:after="0" w:line="266" w:lineRule="auto"/>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Total Shareholder Return (“TSR”) is determined based upon the value of an initial fixed investment of $100. The TSR peer group consists of the industry line peer group reflected in our 2025 Annual Report on Form 10-K pursuant to Item 201(e) of Regulation S-K. The companies in the peer group are as follows: Arcadia Healthcare Company, Inc., Community Health Systems, Inc., HCA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000052"/>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color w:val="auto"/>
        </w:rPr>
        <w:t>Healthcare, Inc., and Tenet Healthcare Corporation. Each year reflects the cumulative total return assuming $100 invested on December 31, 2020 in our common stock and in the our peer group, including subsequent reinvestment of dividends.</w:t>
      </w:r>
    </w:p>
    <w:p>
      <w:pPr>
        <w:spacing w:after="0" w:line="7" w:lineRule="exact"/>
        <w:rPr>
          <w:sz w:val="20"/>
          <w:szCs w:val="20"/>
          <w:color w:val="auto"/>
        </w:rPr>
      </w:pPr>
    </w:p>
    <w:p>
      <w:pPr>
        <w:jc w:val="both"/>
        <w:ind w:left="500" w:hanging="372"/>
        <w:spacing w:after="0" w:line="266"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Adjusted earnings per share, diluted, was selected by the Company as the Company-Selected Measure (“CSM”). It is a non-Generally Accepted Accounting Principles (“GAAP”) financial measure. A reconciliation of adjusted earnings per share, diluted, to the most directly comparable financial measure calculated in accordance with GAAP is included in the Company’s Form 8-K furnished with the SEC on February 26, 2026.</w:t>
      </w:r>
    </w:p>
    <w:p>
      <w:pPr>
        <w:spacing w:after="0" w:line="164"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Changes in pension values for each of the named executives in 2025, 2024, 2023, 2022 and 2021 pursuant to the Executive Retirement Income Plan or the Supplemental Executive Retirement Income Plan, as described herein, are considered service costs. No equity awards of the named executives were granted and vest in the same year for 2025, 2024, 2023, 2022 and 2021.</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Measures that were most important to the last fiscal year</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performance measures reflect the Company’s most important performance measures in effect for 2025, as further described and defined in the Compensation Discussion and Analysis:</w:t>
      </w:r>
    </w:p>
    <w:p>
      <w:pPr>
        <w:spacing w:after="0" w:line="47" w:lineRule="exact"/>
        <w:rPr>
          <w:sz w:val="20"/>
          <w:szCs w:val="20"/>
          <w:color w:val="auto"/>
        </w:rPr>
      </w:pPr>
    </w:p>
    <w:p>
      <w:pPr>
        <w:ind w:left="300" w:hanging="172"/>
        <w:spacing w:after="0"/>
        <w:tabs>
          <w:tab w:leader="none" w:pos="300" w:val="left"/>
        </w:tabs>
        <w:numPr>
          <w:ilvl w:val="0"/>
          <w:numId w:val="56"/>
        </w:numPr>
        <w:rPr>
          <w:rFonts w:ascii="Times New Roman" w:cs="Times New Roman" w:eastAsia="Times New Roman" w:hAnsi="Times New Roman"/>
          <w:sz w:val="20"/>
          <w:szCs w:val="20"/>
          <w:color w:val="052666"/>
        </w:rPr>
      </w:pPr>
      <w:r>
        <w:rPr>
          <w:rFonts w:ascii="Arial" w:cs="Arial" w:eastAsia="Arial" w:hAnsi="Arial"/>
          <w:sz w:val="20"/>
          <w:szCs w:val="20"/>
          <w:color w:val="auto"/>
        </w:rPr>
        <w:t>Adjusted earnings per share, diluted</w:t>
      </w:r>
    </w:p>
    <w:p>
      <w:pPr>
        <w:spacing w:after="0" w:line="106"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56"/>
        </w:numPr>
        <w:rPr>
          <w:rFonts w:ascii="Times New Roman" w:cs="Times New Roman" w:eastAsia="Times New Roman" w:hAnsi="Times New Roman"/>
          <w:sz w:val="20"/>
          <w:szCs w:val="20"/>
          <w:color w:val="052666"/>
        </w:rPr>
      </w:pPr>
      <w:r>
        <w:rPr>
          <w:rFonts w:ascii="Arial" w:cs="Arial" w:eastAsia="Arial" w:hAnsi="Arial"/>
          <w:sz w:val="20"/>
          <w:szCs w:val="20"/>
          <w:color w:val="auto"/>
        </w:rPr>
        <w:t>Income before income taxes for each of the acute care and behavioral health division</w:t>
      </w:r>
    </w:p>
    <w:p>
      <w:pPr>
        <w:spacing w:after="0" w:line="106"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56"/>
        </w:numPr>
        <w:rPr>
          <w:rFonts w:ascii="Times New Roman" w:cs="Times New Roman" w:eastAsia="Times New Roman" w:hAnsi="Times New Roman"/>
          <w:sz w:val="20"/>
          <w:szCs w:val="20"/>
          <w:color w:val="052666"/>
        </w:rPr>
      </w:pPr>
      <w:r>
        <w:rPr>
          <w:rFonts w:ascii="Arial" w:cs="Arial" w:eastAsia="Arial" w:hAnsi="Arial"/>
          <w:sz w:val="20"/>
          <w:szCs w:val="20"/>
          <w:color w:val="auto"/>
        </w:rPr>
        <w:t>Return on capital</w:t>
      </w:r>
    </w:p>
    <w:p>
      <w:pPr>
        <w:spacing w:after="0" w:line="106" w:lineRule="exact"/>
        <w:rPr>
          <w:rFonts w:ascii="Times New Roman" w:cs="Times New Roman" w:eastAsia="Times New Roman" w:hAnsi="Times New Roman"/>
          <w:sz w:val="20"/>
          <w:szCs w:val="20"/>
          <w:color w:val="052666"/>
        </w:rPr>
      </w:pPr>
    </w:p>
    <w:p>
      <w:pPr>
        <w:ind w:left="240" w:hanging="112"/>
        <w:spacing w:after="0" w:line="256" w:lineRule="auto"/>
        <w:tabs>
          <w:tab w:leader="none" w:pos="320" w:val="left"/>
        </w:tabs>
        <w:numPr>
          <w:ilvl w:val="0"/>
          <w:numId w:val="56"/>
        </w:numPr>
        <w:rPr>
          <w:rFonts w:ascii="Times New Roman" w:cs="Times New Roman" w:eastAsia="Times New Roman" w:hAnsi="Times New Roman"/>
          <w:sz w:val="20"/>
          <w:szCs w:val="20"/>
          <w:color w:val="052666"/>
        </w:rPr>
      </w:pPr>
      <w:r>
        <w:rPr>
          <w:rFonts w:ascii="Arial" w:cs="Arial" w:eastAsia="Arial" w:hAnsi="Arial"/>
          <w:sz w:val="20"/>
          <w:szCs w:val="20"/>
          <w:color w:val="auto"/>
        </w:rPr>
        <w:t>Earnings before interest, taxes, depreciation and amortization, and the impacts of other income/expense and net income attributable to noncontrolling interests ("Adjusted EBITDA net of NCI")</w:t>
      </w:r>
    </w:p>
    <w:p>
      <w:pPr>
        <w:spacing w:after="0" w:line="15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As described in our “Compensation Discussion and Analysis”, the Compensation Committee bases the compensation decisions with respect to the named executive officers on an evaluation of one or more of objective business criteria, including the performance measures listed above. The importance of adjusted earnings per share, diluted, and return on capital is reflected in our use of these measures when setting performance standards applicable to the annual incentive compensation for our named executive officers pursuant to the 2022 Executive Incentive Plan. Performance-based restricted stock units awarded to each of our named executive officers will be earned based upon the achievement of a pre-established specified range of target levels based on the three-year growth in our Adjusted EBITDA net of NCI. Our compensation philosophy of aligning pay strongly with performance is grounded in best practices that are regulatory compliant, financially sound and provide long-term value to stockholders.</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Analysis of the Information Presented in the Pay Versus Performance Table</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following charts show the relationship between the Company’s cumulative five-year TSR and that of the industry line peer group reflected in our 2025 Annual Report on Form 10-K pursuant to Item 201(e) of Regulation S-K, as well as the relationships between CAP and the required financial performance measures in the Pay Versus Performance table above – Company TSR, net income and the Company-selected measure of adjusted earnings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000052"/>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89535</wp:posOffset>
            </wp:positionV>
            <wp:extent cx="7132320" cy="7174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717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67</w:t>
      </w:r>
    </w:p>
    <w:p>
      <w:pPr>
        <w:spacing w:after="0" w:line="108"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616585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773" w:right="359" w:bottom="1440" w:gutter="0" w:footer="0" w:header="0"/>
        </w:sectPr>
      </w:pPr>
    </w:p>
    <w:bookmarkStart w:id="70" w:name="page71"/>
    <w:bookmarkEnd w:id="70"/>
    <w:p>
      <w:pPr>
        <w:spacing w:after="0"/>
        <w:rPr>
          <w:sz w:val="20"/>
          <w:szCs w:val="20"/>
          <w:color w:val="auto"/>
        </w:rPr>
      </w:pPr>
      <w:r>
        <w:rPr>
          <w:rFonts w:ascii="Arial" w:cs="Arial" w:eastAsia="Arial" w:hAnsi="Arial"/>
          <w:sz w:val="40"/>
          <w:szCs w:val="40"/>
          <w:b w:val="1"/>
          <w:bCs w:val="1"/>
          <w:color w:val="052666"/>
        </w:rPr>
        <w:t>DIRECTOR COMPENSATION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2025 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information concerning the compensation of our non-employee Directors for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052666"/>
              </w:rPr>
              <w:t>Fees</w:t>
            </w:r>
          </w:p>
        </w:tc>
        <w:tc>
          <w:tcPr>
            <w:tcW w:w="300" w:type="dxa"/>
            <w:vAlign w:val="bottom"/>
          </w:tcPr>
          <w:p>
            <w:pPr>
              <w:spacing w:after="0"/>
              <w:rPr>
                <w:sz w:val="14"/>
                <w:szCs w:val="14"/>
                <w:color w:val="auto"/>
              </w:rPr>
            </w:pPr>
          </w:p>
        </w:tc>
        <w:tc>
          <w:tcPr>
            <w:tcW w:w="1180" w:type="dxa"/>
            <w:vAlign w:val="bottom"/>
          </w:tcPr>
          <w:p>
            <w:pPr>
              <w:jc w:val="center"/>
              <w:ind w:right="204"/>
              <w:spacing w:after="0"/>
              <w:rPr>
                <w:sz w:val="20"/>
                <w:szCs w:val="20"/>
                <w:color w:val="auto"/>
              </w:rPr>
            </w:pPr>
            <w:r>
              <w:rPr>
                <w:rFonts w:ascii="Arial" w:cs="Arial" w:eastAsia="Arial" w:hAnsi="Arial"/>
                <w:sz w:val="14"/>
                <w:szCs w:val="14"/>
                <w:b w:val="1"/>
                <w:bCs w:val="1"/>
                <w:color w:val="052666"/>
              </w:rPr>
              <w:t>Grant Date</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052666"/>
              </w:rPr>
              <w:t>Grant Date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052666"/>
              </w:rPr>
              <w:t>Earned or</w:t>
            </w:r>
          </w:p>
        </w:tc>
        <w:tc>
          <w:tcPr>
            <w:tcW w:w="300" w:type="dxa"/>
            <w:vAlign w:val="bottom"/>
          </w:tcPr>
          <w:p>
            <w:pPr>
              <w:spacing w:after="0"/>
              <w:rPr>
                <w:sz w:val="14"/>
                <w:szCs w:val="14"/>
                <w:color w:val="auto"/>
              </w:rPr>
            </w:pPr>
          </w:p>
        </w:tc>
        <w:tc>
          <w:tcPr>
            <w:tcW w:w="1180" w:type="dxa"/>
            <w:vAlign w:val="bottom"/>
          </w:tcPr>
          <w:p>
            <w:pPr>
              <w:jc w:val="center"/>
              <w:ind w:right="204"/>
              <w:spacing w:after="0"/>
              <w:rPr>
                <w:sz w:val="20"/>
                <w:szCs w:val="20"/>
                <w:color w:val="auto"/>
              </w:rPr>
            </w:pPr>
            <w:r>
              <w:rPr>
                <w:rFonts w:ascii="Arial" w:cs="Arial" w:eastAsia="Arial" w:hAnsi="Arial"/>
                <w:sz w:val="14"/>
                <w:szCs w:val="14"/>
                <w:b w:val="1"/>
                <w:bCs w:val="1"/>
                <w:color w:val="052666"/>
              </w:rPr>
              <w:t>Fair Value</w:t>
            </w:r>
          </w:p>
        </w:tc>
        <w:tc>
          <w:tcPr>
            <w:tcW w:w="220" w:type="dxa"/>
            <w:vAlign w:val="bottom"/>
          </w:tcPr>
          <w:p>
            <w:pPr>
              <w:spacing w:after="0"/>
              <w:rPr>
                <w:sz w:val="14"/>
                <w:szCs w:val="1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052666"/>
              </w:rPr>
              <w:t>Fair Value</w:t>
            </w:r>
          </w:p>
        </w:tc>
        <w:tc>
          <w:tcPr>
            <w:tcW w:w="220" w:type="dxa"/>
            <w:vAlign w:val="bottom"/>
          </w:tcPr>
          <w:p>
            <w:pPr>
              <w:spacing w:after="0"/>
              <w:rPr>
                <w:sz w:val="14"/>
                <w:szCs w:val="14"/>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052666"/>
              </w:rPr>
              <w:t>Non-Equity</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4"/>
        </w:trPr>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4"/>
              <w:spacing w:after="0" w:line="145" w:lineRule="exact"/>
              <w:rPr>
                <w:sz w:val="20"/>
                <w:szCs w:val="20"/>
                <w:color w:val="auto"/>
              </w:rPr>
            </w:pPr>
            <w:r>
              <w:rPr>
                <w:rFonts w:ascii="Arial" w:cs="Arial" w:eastAsia="Arial" w:hAnsi="Arial"/>
                <w:sz w:val="14"/>
                <w:szCs w:val="14"/>
                <w:b w:val="1"/>
                <w:bCs w:val="1"/>
                <w:color w:val="052666"/>
              </w:rPr>
              <w:t>Paid in</w:t>
            </w:r>
          </w:p>
        </w:tc>
        <w:tc>
          <w:tcPr>
            <w:tcW w:w="300" w:type="dxa"/>
            <w:vAlign w:val="bottom"/>
          </w:tcPr>
          <w:p>
            <w:pPr>
              <w:spacing w:after="0"/>
              <w:rPr>
                <w:sz w:val="12"/>
                <w:szCs w:val="12"/>
                <w:color w:val="auto"/>
              </w:rPr>
            </w:pPr>
          </w:p>
        </w:tc>
        <w:tc>
          <w:tcPr>
            <w:tcW w:w="1180" w:type="dxa"/>
            <w:vAlign w:val="bottom"/>
          </w:tcPr>
          <w:p>
            <w:pPr>
              <w:jc w:val="center"/>
              <w:ind w:right="204"/>
              <w:spacing w:after="0" w:line="145" w:lineRule="exact"/>
              <w:rPr>
                <w:sz w:val="20"/>
                <w:szCs w:val="20"/>
                <w:color w:val="auto"/>
              </w:rPr>
            </w:pPr>
            <w:r>
              <w:rPr>
                <w:rFonts w:ascii="Arial" w:cs="Arial" w:eastAsia="Arial" w:hAnsi="Arial"/>
                <w:sz w:val="14"/>
                <w:szCs w:val="14"/>
                <w:b w:val="1"/>
                <w:bCs w:val="1"/>
                <w:color w:val="052666"/>
                <w:w w:val="99"/>
              </w:rPr>
              <w:t>Stock</w:t>
            </w:r>
          </w:p>
        </w:tc>
        <w:tc>
          <w:tcPr>
            <w:tcW w:w="220" w:type="dxa"/>
            <w:vAlign w:val="bottom"/>
          </w:tcPr>
          <w:p>
            <w:pPr>
              <w:spacing w:after="0"/>
              <w:rPr>
                <w:sz w:val="12"/>
                <w:szCs w:val="12"/>
                <w:color w:val="auto"/>
              </w:rPr>
            </w:pPr>
          </w:p>
        </w:tc>
        <w:tc>
          <w:tcPr>
            <w:tcW w:w="900" w:type="dxa"/>
            <w:vAlign w:val="bottom"/>
          </w:tcPr>
          <w:p>
            <w:pPr>
              <w:jc w:val="center"/>
              <w:ind w:right="123"/>
              <w:spacing w:after="0" w:line="145" w:lineRule="exact"/>
              <w:rPr>
                <w:sz w:val="20"/>
                <w:szCs w:val="20"/>
                <w:color w:val="auto"/>
              </w:rPr>
            </w:pPr>
            <w:r>
              <w:rPr>
                <w:rFonts w:ascii="Arial" w:cs="Arial" w:eastAsia="Arial" w:hAnsi="Arial"/>
                <w:sz w:val="14"/>
                <w:szCs w:val="14"/>
                <w:b w:val="1"/>
                <w:bCs w:val="1"/>
                <w:color w:val="052666"/>
              </w:rPr>
              <w:t>Option</w:t>
            </w:r>
          </w:p>
        </w:tc>
        <w:tc>
          <w:tcPr>
            <w:tcW w:w="220" w:type="dxa"/>
            <w:vAlign w:val="bottom"/>
          </w:tcPr>
          <w:p>
            <w:pPr>
              <w:spacing w:after="0"/>
              <w:rPr>
                <w:sz w:val="12"/>
                <w:szCs w:val="12"/>
                <w:color w:val="auto"/>
              </w:rPr>
            </w:pPr>
          </w:p>
        </w:tc>
        <w:tc>
          <w:tcPr>
            <w:tcW w:w="124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052666"/>
              </w:rPr>
              <w:t>Incentive Plan</w:t>
            </w:r>
          </w:p>
        </w:tc>
        <w:tc>
          <w:tcPr>
            <w:tcW w:w="200" w:type="dxa"/>
            <w:vAlign w:val="bottom"/>
          </w:tcPr>
          <w:p>
            <w:pPr>
              <w:spacing w:after="0"/>
              <w:rPr>
                <w:sz w:val="12"/>
                <w:szCs w:val="12"/>
                <w:color w:val="auto"/>
              </w:rPr>
            </w:pPr>
          </w:p>
        </w:tc>
        <w:tc>
          <w:tcPr>
            <w:tcW w:w="1380" w:type="dxa"/>
            <w:vAlign w:val="bottom"/>
          </w:tcPr>
          <w:p>
            <w:pPr>
              <w:jc w:val="center"/>
              <w:ind w:right="142"/>
              <w:spacing w:after="0" w:line="145" w:lineRule="exact"/>
              <w:rPr>
                <w:sz w:val="20"/>
                <w:szCs w:val="20"/>
                <w:color w:val="auto"/>
              </w:rPr>
            </w:pPr>
            <w:r>
              <w:rPr>
                <w:rFonts w:ascii="Arial" w:cs="Arial" w:eastAsia="Arial" w:hAnsi="Arial"/>
                <w:sz w:val="14"/>
                <w:szCs w:val="14"/>
                <w:b w:val="1"/>
                <w:bCs w:val="1"/>
                <w:color w:val="052666"/>
              </w:rPr>
              <w:t>All Other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0"/>
        </w:trPr>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052666"/>
              </w:rPr>
              <w:t>Cash</w:t>
            </w:r>
          </w:p>
        </w:tc>
        <w:tc>
          <w:tcPr>
            <w:tcW w:w="300" w:type="dxa"/>
            <w:vAlign w:val="bottom"/>
          </w:tcPr>
          <w:p>
            <w:pPr>
              <w:spacing w:after="0"/>
              <w:rPr>
                <w:sz w:val="15"/>
                <w:szCs w:val="15"/>
                <w:color w:val="auto"/>
              </w:rPr>
            </w:pPr>
          </w:p>
        </w:tc>
        <w:tc>
          <w:tcPr>
            <w:tcW w:w="1180" w:type="dxa"/>
            <w:vAlign w:val="bottom"/>
          </w:tcPr>
          <w:p>
            <w:pPr>
              <w:jc w:val="center"/>
              <w:ind w:right="204"/>
              <w:spacing w:after="0" w:line="180" w:lineRule="exact"/>
              <w:rPr>
                <w:sz w:val="20"/>
                <w:szCs w:val="20"/>
                <w:color w:val="auto"/>
              </w:rPr>
            </w:pPr>
            <w:r>
              <w:rPr>
                <w:rFonts w:ascii="Arial" w:cs="Arial" w:eastAsia="Arial" w:hAnsi="Arial"/>
                <w:sz w:val="14"/>
                <w:szCs w:val="14"/>
                <w:b w:val="1"/>
                <w:bCs w:val="1"/>
                <w:color w:val="052666"/>
                <w:w w:val="94"/>
              </w:rPr>
              <w:t>Awards</w:t>
            </w:r>
            <w:r>
              <w:rPr>
                <w:rFonts w:ascii="Arial" w:cs="Arial" w:eastAsia="Arial" w:hAnsi="Arial"/>
                <w:sz w:val="19"/>
                <w:szCs w:val="19"/>
                <w:b w:val="1"/>
                <w:bCs w:val="1"/>
                <w:color w:val="052666"/>
                <w:w w:val="94"/>
                <w:vertAlign w:val="superscript"/>
              </w:rPr>
              <w:t>(1.)</w:t>
            </w:r>
          </w:p>
        </w:tc>
        <w:tc>
          <w:tcPr>
            <w:tcW w:w="220" w:type="dxa"/>
            <w:vAlign w:val="bottom"/>
          </w:tcPr>
          <w:p>
            <w:pPr>
              <w:spacing w:after="0"/>
              <w:rPr>
                <w:sz w:val="15"/>
                <w:szCs w:val="15"/>
                <w:color w:val="auto"/>
              </w:rPr>
            </w:pPr>
          </w:p>
        </w:tc>
        <w:tc>
          <w:tcPr>
            <w:tcW w:w="900" w:type="dxa"/>
            <w:vAlign w:val="bottom"/>
          </w:tcPr>
          <w:p>
            <w:pPr>
              <w:jc w:val="center"/>
              <w:ind w:right="143"/>
              <w:spacing w:after="0"/>
              <w:rPr>
                <w:sz w:val="20"/>
                <w:szCs w:val="20"/>
                <w:color w:val="auto"/>
              </w:rPr>
            </w:pPr>
            <w:r>
              <w:rPr>
                <w:rFonts w:ascii="Arial" w:cs="Arial" w:eastAsia="Arial" w:hAnsi="Arial"/>
                <w:sz w:val="14"/>
                <w:szCs w:val="14"/>
                <w:b w:val="1"/>
                <w:bCs w:val="1"/>
                <w:color w:val="052666"/>
              </w:rPr>
              <w:t>Awards</w:t>
            </w:r>
          </w:p>
        </w:tc>
        <w:tc>
          <w:tcPr>
            <w:tcW w:w="220" w:type="dxa"/>
            <w:vAlign w:val="bottom"/>
          </w:tcPr>
          <w:p>
            <w:pPr>
              <w:spacing w:after="0"/>
              <w:rPr>
                <w:sz w:val="15"/>
                <w:szCs w:val="15"/>
                <w:color w:val="auto"/>
              </w:rPr>
            </w:pPr>
          </w:p>
        </w:tc>
        <w:tc>
          <w:tcPr>
            <w:tcW w:w="1240" w:type="dxa"/>
            <w:vAlign w:val="bottom"/>
          </w:tcPr>
          <w:p>
            <w:pPr>
              <w:jc w:val="center"/>
              <w:ind w:right="123"/>
              <w:spacing w:after="0"/>
              <w:rPr>
                <w:sz w:val="20"/>
                <w:szCs w:val="20"/>
                <w:color w:val="auto"/>
              </w:rPr>
            </w:pPr>
            <w:r>
              <w:rPr>
                <w:rFonts w:ascii="Arial" w:cs="Arial" w:eastAsia="Arial" w:hAnsi="Arial"/>
                <w:sz w:val="14"/>
                <w:szCs w:val="14"/>
                <w:b w:val="1"/>
                <w:bCs w:val="1"/>
                <w:color w:val="052666"/>
              </w:rPr>
              <w:t>Compensation</w:t>
            </w:r>
          </w:p>
        </w:tc>
        <w:tc>
          <w:tcPr>
            <w:tcW w:w="200" w:type="dxa"/>
            <w:vAlign w:val="bottom"/>
          </w:tcPr>
          <w:p>
            <w:pPr>
              <w:spacing w:after="0"/>
              <w:rPr>
                <w:sz w:val="15"/>
                <w:szCs w:val="15"/>
                <w:color w:val="auto"/>
              </w:rPr>
            </w:pPr>
          </w:p>
        </w:tc>
        <w:tc>
          <w:tcPr>
            <w:tcW w:w="1380" w:type="dxa"/>
            <w:vAlign w:val="bottom"/>
          </w:tcPr>
          <w:p>
            <w:pPr>
              <w:jc w:val="center"/>
              <w:ind w:right="122"/>
              <w:spacing w:after="0" w:line="180" w:lineRule="exact"/>
              <w:rPr>
                <w:sz w:val="20"/>
                <w:szCs w:val="20"/>
                <w:color w:val="auto"/>
              </w:rPr>
            </w:pPr>
            <w:r>
              <w:rPr>
                <w:rFonts w:ascii="Arial" w:cs="Arial" w:eastAsia="Arial" w:hAnsi="Arial"/>
                <w:sz w:val="14"/>
                <w:szCs w:val="14"/>
                <w:b w:val="1"/>
                <w:bCs w:val="1"/>
                <w:color w:val="052666"/>
                <w:w w:val="98"/>
              </w:rPr>
              <w:t>Compensation</w:t>
            </w:r>
            <w:r>
              <w:rPr>
                <w:rFonts w:ascii="Arial" w:cs="Arial" w:eastAsia="Arial" w:hAnsi="Arial"/>
                <w:sz w:val="19"/>
                <w:szCs w:val="19"/>
                <w:b w:val="1"/>
                <w:bCs w:val="1"/>
                <w:color w:val="052666"/>
                <w:w w:val="98"/>
                <w:vertAlign w:val="superscript"/>
              </w:rPr>
              <w:t>(2.)</w:t>
            </w:r>
          </w:p>
        </w:tc>
        <w:tc>
          <w:tcPr>
            <w:tcW w:w="280" w:type="dxa"/>
            <w:vAlign w:val="bottom"/>
          </w:tcPr>
          <w:p>
            <w:pPr>
              <w:spacing w:after="0"/>
              <w:rPr>
                <w:sz w:val="15"/>
                <w:szCs w:val="15"/>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052666"/>
              </w:rPr>
              <w:t>Total</w:t>
            </w:r>
          </w:p>
        </w:tc>
      </w:tr>
      <w:tr>
        <w:trPr>
          <w:trHeight w:val="205"/>
        </w:trPr>
        <w:tc>
          <w:tcPr>
            <w:tcW w:w="3320" w:type="dxa"/>
            <w:vAlign w:val="bottom"/>
            <w:tcBorders>
              <w:bottom w:val="single" w:sz="8" w:color="052666"/>
            </w:tcBorders>
          </w:tcPr>
          <w:p>
            <w:pPr>
              <w:ind w:left="40"/>
              <w:spacing w:after="0"/>
              <w:rPr>
                <w:sz w:val="20"/>
                <w:szCs w:val="20"/>
                <w:color w:val="auto"/>
              </w:rPr>
            </w:pPr>
            <w:r>
              <w:rPr>
                <w:rFonts w:ascii="Arial" w:cs="Arial" w:eastAsia="Arial" w:hAnsi="Arial"/>
                <w:sz w:val="14"/>
                <w:szCs w:val="14"/>
                <w:b w:val="1"/>
                <w:bCs w:val="1"/>
                <w:color w:val="052666"/>
              </w:rPr>
              <w:t>Name</w:t>
            </w:r>
          </w:p>
        </w:tc>
        <w:tc>
          <w:tcPr>
            <w:tcW w:w="220" w:type="dxa"/>
            <w:vAlign w:val="bottom"/>
            <w:tcBorders>
              <w:bottom w:val="single" w:sz="8" w:color="052666"/>
            </w:tcBorders>
          </w:tcPr>
          <w:p>
            <w:pPr>
              <w:spacing w:after="0"/>
              <w:rPr>
                <w:sz w:val="17"/>
                <w:szCs w:val="17"/>
                <w:color w:val="auto"/>
              </w:rPr>
            </w:pPr>
          </w:p>
        </w:tc>
        <w:tc>
          <w:tcPr>
            <w:tcW w:w="940" w:type="dxa"/>
            <w:vAlign w:val="bottom"/>
            <w:tcBorders>
              <w:bottom w:val="single" w:sz="8" w:color="052666"/>
            </w:tcBorders>
          </w:tcPr>
          <w:p>
            <w:pPr>
              <w:jc w:val="center"/>
              <w:ind w:right="164"/>
              <w:spacing w:after="0"/>
              <w:rPr>
                <w:sz w:val="20"/>
                <w:szCs w:val="20"/>
                <w:color w:val="auto"/>
              </w:rPr>
            </w:pPr>
            <w:r>
              <w:rPr>
                <w:rFonts w:ascii="Arial" w:cs="Arial" w:eastAsia="Arial" w:hAnsi="Arial"/>
                <w:sz w:val="14"/>
                <w:szCs w:val="14"/>
                <w:b w:val="1"/>
                <w:bCs w:val="1"/>
                <w:color w:val="052666"/>
              </w:rPr>
              <w:t>($)</w:t>
            </w:r>
          </w:p>
        </w:tc>
        <w:tc>
          <w:tcPr>
            <w:tcW w:w="300" w:type="dxa"/>
            <w:vAlign w:val="bottom"/>
            <w:tcBorders>
              <w:bottom w:val="single" w:sz="8" w:color="052666"/>
            </w:tcBorders>
          </w:tcPr>
          <w:p>
            <w:pPr>
              <w:spacing w:after="0"/>
              <w:rPr>
                <w:sz w:val="17"/>
                <w:szCs w:val="17"/>
                <w:color w:val="auto"/>
              </w:rPr>
            </w:pPr>
          </w:p>
        </w:tc>
        <w:tc>
          <w:tcPr>
            <w:tcW w:w="1180" w:type="dxa"/>
            <w:vAlign w:val="bottom"/>
            <w:tcBorders>
              <w:bottom w:val="single" w:sz="8" w:color="052666"/>
            </w:tcBorders>
          </w:tcPr>
          <w:p>
            <w:pPr>
              <w:jc w:val="center"/>
              <w:ind w:right="204"/>
              <w:spacing w:after="0"/>
              <w:rPr>
                <w:sz w:val="20"/>
                <w:szCs w:val="20"/>
                <w:color w:val="auto"/>
              </w:rPr>
            </w:pPr>
            <w:r>
              <w:rPr>
                <w:rFonts w:ascii="Arial" w:cs="Arial" w:eastAsia="Arial" w:hAnsi="Arial"/>
                <w:sz w:val="14"/>
                <w:szCs w:val="14"/>
                <w:b w:val="1"/>
                <w:bCs w:val="1"/>
                <w:color w:val="052666"/>
              </w:rPr>
              <w:t>($)</w:t>
            </w:r>
          </w:p>
        </w:tc>
        <w:tc>
          <w:tcPr>
            <w:tcW w:w="220" w:type="dxa"/>
            <w:vAlign w:val="bottom"/>
            <w:tcBorders>
              <w:bottom w:val="single" w:sz="8" w:color="052666"/>
            </w:tcBorders>
          </w:tcPr>
          <w:p>
            <w:pPr>
              <w:spacing w:after="0"/>
              <w:rPr>
                <w:sz w:val="17"/>
                <w:szCs w:val="17"/>
                <w:color w:val="auto"/>
              </w:rPr>
            </w:pPr>
          </w:p>
        </w:tc>
        <w:tc>
          <w:tcPr>
            <w:tcW w:w="900" w:type="dxa"/>
            <w:vAlign w:val="bottom"/>
            <w:tcBorders>
              <w:bottom w:val="single" w:sz="8" w:color="052666"/>
            </w:tcBorders>
          </w:tcPr>
          <w:p>
            <w:pPr>
              <w:jc w:val="center"/>
              <w:ind w:right="123"/>
              <w:spacing w:after="0"/>
              <w:rPr>
                <w:sz w:val="20"/>
                <w:szCs w:val="20"/>
                <w:color w:val="auto"/>
              </w:rPr>
            </w:pPr>
            <w:r>
              <w:rPr>
                <w:rFonts w:ascii="Arial" w:cs="Arial" w:eastAsia="Arial" w:hAnsi="Arial"/>
                <w:sz w:val="14"/>
                <w:szCs w:val="14"/>
                <w:b w:val="1"/>
                <w:bCs w:val="1"/>
                <w:color w:val="052666"/>
              </w:rPr>
              <w:t>($)</w:t>
            </w:r>
          </w:p>
        </w:tc>
        <w:tc>
          <w:tcPr>
            <w:tcW w:w="220" w:type="dxa"/>
            <w:vAlign w:val="bottom"/>
            <w:tcBorders>
              <w:bottom w:val="single" w:sz="8" w:color="052666"/>
            </w:tcBorders>
          </w:tcPr>
          <w:p>
            <w:pPr>
              <w:spacing w:after="0"/>
              <w:rPr>
                <w:sz w:val="17"/>
                <w:szCs w:val="17"/>
                <w:color w:val="auto"/>
              </w:rPr>
            </w:pPr>
          </w:p>
        </w:tc>
        <w:tc>
          <w:tcPr>
            <w:tcW w:w="1240" w:type="dxa"/>
            <w:vAlign w:val="bottom"/>
            <w:tcBorders>
              <w:bottom w:val="single" w:sz="8" w:color="052666"/>
            </w:tcBorders>
          </w:tcPr>
          <w:p>
            <w:pPr>
              <w:jc w:val="center"/>
              <w:ind w:right="143"/>
              <w:spacing w:after="0"/>
              <w:rPr>
                <w:sz w:val="20"/>
                <w:szCs w:val="20"/>
                <w:color w:val="auto"/>
              </w:rPr>
            </w:pPr>
            <w:r>
              <w:rPr>
                <w:rFonts w:ascii="Arial" w:cs="Arial" w:eastAsia="Arial" w:hAnsi="Arial"/>
                <w:sz w:val="14"/>
                <w:szCs w:val="14"/>
                <w:b w:val="1"/>
                <w:bCs w:val="1"/>
                <w:color w:val="052666"/>
              </w:rPr>
              <w:t>($)</w:t>
            </w:r>
          </w:p>
        </w:tc>
        <w:tc>
          <w:tcPr>
            <w:tcW w:w="200" w:type="dxa"/>
            <w:vAlign w:val="bottom"/>
            <w:tcBorders>
              <w:bottom w:val="single" w:sz="8" w:color="052666"/>
            </w:tcBorders>
          </w:tcPr>
          <w:p>
            <w:pPr>
              <w:spacing w:after="0"/>
              <w:rPr>
                <w:sz w:val="17"/>
                <w:szCs w:val="17"/>
                <w:color w:val="auto"/>
              </w:rPr>
            </w:pPr>
          </w:p>
        </w:tc>
        <w:tc>
          <w:tcPr>
            <w:tcW w:w="1380" w:type="dxa"/>
            <w:vAlign w:val="bottom"/>
            <w:tcBorders>
              <w:bottom w:val="single" w:sz="8" w:color="052666"/>
            </w:tcBorders>
          </w:tcPr>
          <w:p>
            <w:pPr>
              <w:jc w:val="center"/>
              <w:ind w:right="122"/>
              <w:spacing w:after="0"/>
              <w:rPr>
                <w:sz w:val="20"/>
                <w:szCs w:val="20"/>
                <w:color w:val="auto"/>
              </w:rPr>
            </w:pPr>
            <w:r>
              <w:rPr>
                <w:rFonts w:ascii="Arial" w:cs="Arial" w:eastAsia="Arial" w:hAnsi="Arial"/>
                <w:sz w:val="14"/>
                <w:szCs w:val="14"/>
                <w:b w:val="1"/>
                <w:bCs w:val="1"/>
                <w:color w:val="052666"/>
              </w:rPr>
              <w:t>($)</w:t>
            </w:r>
          </w:p>
        </w:tc>
        <w:tc>
          <w:tcPr>
            <w:tcW w:w="280" w:type="dxa"/>
            <w:vAlign w:val="bottom"/>
            <w:tcBorders>
              <w:bottom w:val="single" w:sz="8" w:color="052666"/>
            </w:tcBorders>
          </w:tcPr>
          <w:p>
            <w:pPr>
              <w:spacing w:after="0"/>
              <w:rPr>
                <w:sz w:val="17"/>
                <w:szCs w:val="17"/>
                <w:color w:val="auto"/>
              </w:rPr>
            </w:pPr>
          </w:p>
        </w:tc>
        <w:tc>
          <w:tcPr>
            <w:tcW w:w="840" w:type="dxa"/>
            <w:vAlign w:val="bottom"/>
            <w:tcBorders>
              <w:bottom w:val="single" w:sz="8" w:color="052666"/>
            </w:tcBorders>
          </w:tcPr>
          <w:p>
            <w:pPr>
              <w:jc w:val="right"/>
              <w:ind w:right="402"/>
              <w:spacing w:after="0"/>
              <w:rPr>
                <w:sz w:val="20"/>
                <w:szCs w:val="20"/>
                <w:color w:val="auto"/>
              </w:rPr>
            </w:pPr>
            <w:r>
              <w:rPr>
                <w:rFonts w:ascii="Arial" w:cs="Arial" w:eastAsia="Arial" w:hAnsi="Arial"/>
                <w:sz w:val="14"/>
                <w:szCs w:val="14"/>
                <w:b w:val="1"/>
                <w:bCs w:val="1"/>
                <w:color w:val="052666"/>
              </w:rPr>
              <w:t>($)</w:t>
            </w:r>
          </w:p>
        </w:tc>
      </w:tr>
      <w:tr>
        <w:trPr>
          <w:trHeight w:val="283"/>
        </w:trPr>
        <w:tc>
          <w:tcPr>
            <w:tcW w:w="3320" w:type="dxa"/>
            <w:vAlign w:val="bottom"/>
            <w:shd w:val="clear" w:color="auto" w:fill="EDEDED"/>
          </w:tcPr>
          <w:p>
            <w:pPr>
              <w:ind w:left="40"/>
              <w:spacing w:after="0"/>
              <w:rPr>
                <w:sz w:val="20"/>
                <w:szCs w:val="20"/>
                <w:color w:val="auto"/>
              </w:rPr>
            </w:pPr>
            <w:r>
              <w:rPr>
                <w:rFonts w:ascii="Arial" w:cs="Arial" w:eastAsia="Arial" w:hAnsi="Arial"/>
                <w:sz w:val="16"/>
                <w:szCs w:val="16"/>
                <w:color w:val="auto"/>
              </w:rPr>
              <w:t>Nina Chen-Langenmayr</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DEDED"/>
          </w:tcPr>
          <w:p>
            <w:pPr>
              <w:jc w:val="right"/>
              <w:ind w:right="44"/>
              <w:spacing w:after="0"/>
              <w:rPr>
                <w:sz w:val="20"/>
                <w:szCs w:val="20"/>
                <w:color w:val="auto"/>
              </w:rPr>
            </w:pPr>
            <w:r>
              <w:rPr>
                <w:rFonts w:ascii="Arial" w:cs="Arial" w:eastAsia="Arial" w:hAnsi="Arial"/>
                <w:sz w:val="16"/>
                <w:szCs w:val="16"/>
                <w:color w:val="auto"/>
              </w:rPr>
              <w:t>118,750</w:t>
            </w:r>
          </w:p>
        </w:tc>
        <w:tc>
          <w:tcPr>
            <w:tcW w:w="3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DEDED"/>
          </w:tcPr>
          <w:p>
            <w:pPr>
              <w:jc w:val="right"/>
              <w:ind w:right="24"/>
              <w:spacing w:after="0"/>
              <w:rPr>
                <w:sz w:val="20"/>
                <w:szCs w:val="20"/>
                <w:color w:val="auto"/>
              </w:rPr>
            </w:pPr>
            <w:r>
              <w:rPr>
                <w:rFonts w:ascii="Arial" w:cs="Arial" w:eastAsia="Arial" w:hAnsi="Arial"/>
                <w:sz w:val="16"/>
                <w:szCs w:val="16"/>
                <w:color w:val="auto"/>
              </w:rPr>
              <w:t>200,039</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DEDED"/>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DEDED"/>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auto"/>
              </w:rPr>
              <w:t>878</w:t>
            </w:r>
          </w:p>
        </w:tc>
        <w:tc>
          <w:tcPr>
            <w:tcW w:w="2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auto"/>
              </w:rPr>
              <w:t>319,667</w:t>
            </w:r>
          </w:p>
        </w:tc>
      </w:tr>
      <w:tr>
        <w:trPr>
          <w:trHeight w:val="276"/>
        </w:trPr>
        <w:tc>
          <w:tcPr>
            <w:tcW w:w="3320" w:type="dxa"/>
            <w:vAlign w:val="bottom"/>
          </w:tcPr>
          <w:p>
            <w:pPr>
              <w:ind w:left="40"/>
              <w:spacing w:after="0"/>
              <w:rPr>
                <w:sz w:val="20"/>
                <w:szCs w:val="20"/>
                <w:color w:val="auto"/>
              </w:rPr>
            </w:pPr>
            <w:r>
              <w:rPr>
                <w:rFonts w:ascii="Arial" w:cs="Arial" w:eastAsia="Arial" w:hAnsi="Arial"/>
                <w:sz w:val="16"/>
                <w:szCs w:val="16"/>
                <w:color w:val="auto"/>
              </w:rPr>
              <w:t>Eileen C. McDonnell</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145,000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200,039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878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345,917</w:t>
            </w:r>
          </w:p>
        </w:tc>
      </w:tr>
      <w:tr>
        <w:trPr>
          <w:trHeight w:val="291"/>
        </w:trPr>
        <w:tc>
          <w:tcPr>
            <w:tcW w:w="3320" w:type="dxa"/>
            <w:vAlign w:val="bottom"/>
            <w:shd w:val="clear" w:color="auto" w:fill="EDEDED"/>
          </w:tcPr>
          <w:p>
            <w:pPr>
              <w:ind w:left="40"/>
              <w:spacing w:after="0"/>
              <w:rPr>
                <w:sz w:val="20"/>
                <w:szCs w:val="20"/>
                <w:color w:val="auto"/>
              </w:rPr>
            </w:pPr>
            <w:r>
              <w:rPr>
                <w:rFonts w:ascii="Arial" w:cs="Arial" w:eastAsia="Arial" w:hAnsi="Arial"/>
                <w:sz w:val="16"/>
                <w:szCs w:val="16"/>
                <w:color w:val="auto"/>
              </w:rPr>
              <w:t>Warren J. Nimetz</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DEDED"/>
          </w:tcPr>
          <w:p>
            <w:pPr>
              <w:jc w:val="right"/>
              <w:ind w:right="44"/>
              <w:spacing w:after="0"/>
              <w:rPr>
                <w:sz w:val="20"/>
                <w:szCs w:val="20"/>
                <w:color w:val="auto"/>
              </w:rPr>
            </w:pPr>
            <w:r>
              <w:rPr>
                <w:rFonts w:ascii="Arial" w:cs="Arial" w:eastAsia="Arial" w:hAnsi="Arial"/>
                <w:sz w:val="16"/>
                <w:szCs w:val="16"/>
                <w:color w:val="auto"/>
              </w:rPr>
              <w:t>100,000</w:t>
            </w:r>
          </w:p>
        </w:tc>
        <w:tc>
          <w:tcPr>
            <w:tcW w:w="3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DEDED"/>
          </w:tcPr>
          <w:p>
            <w:pPr>
              <w:jc w:val="right"/>
              <w:ind w:right="24"/>
              <w:spacing w:after="0"/>
              <w:rPr>
                <w:sz w:val="20"/>
                <w:szCs w:val="20"/>
                <w:color w:val="auto"/>
              </w:rPr>
            </w:pPr>
            <w:r>
              <w:rPr>
                <w:rFonts w:ascii="Arial" w:cs="Arial" w:eastAsia="Arial" w:hAnsi="Arial"/>
                <w:sz w:val="16"/>
                <w:szCs w:val="16"/>
                <w:color w:val="auto"/>
              </w:rPr>
              <w:t>200,039</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DEDED"/>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DEDED"/>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auto"/>
              </w:rPr>
              <w:t>878</w:t>
            </w:r>
          </w:p>
        </w:tc>
        <w:tc>
          <w:tcPr>
            <w:tcW w:w="2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auto"/>
              </w:rPr>
              <w:t>300,917</w:t>
            </w:r>
          </w:p>
        </w:tc>
      </w:tr>
      <w:tr>
        <w:trPr>
          <w:trHeight w:val="276"/>
        </w:trPr>
        <w:tc>
          <w:tcPr>
            <w:tcW w:w="3320" w:type="dxa"/>
            <w:vAlign w:val="bottom"/>
          </w:tcPr>
          <w:p>
            <w:pPr>
              <w:ind w:left="40"/>
              <w:spacing w:after="0"/>
              <w:rPr>
                <w:sz w:val="20"/>
                <w:szCs w:val="20"/>
                <w:color w:val="auto"/>
              </w:rPr>
            </w:pPr>
            <w:r>
              <w:rPr>
                <w:rFonts w:ascii="Arial" w:cs="Arial" w:eastAsia="Arial" w:hAnsi="Arial"/>
                <w:sz w:val="16"/>
                <w:szCs w:val="16"/>
                <w:color w:val="auto"/>
              </w:rPr>
              <w:t>Maria R. Singer</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128,750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200,039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878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329,667</w:t>
            </w:r>
          </w:p>
        </w:tc>
      </w:tr>
      <w:tr>
        <w:trPr>
          <w:trHeight w:val="312"/>
        </w:trPr>
        <w:tc>
          <w:tcPr>
            <w:tcW w:w="3320" w:type="dxa"/>
            <w:vAlign w:val="bottom"/>
            <w:tcBorders>
              <w:bottom w:val="single" w:sz="8" w:color="EDEDED"/>
            </w:tcBorders>
            <w:shd w:val="clear" w:color="auto" w:fill="EDEDED"/>
          </w:tcPr>
          <w:p>
            <w:pPr>
              <w:ind w:left="40"/>
              <w:spacing w:after="0"/>
              <w:rPr>
                <w:sz w:val="20"/>
                <w:szCs w:val="20"/>
                <w:color w:val="auto"/>
              </w:rPr>
            </w:pPr>
            <w:r>
              <w:rPr>
                <w:rFonts w:ascii="Arial" w:cs="Arial" w:eastAsia="Arial" w:hAnsi="Arial"/>
                <w:sz w:val="16"/>
                <w:szCs w:val="16"/>
                <w:color w:val="auto"/>
              </w:rPr>
              <w:t>Elliot J. Sussman, M.D.</w:t>
            </w:r>
          </w:p>
        </w:tc>
        <w:tc>
          <w:tcPr>
            <w:tcW w:w="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auto"/>
              </w:rPr>
              <w:t>152,500</w:t>
            </w:r>
          </w:p>
        </w:tc>
        <w:tc>
          <w:tcPr>
            <w:tcW w:w="3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DEDED"/>
            </w:tcBorders>
            <w:shd w:val="clear" w:color="auto" w:fill="EDEDED"/>
          </w:tcPr>
          <w:p>
            <w:pPr>
              <w:jc w:val="right"/>
              <w:ind w:right="24"/>
              <w:spacing w:after="0"/>
              <w:rPr>
                <w:sz w:val="20"/>
                <w:szCs w:val="20"/>
                <w:color w:val="auto"/>
              </w:rPr>
            </w:pPr>
            <w:r>
              <w:rPr>
                <w:rFonts w:ascii="Arial" w:cs="Arial" w:eastAsia="Arial" w:hAnsi="Arial"/>
                <w:sz w:val="16"/>
                <w:szCs w:val="16"/>
                <w:color w:val="auto"/>
              </w:rPr>
              <w:t>200,039</w:t>
            </w:r>
          </w:p>
        </w:tc>
        <w:tc>
          <w:tcPr>
            <w:tcW w:w="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DEDED"/>
            </w:tcBorders>
            <w:shd w:val="clear" w:color="auto" w:fill="EDEDED"/>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DEDED"/>
            </w:tcBorders>
            <w:shd w:val="clear" w:color="auto" w:fill="EDEDED"/>
          </w:tcPr>
          <w:p>
            <w:pPr>
              <w:ind w:left="9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DEDED"/>
            </w:tcBorders>
            <w:shd w:val="clear" w:color="auto" w:fill="EDEDED"/>
          </w:tcPr>
          <w:p>
            <w:pPr>
              <w:jc w:val="right"/>
              <w:ind w:right="42"/>
              <w:spacing w:after="0"/>
              <w:rPr>
                <w:sz w:val="20"/>
                <w:szCs w:val="20"/>
                <w:color w:val="auto"/>
              </w:rPr>
            </w:pPr>
            <w:r>
              <w:rPr>
                <w:rFonts w:ascii="Arial" w:cs="Arial" w:eastAsia="Arial" w:hAnsi="Arial"/>
                <w:sz w:val="16"/>
                <w:szCs w:val="16"/>
                <w:color w:val="auto"/>
              </w:rPr>
              <w:t>878</w:t>
            </w:r>
          </w:p>
        </w:tc>
        <w:tc>
          <w:tcPr>
            <w:tcW w:w="2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DEDED"/>
            </w:tcBorders>
            <w:shd w:val="clear" w:color="auto" w:fill="EDEDED"/>
          </w:tcPr>
          <w:p>
            <w:pPr>
              <w:jc w:val="right"/>
              <w:ind w:right="42"/>
              <w:spacing w:after="0"/>
              <w:rPr>
                <w:sz w:val="20"/>
                <w:szCs w:val="20"/>
                <w:color w:val="auto"/>
              </w:rPr>
            </w:pPr>
            <w:r>
              <w:rPr>
                <w:rFonts w:ascii="Arial" w:cs="Arial" w:eastAsia="Arial" w:hAnsi="Arial"/>
                <w:sz w:val="16"/>
                <w:szCs w:val="16"/>
                <w:color w:val="auto"/>
              </w:rPr>
              <w:t>353,417</w:t>
            </w:r>
          </w:p>
        </w:tc>
      </w:tr>
      <w:tr>
        <w:trPr>
          <w:trHeight w:val="20"/>
        </w:trPr>
        <w:tc>
          <w:tcPr>
            <w:tcW w:w="332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300" w:type="dxa"/>
            <w:vAlign w:val="bottom"/>
            <w:shd w:val="clear" w:color="auto" w:fill="7F7F7F"/>
          </w:tcPr>
          <w:p>
            <w:pPr>
              <w:spacing w:after="0" w:line="20" w:lineRule="exact"/>
              <w:rPr>
                <w:sz w:val="1"/>
                <w:szCs w:val="1"/>
                <w:color w:val="auto"/>
              </w:rPr>
            </w:pPr>
          </w:p>
        </w:tc>
        <w:tc>
          <w:tcPr>
            <w:tcW w:w="118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90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12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13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840" w:type="dxa"/>
            <w:vAlign w:val="bottom"/>
            <w:shd w:val="clear" w:color="auto" w:fill="7F7F7F"/>
          </w:tcPr>
          <w:p>
            <w:pPr>
              <w:spacing w:after="0" w:line="20" w:lineRule="exact"/>
              <w:rPr>
                <w:sz w:val="1"/>
                <w:szCs w:val="1"/>
                <w:color w:val="auto"/>
              </w:rPr>
            </w:pPr>
          </w:p>
        </w:tc>
      </w:tr>
    </w:tbl>
    <w:p>
      <w:pPr>
        <w:spacing w:after="0" w:line="229" w:lineRule="exact"/>
        <w:rPr>
          <w:sz w:val="20"/>
          <w:szCs w:val="20"/>
          <w:color w:val="auto"/>
        </w:rPr>
      </w:pPr>
    </w:p>
    <w:p>
      <w:pPr>
        <w:jc w:val="both"/>
        <w:ind w:left="500" w:hanging="372"/>
        <w:spacing w:after="0" w:line="259"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May 14, 2025, 1,065 restricted stock units were issued to each of Nina Chen-Langenmayr, Eileen C. McDonnell, Warren J. Nimetz, Maria R. Singer and Elliot J. Sussman, M.D., with a grant date fair value of $200,039, or $187.83 per share. These shares are scheduled to fully vest on the earlier of the one-year anniversary of the date of grant, and the next annual meeting of stockholders which is at least 50 weeks after the immediately preceding year’s annual meeting.</w:t>
      </w:r>
    </w:p>
    <w:p>
      <w:pPr>
        <w:spacing w:after="0" w:line="29" w:lineRule="exact"/>
        <w:rPr>
          <w:rFonts w:ascii="Arial" w:cs="Arial" w:eastAsia="Arial" w:hAnsi="Arial"/>
          <w:sz w:val="16"/>
          <w:szCs w:val="16"/>
          <w:color w:val="auto"/>
        </w:rPr>
      </w:pPr>
    </w:p>
    <w:p>
      <w:pPr>
        <w:ind w:left="500" w:hanging="372"/>
        <w:spacing w:after="0"/>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dividend equivalents paid upon the vesting of restricted stock units issued during 2024 and vested during 2025.</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Our non-employee directors do not participate in either of our retirement income plans or nonqualified deferred compensation plan.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the following equity awards were outstanding for each active director:</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2020" w:type="dxa"/>
            <w:vAlign w:val="bottom"/>
          </w:tcPr>
          <w:p>
            <w:pPr>
              <w:jc w:val="right"/>
              <w:ind w:right="762"/>
              <w:spacing w:after="0"/>
              <w:rPr>
                <w:sz w:val="20"/>
                <w:szCs w:val="20"/>
                <w:color w:val="auto"/>
              </w:rPr>
            </w:pPr>
            <w:r>
              <w:rPr>
                <w:rFonts w:ascii="Arial" w:cs="Arial" w:eastAsia="Arial" w:hAnsi="Arial"/>
                <w:sz w:val="14"/>
                <w:szCs w:val="14"/>
                <w:b w:val="1"/>
                <w:bCs w:val="1"/>
                <w:color w:val="052666"/>
              </w:rPr>
              <w:t>Option</w:t>
            </w:r>
          </w:p>
        </w:tc>
        <w:tc>
          <w:tcPr>
            <w:tcW w:w="1680" w:type="dxa"/>
            <w:vAlign w:val="bottom"/>
          </w:tcPr>
          <w:p>
            <w:pPr>
              <w:spacing w:after="0"/>
              <w:rPr>
                <w:sz w:val="14"/>
                <w:szCs w:val="14"/>
                <w:color w:val="auto"/>
              </w:rPr>
            </w:pPr>
          </w:p>
        </w:tc>
      </w:tr>
      <w:tr>
        <w:trPr>
          <w:trHeight w:val="205"/>
        </w:trPr>
        <w:tc>
          <w:tcPr>
            <w:tcW w:w="7540" w:type="dxa"/>
            <w:vAlign w:val="bottom"/>
            <w:tcBorders>
              <w:bottom w:val="single" w:sz="8" w:color="052666"/>
            </w:tcBorders>
          </w:tcPr>
          <w:p>
            <w:pPr>
              <w:ind w:left="80"/>
              <w:spacing w:after="0"/>
              <w:rPr>
                <w:sz w:val="20"/>
                <w:szCs w:val="20"/>
                <w:color w:val="auto"/>
              </w:rPr>
            </w:pPr>
            <w:r>
              <w:rPr>
                <w:rFonts w:ascii="Arial" w:cs="Arial" w:eastAsia="Arial" w:hAnsi="Arial"/>
                <w:sz w:val="14"/>
                <w:szCs w:val="14"/>
                <w:b w:val="1"/>
                <w:bCs w:val="1"/>
                <w:color w:val="052666"/>
              </w:rPr>
              <w:t>Name</w:t>
            </w:r>
          </w:p>
        </w:tc>
        <w:tc>
          <w:tcPr>
            <w:tcW w:w="2020" w:type="dxa"/>
            <w:vAlign w:val="bottom"/>
            <w:tcBorders>
              <w:bottom w:val="single" w:sz="8" w:color="052666"/>
            </w:tcBorders>
          </w:tcPr>
          <w:p>
            <w:pPr>
              <w:jc w:val="right"/>
              <w:ind w:right="742"/>
              <w:spacing w:after="0"/>
              <w:rPr>
                <w:sz w:val="20"/>
                <w:szCs w:val="20"/>
                <w:color w:val="auto"/>
              </w:rPr>
            </w:pPr>
            <w:r>
              <w:rPr>
                <w:rFonts w:ascii="Arial" w:cs="Arial" w:eastAsia="Arial" w:hAnsi="Arial"/>
                <w:sz w:val="14"/>
                <w:szCs w:val="14"/>
                <w:b w:val="1"/>
                <w:bCs w:val="1"/>
                <w:color w:val="052666"/>
              </w:rPr>
              <w:t>Awards</w:t>
            </w:r>
          </w:p>
        </w:tc>
        <w:tc>
          <w:tcPr>
            <w:tcW w:w="1680" w:type="dxa"/>
            <w:vAlign w:val="bottom"/>
            <w:tcBorders>
              <w:bottom w:val="single" w:sz="8" w:color="052666"/>
            </w:tcBorders>
          </w:tcPr>
          <w:p>
            <w:pPr>
              <w:jc w:val="right"/>
              <w:ind w:right="361"/>
              <w:spacing w:after="0"/>
              <w:rPr>
                <w:sz w:val="20"/>
                <w:szCs w:val="20"/>
                <w:color w:val="auto"/>
              </w:rPr>
            </w:pPr>
            <w:r>
              <w:rPr>
                <w:rFonts w:ascii="Arial" w:cs="Arial" w:eastAsia="Arial" w:hAnsi="Arial"/>
                <w:sz w:val="14"/>
                <w:szCs w:val="14"/>
                <w:b w:val="1"/>
                <w:bCs w:val="1"/>
                <w:color w:val="052666"/>
              </w:rPr>
              <w:t>Stock Awards</w:t>
            </w:r>
          </w:p>
        </w:tc>
      </w:tr>
      <w:tr>
        <w:trPr>
          <w:trHeight w:val="283"/>
        </w:trPr>
        <w:tc>
          <w:tcPr>
            <w:tcW w:w="7540" w:type="dxa"/>
            <w:vAlign w:val="bottom"/>
            <w:shd w:val="clear" w:color="auto" w:fill="EDEDED"/>
          </w:tcPr>
          <w:p>
            <w:pPr>
              <w:ind w:left="80"/>
              <w:spacing w:after="0"/>
              <w:rPr>
                <w:sz w:val="20"/>
                <w:szCs w:val="20"/>
                <w:color w:val="auto"/>
              </w:rPr>
            </w:pPr>
            <w:r>
              <w:rPr>
                <w:rFonts w:ascii="Arial" w:cs="Arial" w:eastAsia="Arial" w:hAnsi="Arial"/>
                <w:sz w:val="16"/>
                <w:szCs w:val="16"/>
                <w:color w:val="auto"/>
              </w:rPr>
              <w:t>Nina Chen-Langenmayr</w:t>
            </w:r>
          </w:p>
        </w:tc>
        <w:tc>
          <w:tcPr>
            <w:tcW w:w="2020" w:type="dxa"/>
            <w:vAlign w:val="bottom"/>
            <w:shd w:val="clear" w:color="auto" w:fill="EDEDED"/>
          </w:tcPr>
          <w:p>
            <w:pPr>
              <w:jc w:val="right"/>
              <w:ind w:right="202"/>
              <w:spacing w:after="0"/>
              <w:rPr>
                <w:sz w:val="20"/>
                <w:szCs w:val="20"/>
                <w:color w:val="auto"/>
              </w:rPr>
            </w:pPr>
            <w:r>
              <w:rPr>
                <w:rFonts w:ascii="Arial" w:cs="Arial" w:eastAsia="Arial" w:hAnsi="Arial"/>
                <w:sz w:val="16"/>
                <w:szCs w:val="16"/>
                <w:color w:val="auto"/>
              </w:rPr>
              <w:t>—</w:t>
            </w:r>
          </w:p>
        </w:tc>
        <w:tc>
          <w:tcPr>
            <w:tcW w:w="168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1,065</w:t>
            </w:r>
          </w:p>
        </w:tc>
      </w:tr>
      <w:tr>
        <w:trPr>
          <w:trHeight w:val="276"/>
        </w:trPr>
        <w:tc>
          <w:tcPr>
            <w:tcW w:w="7540" w:type="dxa"/>
            <w:vAlign w:val="bottom"/>
          </w:tcPr>
          <w:p>
            <w:pPr>
              <w:ind w:left="80"/>
              <w:spacing w:after="0"/>
              <w:rPr>
                <w:sz w:val="20"/>
                <w:szCs w:val="20"/>
                <w:color w:val="auto"/>
              </w:rPr>
            </w:pPr>
            <w:r>
              <w:rPr>
                <w:rFonts w:ascii="Arial" w:cs="Arial" w:eastAsia="Arial" w:hAnsi="Arial"/>
                <w:sz w:val="16"/>
                <w:szCs w:val="16"/>
                <w:color w:val="auto"/>
              </w:rPr>
              <w:t>Eileen C. McDonnell</w:t>
            </w:r>
          </w:p>
        </w:tc>
        <w:tc>
          <w:tcPr>
            <w:tcW w:w="20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1"/>
              <w:spacing w:after="0"/>
              <w:rPr>
                <w:sz w:val="20"/>
                <w:szCs w:val="20"/>
                <w:color w:val="auto"/>
              </w:rPr>
            </w:pPr>
            <w:r>
              <w:rPr>
                <w:rFonts w:ascii="Arial" w:cs="Arial" w:eastAsia="Arial" w:hAnsi="Arial"/>
                <w:sz w:val="16"/>
                <w:szCs w:val="16"/>
                <w:color w:val="auto"/>
              </w:rPr>
              <w:t>1,065</w:t>
            </w:r>
          </w:p>
        </w:tc>
      </w:tr>
      <w:tr>
        <w:trPr>
          <w:trHeight w:val="291"/>
        </w:trPr>
        <w:tc>
          <w:tcPr>
            <w:tcW w:w="7540" w:type="dxa"/>
            <w:vAlign w:val="bottom"/>
            <w:shd w:val="clear" w:color="auto" w:fill="EDEDED"/>
          </w:tcPr>
          <w:p>
            <w:pPr>
              <w:ind w:left="80"/>
              <w:spacing w:after="0"/>
              <w:rPr>
                <w:sz w:val="20"/>
                <w:szCs w:val="20"/>
                <w:color w:val="auto"/>
              </w:rPr>
            </w:pPr>
            <w:r>
              <w:rPr>
                <w:rFonts w:ascii="Arial" w:cs="Arial" w:eastAsia="Arial" w:hAnsi="Arial"/>
                <w:sz w:val="16"/>
                <w:szCs w:val="16"/>
                <w:color w:val="auto"/>
              </w:rPr>
              <w:t>Warren J. Nimetz</w:t>
            </w:r>
          </w:p>
        </w:tc>
        <w:tc>
          <w:tcPr>
            <w:tcW w:w="2020" w:type="dxa"/>
            <w:vAlign w:val="bottom"/>
            <w:shd w:val="clear" w:color="auto" w:fill="EDEDED"/>
          </w:tcPr>
          <w:p>
            <w:pPr>
              <w:jc w:val="right"/>
              <w:ind w:right="202"/>
              <w:spacing w:after="0"/>
              <w:rPr>
                <w:sz w:val="20"/>
                <w:szCs w:val="20"/>
                <w:color w:val="auto"/>
              </w:rPr>
            </w:pPr>
            <w:r>
              <w:rPr>
                <w:rFonts w:ascii="Arial" w:cs="Arial" w:eastAsia="Arial" w:hAnsi="Arial"/>
                <w:sz w:val="16"/>
                <w:szCs w:val="16"/>
                <w:color w:val="auto"/>
              </w:rPr>
              <w:t>—</w:t>
            </w:r>
          </w:p>
        </w:tc>
        <w:tc>
          <w:tcPr>
            <w:tcW w:w="168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1,065</w:t>
            </w:r>
          </w:p>
        </w:tc>
      </w:tr>
      <w:tr>
        <w:trPr>
          <w:trHeight w:val="276"/>
        </w:trPr>
        <w:tc>
          <w:tcPr>
            <w:tcW w:w="7540" w:type="dxa"/>
            <w:vAlign w:val="bottom"/>
          </w:tcPr>
          <w:p>
            <w:pPr>
              <w:ind w:left="80"/>
              <w:spacing w:after="0"/>
              <w:rPr>
                <w:sz w:val="20"/>
                <w:szCs w:val="20"/>
                <w:color w:val="auto"/>
              </w:rPr>
            </w:pPr>
            <w:r>
              <w:rPr>
                <w:rFonts w:ascii="Arial" w:cs="Arial" w:eastAsia="Arial" w:hAnsi="Arial"/>
                <w:sz w:val="16"/>
                <w:szCs w:val="16"/>
                <w:color w:val="auto"/>
              </w:rPr>
              <w:t>Maria R. Singer</w:t>
            </w:r>
          </w:p>
        </w:tc>
        <w:tc>
          <w:tcPr>
            <w:tcW w:w="2020" w:type="dxa"/>
            <w:vAlign w:val="bottom"/>
          </w:tcPr>
          <w:p>
            <w:pPr>
              <w:jc w:val="right"/>
              <w:ind w:right="202"/>
              <w:spacing w:after="0"/>
              <w:rPr>
                <w:sz w:val="20"/>
                <w:szCs w:val="20"/>
                <w:color w:val="auto"/>
              </w:rPr>
            </w:pPr>
            <w:r>
              <w:rPr>
                <w:rFonts w:ascii="Arial" w:cs="Arial" w:eastAsia="Arial" w:hAnsi="Arial"/>
                <w:sz w:val="16"/>
                <w:szCs w:val="16"/>
                <w:color w:val="auto"/>
              </w:rPr>
              <w:t>2,500</w:t>
            </w:r>
          </w:p>
        </w:tc>
        <w:tc>
          <w:tcPr>
            <w:tcW w:w="1680" w:type="dxa"/>
            <w:vAlign w:val="bottom"/>
          </w:tcPr>
          <w:p>
            <w:pPr>
              <w:jc w:val="right"/>
              <w:ind w:right="41"/>
              <w:spacing w:after="0"/>
              <w:rPr>
                <w:sz w:val="20"/>
                <w:szCs w:val="20"/>
                <w:color w:val="auto"/>
              </w:rPr>
            </w:pPr>
            <w:r>
              <w:rPr>
                <w:rFonts w:ascii="Arial" w:cs="Arial" w:eastAsia="Arial" w:hAnsi="Arial"/>
                <w:sz w:val="16"/>
                <w:szCs w:val="16"/>
                <w:color w:val="auto"/>
              </w:rPr>
              <w:t>1,065</w:t>
            </w:r>
          </w:p>
        </w:tc>
      </w:tr>
      <w:tr>
        <w:trPr>
          <w:trHeight w:val="312"/>
        </w:trPr>
        <w:tc>
          <w:tcPr>
            <w:tcW w:w="75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Elliot J. Sussman, M.D.</w:t>
            </w:r>
          </w:p>
        </w:tc>
        <w:tc>
          <w:tcPr>
            <w:tcW w:w="2020" w:type="dxa"/>
            <w:vAlign w:val="bottom"/>
            <w:tcBorders>
              <w:bottom w:val="single" w:sz="8" w:color="EDEDED"/>
            </w:tcBorders>
            <w:shd w:val="clear" w:color="auto" w:fill="EDEDED"/>
          </w:tcPr>
          <w:p>
            <w:pPr>
              <w:jc w:val="right"/>
              <w:ind w:right="202"/>
              <w:spacing w:after="0"/>
              <w:rPr>
                <w:sz w:val="20"/>
                <w:szCs w:val="20"/>
                <w:color w:val="auto"/>
              </w:rPr>
            </w:pPr>
            <w:r>
              <w:rPr>
                <w:rFonts w:ascii="Arial" w:cs="Arial" w:eastAsia="Arial" w:hAnsi="Arial"/>
                <w:sz w:val="16"/>
                <w:szCs w:val="16"/>
                <w:color w:val="auto"/>
              </w:rPr>
              <w:t>2,500</w:t>
            </w:r>
          </w:p>
        </w:tc>
        <w:tc>
          <w:tcPr>
            <w:tcW w:w="1680" w:type="dxa"/>
            <w:vAlign w:val="bottom"/>
            <w:tcBorders>
              <w:bottom w:val="single" w:sz="8" w:color="EDEDED"/>
            </w:tcBorders>
            <w:shd w:val="clear" w:color="auto" w:fill="EDEDED"/>
          </w:tcPr>
          <w:p>
            <w:pPr>
              <w:jc w:val="right"/>
              <w:ind w:right="41"/>
              <w:spacing w:after="0"/>
              <w:rPr>
                <w:sz w:val="20"/>
                <w:szCs w:val="20"/>
                <w:color w:val="auto"/>
              </w:rPr>
            </w:pPr>
            <w:r>
              <w:rPr>
                <w:rFonts w:ascii="Arial" w:cs="Arial" w:eastAsia="Arial" w:hAnsi="Arial"/>
                <w:sz w:val="16"/>
                <w:szCs w:val="16"/>
                <w:color w:val="auto"/>
              </w:rPr>
              <w:t>1,065</w:t>
            </w:r>
          </w:p>
        </w:tc>
      </w:tr>
      <w:tr>
        <w:trPr>
          <w:trHeight w:val="20"/>
        </w:trPr>
        <w:tc>
          <w:tcPr>
            <w:tcW w:w="7540" w:type="dxa"/>
            <w:vAlign w:val="bottom"/>
            <w:shd w:val="clear" w:color="auto" w:fill="7F7F7F"/>
          </w:tcPr>
          <w:p>
            <w:pPr>
              <w:spacing w:after="0" w:line="20" w:lineRule="exact"/>
              <w:rPr>
                <w:sz w:val="1"/>
                <w:szCs w:val="1"/>
                <w:color w:val="auto"/>
              </w:rPr>
            </w:pPr>
          </w:p>
        </w:tc>
        <w:tc>
          <w:tcPr>
            <w:tcW w:w="2020" w:type="dxa"/>
            <w:vAlign w:val="bottom"/>
            <w:shd w:val="clear" w:color="auto" w:fill="7F7F7F"/>
          </w:tcPr>
          <w:p>
            <w:pPr>
              <w:spacing w:after="0" w:line="20" w:lineRule="exact"/>
              <w:rPr>
                <w:sz w:val="1"/>
                <w:szCs w:val="1"/>
                <w:color w:val="auto"/>
              </w:rPr>
            </w:pPr>
          </w:p>
        </w:tc>
        <w:tc>
          <w:tcPr>
            <w:tcW w:w="1680" w:type="dxa"/>
            <w:vAlign w:val="bottom"/>
            <w:shd w:val="clear" w:color="auto" w:fill="7F7F7F"/>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Cash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All non-employee directors received an annual retainer of $100,000 for service on the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Additionally:</w:t>
      </w:r>
    </w:p>
    <w:p>
      <w:pPr>
        <w:spacing w:after="0" w:line="94" w:lineRule="exact"/>
        <w:rPr>
          <w:sz w:val="20"/>
          <w:szCs w:val="20"/>
          <w:color w:val="auto"/>
        </w:rPr>
      </w:pPr>
    </w:p>
    <w:p>
      <w:pPr>
        <w:ind w:left="460" w:hanging="228"/>
        <w:spacing w:after="0" w:line="256" w:lineRule="auto"/>
        <w:tabs>
          <w:tab w:leader="none" w:pos="460" w:val="left"/>
        </w:tabs>
        <w:numPr>
          <w:ilvl w:val="0"/>
          <w:numId w:val="58"/>
        </w:numPr>
        <w:rPr>
          <w:rFonts w:ascii="Times New Roman" w:cs="Times New Roman" w:eastAsia="Times New Roman" w:hAnsi="Times New Roman"/>
          <w:sz w:val="20"/>
          <w:szCs w:val="20"/>
          <w:color w:val="auto"/>
        </w:rPr>
      </w:pPr>
      <w:r>
        <w:rPr>
          <w:rFonts w:ascii="Arial" w:cs="Arial" w:eastAsia="Arial" w:hAnsi="Arial"/>
          <w:sz w:val="20"/>
          <w:szCs w:val="20"/>
          <w:color w:val="auto"/>
        </w:rPr>
        <w:t>Eileen C. McDonnell, Chairperson of the Audit Committee, received an annual retainer of $25,000 for her services in that capacity.</w:t>
      </w:r>
    </w:p>
    <w:p>
      <w:pPr>
        <w:spacing w:after="0" w:line="48" w:lineRule="exact"/>
        <w:rPr>
          <w:rFonts w:ascii="Times New Roman" w:cs="Times New Roman" w:eastAsia="Times New Roman" w:hAnsi="Times New Roman"/>
          <w:sz w:val="20"/>
          <w:szCs w:val="20"/>
          <w:color w:val="auto"/>
        </w:rPr>
      </w:pPr>
    </w:p>
    <w:p>
      <w:pPr>
        <w:ind w:left="460" w:right="20" w:hanging="228"/>
        <w:spacing w:after="0" w:line="256" w:lineRule="auto"/>
        <w:tabs>
          <w:tab w:leader="none" w:pos="460" w:val="left"/>
        </w:tabs>
        <w:numPr>
          <w:ilvl w:val="0"/>
          <w:numId w:val="58"/>
        </w:numPr>
        <w:rPr>
          <w:rFonts w:ascii="Times New Roman" w:cs="Times New Roman" w:eastAsia="Times New Roman" w:hAnsi="Times New Roman"/>
          <w:sz w:val="20"/>
          <w:szCs w:val="20"/>
          <w:color w:val="auto"/>
        </w:rPr>
      </w:pPr>
      <w:r>
        <w:rPr>
          <w:rFonts w:ascii="Arial" w:cs="Arial" w:eastAsia="Arial" w:hAnsi="Arial"/>
          <w:sz w:val="20"/>
          <w:szCs w:val="20"/>
          <w:color w:val="auto"/>
        </w:rPr>
        <w:t>Maria R. Singer and Elliott J. Sussman, M.D., as members of the Audit Committee, each received an annual retainer of $12,500 for services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71" w:name="page72"/>
    <w:bookmarkEnd w:id="71"/>
    <w:p>
      <w:pPr>
        <w:ind w:left="9440"/>
        <w:spacing w:after="0"/>
        <w:rPr>
          <w:sz w:val="20"/>
          <w:szCs w:val="20"/>
          <w:color w:val="auto"/>
        </w:rPr>
      </w:pPr>
      <w:r>
        <w:rPr>
          <w:rFonts w:ascii="Arial" w:cs="Arial" w:eastAsia="Arial" w:hAnsi="Arial"/>
          <w:sz w:val="16"/>
          <w:szCs w:val="16"/>
          <w:b w:val="1"/>
          <w:bCs w:val="1"/>
          <w:color w:val="000052"/>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460" w:hanging="228"/>
        <w:spacing w:after="0" w:line="256" w:lineRule="auto"/>
        <w:tabs>
          <w:tab w:leader="none" w:pos="46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Eileen C. McDonnell, Chairperson of the Compensation Committee, received an annual retainer of $15,000 for her services in that capacity.</w:t>
      </w:r>
    </w:p>
    <w:p>
      <w:pPr>
        <w:spacing w:after="0" w:line="48" w:lineRule="exact"/>
        <w:rPr>
          <w:rFonts w:ascii="Times New Roman" w:cs="Times New Roman" w:eastAsia="Times New Roman" w:hAnsi="Times New Roman"/>
          <w:sz w:val="20"/>
          <w:szCs w:val="20"/>
          <w:color w:val="auto"/>
        </w:rPr>
      </w:pPr>
    </w:p>
    <w:p>
      <w:pPr>
        <w:ind w:left="460" w:right="20" w:hanging="228"/>
        <w:spacing w:after="0" w:line="256" w:lineRule="auto"/>
        <w:tabs>
          <w:tab w:leader="none" w:pos="46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Elliot J. Sussman, M.D., and Nina Chen-Langenmayr, as a members of the Compensation Committee, each received an annual retainer of $7,500 for services in that capacity.</w:t>
      </w:r>
    </w:p>
    <w:p>
      <w:pPr>
        <w:spacing w:after="0" w:line="48" w:lineRule="exact"/>
        <w:rPr>
          <w:rFonts w:ascii="Times New Roman" w:cs="Times New Roman" w:eastAsia="Times New Roman" w:hAnsi="Times New Roman"/>
          <w:sz w:val="20"/>
          <w:szCs w:val="20"/>
          <w:color w:val="auto"/>
        </w:rPr>
      </w:pPr>
    </w:p>
    <w:p>
      <w:pPr>
        <w:jc w:val="both"/>
        <w:ind w:left="460" w:hanging="228"/>
        <w:spacing w:after="0" w:line="241" w:lineRule="auto"/>
        <w:tabs>
          <w:tab w:leader="none" w:pos="46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Elliot J. Sussman, M.D., Chairman of the Nominating and Governance Committee, received an annual retainer of $10,000 for his services in that capacity; as well as an annual retainer fee of $22,500 for his services as Chairman of the Quality and Compliance Committee.</w:t>
      </w:r>
    </w:p>
    <w:p>
      <w:pPr>
        <w:spacing w:after="0" w:line="62" w:lineRule="exact"/>
        <w:rPr>
          <w:rFonts w:ascii="Times New Roman" w:cs="Times New Roman" w:eastAsia="Times New Roman" w:hAnsi="Times New Roman"/>
          <w:sz w:val="20"/>
          <w:szCs w:val="20"/>
          <w:color w:val="auto"/>
        </w:rPr>
      </w:pPr>
    </w:p>
    <w:p>
      <w:pPr>
        <w:ind w:left="460" w:hanging="228"/>
        <w:spacing w:after="0" w:line="256" w:lineRule="auto"/>
        <w:tabs>
          <w:tab w:leader="none" w:pos="46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Maria R. Singer and Nina Chen Langenmayr, as members of the Quality and Compliance Committee, each received an annual retainer of $11,250 for their services in that capacity.</w:t>
      </w:r>
    </w:p>
    <w:p>
      <w:pPr>
        <w:spacing w:after="0" w:line="48" w:lineRule="exact"/>
        <w:rPr>
          <w:rFonts w:ascii="Times New Roman" w:cs="Times New Roman" w:eastAsia="Times New Roman" w:hAnsi="Times New Roman"/>
          <w:sz w:val="20"/>
          <w:szCs w:val="20"/>
          <w:color w:val="auto"/>
        </w:rPr>
      </w:pPr>
    </w:p>
    <w:p>
      <w:pPr>
        <w:ind w:left="460" w:hanging="228"/>
        <w:spacing w:after="0" w:line="256" w:lineRule="auto"/>
        <w:tabs>
          <w:tab w:leader="none" w:pos="46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Maria R. Singer and Eileen C. McDonnell, as a members of the Nominating and Governance Committee, each received an annual retainer of $5,000 for services in that capacity.</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Restricted Stock Units:</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As mentioned above, on May 14, 2025, all non-employee directors received 1,065 restricted stock units of our Class B Common Stock. The restricted stock units, which were granted under our 2020 Omnibus Stock and Incentive Plan, had a grant date value of $200,039 or $187.83 per share. These restricted stock unit awards will fully vest on the earlier of the one-year anniversary of the date of grant, and the next annual meeting of stockholders which is at least 50 weeks after the immediately preceding year’s annual meeting.</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to Director Compensation effective January 1, 2026:</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December 2025, after reviewing market data prepared by FW Cook, the Compensation Committee approved changes to various elements of compensation for the non-employee members of our Board of Directors.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Effective January 1, 2026, all non-employee directors will receive an annual retainer of $110,000 for service on the Board of Directors (was previously $100,000).</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Additionally:</w:t>
      </w:r>
    </w:p>
    <w:p>
      <w:pPr>
        <w:spacing w:after="0" w:line="94" w:lineRule="exact"/>
        <w:rPr>
          <w:sz w:val="20"/>
          <w:szCs w:val="20"/>
          <w:color w:val="auto"/>
        </w:rPr>
      </w:pPr>
    </w:p>
    <w:p>
      <w:pPr>
        <w:ind w:left="460" w:hanging="228"/>
        <w:spacing w:after="0" w:line="256" w:lineRule="auto"/>
        <w:tabs>
          <w:tab w:leader="none" w:pos="46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Eileen C. McDonnell, Chairperson of the Audit Committee, will receive an annual retainer of $25,000 for her services in that capacity (no change from the previous retainer).</w:t>
      </w:r>
    </w:p>
    <w:p>
      <w:pPr>
        <w:spacing w:after="0" w:line="48" w:lineRule="exact"/>
        <w:rPr>
          <w:rFonts w:ascii="Times New Roman" w:cs="Times New Roman" w:eastAsia="Times New Roman" w:hAnsi="Times New Roman"/>
          <w:sz w:val="20"/>
          <w:szCs w:val="20"/>
          <w:color w:val="auto"/>
        </w:rPr>
      </w:pPr>
    </w:p>
    <w:p>
      <w:pPr>
        <w:ind w:left="460" w:hanging="228"/>
        <w:spacing w:after="0" w:line="256" w:lineRule="auto"/>
        <w:tabs>
          <w:tab w:leader="none" w:pos="46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Maria R. Singer and Elliott J. Sussman, M.D., as members of the Audit Committee, will each receive an annual retainer of $15,000 for services in that capacity (was previously $12,500).</w:t>
      </w:r>
    </w:p>
    <w:p>
      <w:pPr>
        <w:spacing w:after="0" w:line="48" w:lineRule="exact"/>
        <w:rPr>
          <w:rFonts w:ascii="Times New Roman" w:cs="Times New Roman" w:eastAsia="Times New Roman" w:hAnsi="Times New Roman"/>
          <w:sz w:val="20"/>
          <w:szCs w:val="20"/>
          <w:color w:val="auto"/>
        </w:rPr>
      </w:pPr>
    </w:p>
    <w:p>
      <w:pPr>
        <w:ind w:left="460" w:right="20" w:hanging="228"/>
        <w:spacing w:after="0" w:line="256" w:lineRule="auto"/>
        <w:tabs>
          <w:tab w:leader="none" w:pos="46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Eileen C. McDonnell, Chairperson of the Compensation Committee, will receive an annual retainer of $20,000 for her services in that capacity (was previously $15,000).</w:t>
      </w:r>
    </w:p>
    <w:p>
      <w:pPr>
        <w:spacing w:after="0" w:line="48" w:lineRule="exact"/>
        <w:rPr>
          <w:rFonts w:ascii="Times New Roman" w:cs="Times New Roman" w:eastAsia="Times New Roman" w:hAnsi="Times New Roman"/>
          <w:sz w:val="20"/>
          <w:szCs w:val="20"/>
          <w:color w:val="auto"/>
        </w:rPr>
      </w:pPr>
    </w:p>
    <w:p>
      <w:pPr>
        <w:ind w:left="460" w:hanging="228"/>
        <w:spacing w:after="0" w:line="256" w:lineRule="auto"/>
        <w:tabs>
          <w:tab w:leader="none" w:pos="46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Elliot J. Sussman, M.D., and Nina Chen-Langenmayr, as a members of the Compensation Committee, will each receive an annual retainer of $10,000 for services in that capacity (was previously $7,500).</w:t>
      </w:r>
    </w:p>
    <w:p>
      <w:pPr>
        <w:spacing w:after="0" w:line="48" w:lineRule="exact"/>
        <w:rPr>
          <w:rFonts w:ascii="Times New Roman" w:cs="Times New Roman" w:eastAsia="Times New Roman" w:hAnsi="Times New Roman"/>
          <w:sz w:val="20"/>
          <w:szCs w:val="20"/>
          <w:color w:val="auto"/>
        </w:rPr>
      </w:pPr>
    </w:p>
    <w:p>
      <w:pPr>
        <w:jc w:val="both"/>
        <w:ind w:left="460" w:right="20" w:hanging="228"/>
        <w:spacing w:after="0" w:line="241" w:lineRule="auto"/>
        <w:tabs>
          <w:tab w:leader="none" w:pos="46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Elliot J. Sussman, M.D., Chairman of the Nominating and Governance Committee, will receive an annual retainer of $10,000 for his services in that capacity; as well as an annual retainer fee of $22,500 for his services as Chairman of the Quality and Compliance Committee (no changes from the previous retainers).</w:t>
      </w:r>
    </w:p>
    <w:p>
      <w:pPr>
        <w:spacing w:after="0" w:line="62" w:lineRule="exact"/>
        <w:rPr>
          <w:rFonts w:ascii="Times New Roman" w:cs="Times New Roman" w:eastAsia="Times New Roman" w:hAnsi="Times New Roman"/>
          <w:sz w:val="20"/>
          <w:szCs w:val="20"/>
          <w:color w:val="auto"/>
        </w:rPr>
      </w:pPr>
    </w:p>
    <w:p>
      <w:pPr>
        <w:ind w:left="460" w:hanging="228"/>
        <w:spacing w:after="0" w:line="256" w:lineRule="auto"/>
        <w:tabs>
          <w:tab w:leader="none" w:pos="46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Maria R. Singer and Nina Chen Langenmayr, as members of the Quality and Compliance Committee, will each receive an annual retainer of $11,250 for their services in that capacity (no change from the previous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000052"/>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460" w:hanging="228"/>
        <w:spacing w:after="0" w:line="256" w:lineRule="auto"/>
        <w:tabs>
          <w:tab w:leader="none" w:pos="460" w:val="left"/>
        </w:tabs>
        <w:numPr>
          <w:ilvl w:val="0"/>
          <w:numId w:val="61"/>
        </w:numPr>
        <w:rPr>
          <w:rFonts w:ascii="Times New Roman" w:cs="Times New Roman" w:eastAsia="Times New Roman" w:hAnsi="Times New Roman"/>
          <w:sz w:val="20"/>
          <w:szCs w:val="20"/>
          <w:color w:val="auto"/>
        </w:rPr>
      </w:pPr>
      <w:r>
        <w:rPr>
          <w:rFonts w:ascii="Arial" w:cs="Arial" w:eastAsia="Arial" w:hAnsi="Arial"/>
          <w:sz w:val="20"/>
          <w:szCs w:val="20"/>
          <w:color w:val="auto"/>
        </w:rPr>
        <w:t>Maria R. Singer and Eileen C. McDonnell, as a members of the Nominating and Governance Committee, will each receive an annual retainer of $5,000 for services in that capacity (no change from the previous retainer).</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2026 Restricted Stock Units:</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It is anticipated that in May, 2026, all non-employee directors will be considered for awards of RSUs of our Class B Common Stock. The grant date value of such awards are expected to remain unchanged from previous awards, amounting to approximately $200,000 per individual and will be scheduled to fully vest on the earlier of the one-year anniversary of the date of grant, and the next annual meeting of stockholders which is at least 50 weeks after the immediately preceding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3" w:name="page74"/>
    <w:bookmarkEnd w:id="73"/>
    <w:p>
      <w:pPr>
        <w:ind w:right="3200"/>
        <w:spacing w:after="0" w:line="284" w:lineRule="auto"/>
        <w:rPr>
          <w:sz w:val="20"/>
          <w:szCs w:val="20"/>
          <w:color w:val="auto"/>
        </w:rPr>
      </w:pPr>
      <w:r>
        <w:rPr>
          <w:rFonts w:ascii="Arial" w:cs="Arial" w:eastAsia="Arial" w:hAnsi="Arial"/>
          <w:sz w:val="40"/>
          <w:szCs w:val="40"/>
          <w:b w:val="1"/>
          <w:bCs w:val="1"/>
          <w:color w:val="052666"/>
        </w:rPr>
        <w:t>CERTAIN RELATIONSHIPS AND RELATED TRANSACTIONS</w:t>
      </w:r>
    </w:p>
    <w:p>
      <w:pPr>
        <w:spacing w:after="0" w:line="27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Alan B. Miller serves as the Executive Chairman. Alan B. Miller also serves as the Chairman of the Board of Trustees, CEO and President of Universal Health Realty Income Trust (“UHT”), a publicly traded real estate investment trust which commenced operations in 1986. The Company acts as advisor to UHT pursuant to the terms of an annually renewable advisory agreement and also leases the real property of certain of its facilities from UHT. Alan B. Miller is a named executive officer and therefore the salary and other compensation arrangements between us and Alan B. Miller are disclosed and described throughout this Proxy Statement.</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Marc D. Miller serves as our Chief Executive Officer (“CEO”), President and a member of our Board of Directors. Marc D. Miller is the son of Alan B. Miller. Marc D. Miller is a named executive officer and therefore the salary and other compensation arrangements between us and Marc D. Miller are disclosed and described throughout this Proxy Statement. Additionally, Marc D. Miller serves as a member of the Board of Trustees of UHT.</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Warren J. Nimetz, a member of our Board of Directors and a member of the Executive Committee and the Finance Committee, is Of Counsel in Norton Rose Fulbright US LLP, the law firm we use as outside corporate counsel. In 2025, we paid approximately $ 1.46 million in legal fees to this law firm for services to the Company. This law firm also provides personal legal services to Alan B. Miller, our Executive Chairman. Mr. Nimetz is the trustee of certain trusts for the benefit of Alan B. Miller and his family.</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March, 2022, UHS had agreed to make an aggregate contribution of $1 million to The Miller Theater (named after Alan B. Miller), which is a non-profit theater operated by the Kimmel Center, Inc. The contribution, in honor of Alan B. Miller, was made in four annual installments of $250,000 each, the fourth and final of which was made in December of 2025.</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Pursuant to our Code of Business Conduct and Corporate Standards, all employees, officers and directors of the Company and its subsidiaries are prohibited from engaging in any relationship or financial interest which is a conflict of interest with, or which interferes or has the potential to interfere with, the interests of the Company or any of its subsidiaries or facilities. In addition, all employees, officers and directors of the Company and its subsidiaries are required to disclose to our chief compliance officer any financial interest or ownership interest or any other relationship that he or she (or a member of his or her immediate family) has with customers, vendors, or competitors of the Company or any of its subsidiaries or facilities.</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All employees, officers and directors of the Company and its subsidiaries are prohibited from entering into a related party transaction with the Company without the prior approval of our Chief Compliance Officer. Any request for the Company to enter into a transaction with an employee, officer or director or any of such persons’ immediate family members must first be presented to our Chief Compliance Officer for review, consideration and approval. In approving or rejecting the proposed agreement, our Chief Compliance Officer will consider the relevant facts and circumstances available and deemed relevant, including but not limited to, the risks, costs, and benefits to the Company, the terms of the transactions, the availability of other sources for comparable services or products, and, if applicable, the impact on director independence. Our Chief Compliance Officer shall only approve those agreements that, in light of known circumstances, are in or are not inconsistent with, the Company’s best interests, as determined in good faith by our Chief Compliance Officer.</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Except as otherwise disclosed in this Proxy Statement, since the beginning of the Company’s last fiscal year, we have not been a party to, and we have no plans to be a party to, any transaction or series of similar transactions in which the amount involved exceeded or will exceed $120,000 and in which any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000052"/>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executive officer or director, holder of more than 5% of our voting securities, or any member of the immediate family of any of the foregoing, had or will have a direct or indirect material interest.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Please see “Corporate Governance—Director Independence” for additional information on the independence of our directors.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 xml:space="preserve">Delinquent Section 16(a) Reports: </w:t>
      </w:r>
      <w:r>
        <w:rPr>
          <w:rFonts w:ascii="Arial" w:cs="Arial" w:eastAsia="Arial" w:hAnsi="Arial"/>
          <w:sz w:val="20"/>
          <w:szCs w:val="20"/>
          <w:color w:val="auto"/>
        </w:rPr>
        <w:t>Section 16(a) of the 1934 Act requires the Company’s directors and certain officers, as well</w:t>
      </w:r>
      <w:r>
        <w:rPr>
          <w:rFonts w:ascii="Arial" w:cs="Arial" w:eastAsia="Arial" w:hAnsi="Arial"/>
          <w:sz w:val="20"/>
          <w:szCs w:val="20"/>
          <w:i w:val="1"/>
          <w:iCs w:val="1"/>
          <w:color w:val="auto"/>
        </w:rPr>
        <w:t xml:space="preserve"> </w:t>
      </w:r>
      <w:r>
        <w:rPr>
          <w:rFonts w:ascii="Arial" w:cs="Arial" w:eastAsia="Arial" w:hAnsi="Arial"/>
          <w:sz w:val="20"/>
          <w:szCs w:val="20"/>
          <w:color w:val="auto"/>
        </w:rPr>
        <w:t>as persons who beneficially own more than 10% of any registered class of our equity securities, to file reports regarding their initial stock ownership and subsequent changes to their ownership with the SEC. Based solely on a review of the reports filed for fiscal year 2024 and related written representations, we believe that all Section 16(a) reports were filed on a timely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5" w:name="page76"/>
    <w:bookmarkEnd w:id="75"/>
    <w:p>
      <w:pPr>
        <w:spacing w:after="0"/>
        <w:rPr>
          <w:sz w:val="20"/>
          <w:szCs w:val="20"/>
          <w:color w:val="auto"/>
        </w:rPr>
      </w:pPr>
      <w:r>
        <w:rPr>
          <w:rFonts w:ascii="Arial" w:cs="Arial" w:eastAsia="Arial" w:hAnsi="Arial"/>
          <w:sz w:val="40"/>
          <w:szCs w:val="40"/>
          <w:b w:val="1"/>
          <w:bCs w:val="1"/>
          <w:color w:val="052666"/>
        </w:rPr>
        <w:t>CORPORATE GOVERNANCE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Director Independence</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Board of Directors has affirmatively determined that four of its seven current members (Nina Chen-Langenmayr, Eileen C. McDonnell, Maria R. Singer and Elliot J. Sussman, M.D.) are independent directors under the applicable rules and regulations of the SEC and the New York Stock Exchange listing standards.</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determining independence, the Board of Directors affirmatively determines each year whether directors have any material relationship with us. When assessing the materiality of a director’s relationship with us, the Board of Directors considers all relevant facts and circumstances, not merely from the director’s standpoint, but also from the standpoint of the persons or organizations with which the director has an affiliation. Material relationships can include commercial, banking, industrial, consulting, legal, accounting, charitable and familial relationships. The Board of Directors has concluded that no material relationship exists between us and any of our independent directors, other than each such person’s position as one of our directors.</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are eligible to be treated as a controlled company under New York Stock Exchange Rule 303A due to the fact that the family of Alan B. Miller holds more than 95% of the shares of Class A and Class C Common Stock, which is entitled to elect 80% of the entire Board of Directors and constitutes more than 50% of our aggregate voting power. New York Stock Exchange Rule 303A states that a controlled company need not have a majority of independent directors on its board or have nominating/corporate governance and compensation committees composed entirely of independent directors. We have elected to avail ourselves of a limited aspect of the Rule 303A exemption, determining that the Nominating &amp; Governance Committee is not responsible for identifying and recommending qualified candidates for Board positions that, in accordance with our Restated Certificate of Incorporation, are to be elected by the holders of Class A and Class C Common Stock of the Company. We currently intend to have a majority of independent directors on our Board of Directors and all independent directors on our Audit Committee, Compensation Committee and Nominating &amp; Governance Committee.</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Meetings of the Board of Directors</w:t>
      </w:r>
    </w:p>
    <w:p>
      <w:pPr>
        <w:spacing w:after="0" w:line="12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Regular meetings of the Board of Directors are generally held every other month, while special meetings are called when necessary. Before each Board of Directors or committee meeting, directors are furnished with an agenda and background materials relating to matters to be discussed. During 2025, there were six regular and two special meetings of the Board of Directors. All or substantially all directors participated in each of the meetings of the Board of Directors and all or substantially all of the meetings held by the respective committees on which they served, if applicable. Directors are expected to attend the Annual Meeting of Stockholders. All of our directors attended the virtual 2025 Annual Meeting of Stockholders.</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Corporate Governance Guidelines provide that the Board of Directors shall hold, in accordance with a schedule determined by the Nominating &amp; Governance Committee of the Board of Directors, executive sessions where non-management directors (i.e., directors who are not our officers, but who do not otherwise have to qualify as “independent directors”) meet without management participation (except as otherwise specifically requested by the non-management directors). Interested parties may communicate directly and confidentially with the presiding director or with the non-management directors of the Board of Directors as a group by writing to that person or group at Universal Health Services, Inc., c/o Secretary, Universal Corporate Center, 367 South Gulph Road, P.O. Box 61558, King of Prussia, PA 19406.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000052"/>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Board Leadership Structure and Board of Directors</w:t>
      </w:r>
    </w:p>
    <w:p>
      <w:pPr>
        <w:spacing w:after="0" w:line="12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Mr. Alan B. Miller serves as Executive Chairman of the Board. Eileen C. McDonnell serves as the Lead Independent Director and presides over the executive sessions of the non-management directors. The Company believes this structure allows all of the non-management directors to participate in the full range of the Board’s responsibilities with respect to its oversight of the Company’s management. The Board has determined that this leadership structure is appropriate given the size and complexity of the Company, the number of directors overseeing the Company and the Board’s oversight responsibilities.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specific experience, qualifications, attributes or skills that led to the conclusion that each Director should serve as a Director of the Company, in light of the Company’s business and structure, are as follows: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 xml:space="preserve">Alan B. Miller: </w:t>
      </w:r>
      <w:r>
        <w:rPr>
          <w:rFonts w:ascii="Arial" w:cs="Arial" w:eastAsia="Arial" w:hAnsi="Arial"/>
          <w:sz w:val="19"/>
          <w:szCs w:val="19"/>
          <w:color w:val="auto"/>
        </w:rPr>
        <w:t>Has been a Director of the Company since 1978 and is currently Executive Chairman of the Board.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January 2021, Mr. Alan B. Miller stepped down as CEO, a position he has held since 1978, when he founded the Company. Prior thereto, he was President, Chairman of the Board and Chief Executive Officer of American Medicorp, Inc. Mr. Alan Miller currently serves as Chairman of the Board of Trustees, Chief Executive Officer and President of Universal Health Realty Income Trust. As a result of his many years of service, Mr. Alan B. Miller provides expertise on the hospital management industry.</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Marc D. Miller: </w:t>
      </w:r>
      <w:r>
        <w:rPr>
          <w:rFonts w:ascii="Arial" w:cs="Arial" w:eastAsia="Arial" w:hAnsi="Arial"/>
          <w:sz w:val="19"/>
          <w:szCs w:val="19"/>
          <w:color w:val="auto"/>
        </w:rPr>
        <w:t>Has been a Director of the Company since 2006 and was appointed CEO in January 2021. He continues to</w:t>
      </w:r>
      <w:r>
        <w:rPr>
          <w:rFonts w:ascii="Arial" w:cs="Arial" w:eastAsia="Arial" w:hAnsi="Arial"/>
          <w:sz w:val="19"/>
          <w:szCs w:val="19"/>
          <w:b w:val="1"/>
          <w:bCs w:val="1"/>
          <w:color w:val="auto"/>
        </w:rPr>
        <w:t xml:space="preserve"> </w:t>
      </w:r>
      <w:r>
        <w:rPr>
          <w:rFonts w:ascii="Arial" w:cs="Arial" w:eastAsia="Arial" w:hAnsi="Arial"/>
          <w:sz w:val="19"/>
          <w:szCs w:val="19"/>
          <w:color w:val="auto"/>
        </w:rPr>
        <w:t>serve as President of the Company, a position he has held since May 2009. Previously he has served in various management positions including: Senior Vice President and Co-Head of our Acute Care Division (2007-2009) and Vice President, Acute Care Division (2004-2007). Also served in various roles in our Acute Care Division since 2003 and served in other management positions at various acute care hospitals from 1999 to 2003. Additionally, Mr. Marc D. Miller also serves as a member of the Board of Trustees of Universal Health Realty Income Trust and previously served as a member of the Board of Directors of Premier, Inc. Mr. Marc D. Miller oversees all of the Company’s businesses, its operations, development and overall strategy.</w:t>
      </w:r>
    </w:p>
    <w:p>
      <w:pPr>
        <w:spacing w:after="0" w:line="16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Nina Chen-Langenmayr: </w:t>
      </w:r>
      <w:r>
        <w:rPr>
          <w:rFonts w:ascii="Arial" w:cs="Arial" w:eastAsia="Arial" w:hAnsi="Arial"/>
          <w:sz w:val="20"/>
          <w:szCs w:val="20"/>
          <w:color w:val="auto"/>
        </w:rPr>
        <w:t>Has been a Director of the Company since 2022. She currently serves on the Board of Directors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Welcoming Center in Philadelphia where she was formerly a Special Projects Consultant since 2013. Prior thereto, she served as Partner, Client Relationship Management Group at Mercer. Ms. Chen-Langenmayr, a Juris Doctor, has multiple years of experience in the human capital management and outsourcing arena, particularly in the pharmaceutical and healthcare industries. Prior to that, Ms. Chen-Langenmayr practiced law, with emphasis in the areas of employee benefits and compensation law. She is a Founding Member of the Asian Pacific American Bar Association of Pennsylvania and a member of the Forum of Executive Women. Ms. Chen-Langenmayr, an independent director, provides expertise on healthcare and human capital management.</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Eileen C. McDonnell: </w:t>
      </w:r>
      <w:r>
        <w:rPr>
          <w:rFonts w:ascii="Arial" w:cs="Arial" w:eastAsia="Arial" w:hAnsi="Arial"/>
          <w:sz w:val="20"/>
          <w:szCs w:val="20"/>
          <w:color w:val="auto"/>
        </w:rPr>
        <w:t>Has been a Director of the Company since 2013. Ms. McDonnell previously served as Chairman and</w:t>
      </w:r>
      <w:r>
        <w:rPr>
          <w:rFonts w:ascii="Arial" w:cs="Arial" w:eastAsia="Arial" w:hAnsi="Arial"/>
          <w:sz w:val="20"/>
          <w:szCs w:val="20"/>
          <w:b w:val="1"/>
          <w:bCs w:val="1"/>
          <w:color w:val="auto"/>
        </w:rPr>
        <w:t xml:space="preserve"> </w:t>
      </w:r>
      <w:r>
        <w:rPr>
          <w:rFonts w:ascii="Arial" w:cs="Arial" w:eastAsia="Arial" w:hAnsi="Arial"/>
          <w:sz w:val="20"/>
          <w:szCs w:val="20"/>
          <w:color w:val="auto"/>
        </w:rPr>
        <w:t>CEO of the Penn Mutual Life Insurance Company. She joined Penn Mutual in 2008 and retired as CEO in 2021, after serving in that capacity for a decade. Ms. McDonnell was appointed to The Penn Mutual Board of Trustees in 2010 and retired from its Board in March of 2026. Before joining Penn Mutual, Ms. McDonnell founded ExecMPower, a strategic planning and executive coaching consultancy. Previously, she was president of New England Financial, a wholly owned subsidiary of MetLife, and senior vice president of the Guardian Life Insurance Company. Ms. McDonnell also served as a Director of the Insurance Federation of Pennsylvania and was a national advisor to VisionForward, an initiative of Drexel University College of Medicine Institute for Women’s Health and Leadership. Ms. McDonnell, an independent director, provides expertise on the insurance industry and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7" w:name="page78"/>
    <w:bookmarkEnd w:id="77"/>
    <w:p>
      <w:pPr>
        <w:ind w:left="9480"/>
        <w:spacing w:after="0"/>
        <w:rPr>
          <w:sz w:val="20"/>
          <w:szCs w:val="20"/>
          <w:color w:val="auto"/>
        </w:rPr>
      </w:pPr>
      <w:r>
        <w:rPr>
          <w:rFonts w:ascii="Arial" w:cs="Arial" w:eastAsia="Arial" w:hAnsi="Arial"/>
          <w:sz w:val="16"/>
          <w:szCs w:val="16"/>
          <w:b w:val="1"/>
          <w:bCs w:val="1"/>
          <w:color w:val="000052"/>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Warren Nimetz: </w:t>
      </w:r>
      <w:r>
        <w:rPr>
          <w:rFonts w:ascii="Arial" w:cs="Arial" w:eastAsia="Arial" w:hAnsi="Arial"/>
          <w:sz w:val="20"/>
          <w:szCs w:val="20"/>
          <w:color w:val="auto"/>
        </w:rPr>
        <w:t>Has been a Director of the Company since January 2018. He is currently Of Counsel and was a Partner at the</w:t>
      </w:r>
      <w:r>
        <w:rPr>
          <w:rFonts w:ascii="Arial" w:cs="Arial" w:eastAsia="Arial" w:hAnsi="Arial"/>
          <w:sz w:val="20"/>
          <w:szCs w:val="20"/>
          <w:b w:val="1"/>
          <w:bCs w:val="1"/>
          <w:color w:val="auto"/>
        </w:rPr>
        <w:t xml:space="preserve"> </w:t>
      </w:r>
      <w:r>
        <w:rPr>
          <w:rFonts w:ascii="Arial" w:cs="Arial" w:eastAsia="Arial" w:hAnsi="Arial"/>
          <w:sz w:val="20"/>
          <w:szCs w:val="20"/>
          <w:color w:val="auto"/>
        </w:rPr>
        <w:t>law firm of Norton Rose Fulbright US LLP since 1987. Mr. Nimetz focuses his practice on general corporate and securities law, with special emphasis on mergers and acquisitions of public and private companies including tender offers, leveraged and other buyouts, private equity investments, joint ventures and related corporate governance issues. He also has substantial experience with all types of financing transactions, including public offerings, private placements and bank and other institutional lending and structured finance. Mr. Nimetz has special expertise in structuring and negotiating transactions involving the acquisition, financing and disposition of hospital and other health care and life science companies and properties. Mr. Nimetz provides expertise on legal matters.</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Maria R. Singer: </w:t>
      </w:r>
      <w:r>
        <w:rPr>
          <w:rFonts w:ascii="Arial" w:cs="Arial" w:eastAsia="Arial" w:hAnsi="Arial"/>
          <w:sz w:val="20"/>
          <w:szCs w:val="20"/>
          <w:color w:val="auto"/>
        </w:rPr>
        <w:t>Has been a Director of the Company since March 2020. She is Chief Operating Officer, Corporate Finance at</w:t>
      </w:r>
      <w:r>
        <w:rPr>
          <w:rFonts w:ascii="Arial" w:cs="Arial" w:eastAsia="Arial" w:hAnsi="Arial"/>
          <w:sz w:val="20"/>
          <w:szCs w:val="20"/>
          <w:b w:val="1"/>
          <w:bCs w:val="1"/>
          <w:color w:val="auto"/>
        </w:rPr>
        <w:t xml:space="preserve"> </w:t>
      </w:r>
      <w:r>
        <w:rPr>
          <w:rFonts w:ascii="Arial" w:cs="Arial" w:eastAsia="Arial" w:hAnsi="Arial"/>
          <w:sz w:val="20"/>
          <w:szCs w:val="20"/>
          <w:color w:val="auto"/>
        </w:rPr>
        <w:t>Houlihan Lokey. She previously served as Managing Director and COO of Blackstone Advisory Partners (2008 to 2015). She also served in various roles at Lehman Brothers, Inc. including Senior Vice President, Office of the Chairman and Senior Vice President, Debt Capital Markets (2002 to 2008). Ms. Singer, an independent director, provides expertise on financial and strategic advisory matters.</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Elliot J. Sussman, M.D.: </w:t>
      </w:r>
      <w:r>
        <w:rPr>
          <w:rFonts w:ascii="Arial" w:cs="Arial" w:eastAsia="Arial" w:hAnsi="Arial"/>
          <w:sz w:val="20"/>
          <w:szCs w:val="20"/>
          <w:color w:val="auto"/>
        </w:rPr>
        <w:t>Has been a Director of the Company since March 2018. He previously served as Founder and</w:t>
      </w:r>
      <w:r>
        <w:rPr>
          <w:rFonts w:ascii="Arial" w:cs="Arial" w:eastAsia="Arial" w:hAnsi="Arial"/>
          <w:sz w:val="20"/>
          <w:szCs w:val="20"/>
          <w:b w:val="1"/>
          <w:bCs w:val="1"/>
          <w:color w:val="auto"/>
        </w:rPr>
        <w:t xml:space="preserve"> </w:t>
      </w:r>
      <w:r>
        <w:rPr>
          <w:rFonts w:ascii="Arial" w:cs="Arial" w:eastAsia="Arial" w:hAnsi="Arial"/>
          <w:sz w:val="20"/>
          <w:szCs w:val="20"/>
          <w:color w:val="auto"/>
        </w:rPr>
        <w:t>Chairman of The Villages Health from 2012 to 2026, and previously served as President and Chief Executive Officer of Lehigh Valley Hospital and Health Network from 1993 through 2010. He was a member of the Board of Directors of Yale New Haven Health System from 2011 to 2023. He has previously chaired the boards of the Council of Teaching Hospitals and of the Association of American Medical Colleges. Dr. Sussman, an independent director, provides expertise on the management of hospitals and health systems and on health care quality and compliance matters.</w:t>
      </w:r>
    </w:p>
    <w:p>
      <w:pPr>
        <w:spacing w:after="0" w:line="17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Board holds six regular meetings each year to consider and address matters involving the Company. The Board also may hold special meetings to address matters arising between regular meetings. These meetings may take place in person or by telephone. The independent directors also regularly meet in executive sessions outside the presence of management. The Board has access to legal counsel for consultation concerning any issues that may occur during or between regularly scheduled Board meetings. As discussed below, to assist the Board in performing its oversight responsibilities, the Board has established a Compensation Committee, an Audit Committee, a Nominating &amp; Governance Committee, a Quality and Compliance Committee, an Executive Committee and a Finance Committee.</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Nominating &amp; Governance Committee annually oversees a self-evaluation of the current Board members and those committees as the Board shall specify from time to time and reports to the Board with respect to whether the Board and its committees are functioning effectively. The full Board discusses each evaluation report to determine what, if any, actions should be taken to improve the effectiveness of the Board or any committee thereof.</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The Board’s Role in Risk Oversight</w:t>
      </w:r>
    </w:p>
    <w:p>
      <w:pPr>
        <w:spacing w:after="0" w:line="12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Consistent with its responsibility for oversight of the Company, the Board, among other things, oversees risk management of the Company’s business affairs directly and through the committee structure that it has established. The principal risks associated with the Company are risks related to concentration of the locations of our facilities, dependence on payments from the government and other third party payers, including potential changes resulting from the 2024 elections such as legislation to significantly reduce federal Medicaid funding, increased reliance on Medicare Advantage Programs, work requirements for Medicaid waiver program eligibility, increased focus on hospital outpatient site neutral payment policies, and similar initiatives that may reduce the availability of funding for federal healthcare programs or make eligibility for benefits more difficult; cyber security, a worsening of the economic and employment conditions in the United States, the inability to collect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000052"/>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from patients, competition for patients from other hospitals and health care providers, our ability to recruit and retain quality physicians, our ability to attract and retain qualified nurses and medical support staff, compliance with extensive laws and government regulations, liabilities from claims brought against our facilities, governmental investigations, regulatory actions, whistleblower lawsuits and purported stockholder class action lawsuits, accreditation of our facilities, acquisition and integration of hospitals, state efforts to regulate the construction or expansion of health care facilities, fluctuations in our operating results, quarter to quarter earnings and other factors, significant corporate regulation as a public company, and dependence on key management personnel.</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Board’s role in the Company’s risk oversight process includes regular reports from senior management on areas of material risk to the Company, including operational, financial, legal and regulatory, and strategic and reputational risks. The full Board (or the appropriate committee) receives these reports from management to identify and discuss such risks.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Board periodically reviews with management its strategies, techniques, policies and procedures designed to manage these risks. Under the overall supervision of the Board, management has implemented a variety of processes, procedures and controls to address these risks.</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Board requires management to report to the full Board on a variety of matters at regular meetings of the Board and on an as-needed basis, including the performance and operations of the Company and other matters relating to risk management. The Audit Committee also receives regular reports from the Company’s independent registered public accounting firm on internal control and financial reporting matters. These reviews are conducted in conjunction with the Board’s risk oversight function and enable the Board to review and assess any material risks facing the Company. Eileen C. McDonnell, the Lead Independent Director, periodically meets with management and the Company’s independent registered public accounting firm to review and discuss the activities of the Company and to provide direction with respect thereto.</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Policy on Hedging Transactions</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has a policy that prohibits employees and directors from engaging in any hedging transaction that would result in lack of exposure to the full risks of stock ownership. Prohibited hedging transactions include, but are not limited to, collars, forward sale contracts, trading in publicly-traded options, puts, calls or other derivative instruments related to our common stock or debt.</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Policy on Insider Trading</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has a policy governing the purchase, sale, and/or other dispositions of our securities by our directors, officers, employees and related persons, and repurchases by the Company, that we believe is reasonably designed to promote compliance with insider trading laws, rules and regulations, and the exchange listing standards applicable to us. A copy of this policy was filed as Exhibit 19 to our Annual Report on Form 10-K for the year ended December 31, 2025.</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Stockholder Communications</w:t>
      </w:r>
    </w:p>
    <w:p>
      <w:pPr>
        <w:spacing w:after="0" w:line="12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Stockholders who wish to send communications to the Board of Directors or an individual director should address such communications to Universal Health Services, Inc., c/o Secretary, Universal Corporate Center, 367 South Gulph Road, P.O. Box 61558, King of Prussia, PA 19406. The Secretary will forward such communications to the Board of Directors or the specified individual director to whom the communication is directed unless such communication is unduly hostile, threatening, illegal or similarly inappropriate, in which case the Secretary has the authority to discard the communication or take appropriate legal action regarding such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9" w:name="page80"/>
    <w:bookmarkEnd w:id="79"/>
    <w:p>
      <w:pPr>
        <w:ind w:left="9480"/>
        <w:spacing w:after="0"/>
        <w:rPr>
          <w:sz w:val="20"/>
          <w:szCs w:val="20"/>
          <w:color w:val="auto"/>
        </w:rPr>
      </w:pPr>
      <w:r>
        <w:rPr>
          <w:rFonts w:ascii="Arial" w:cs="Arial" w:eastAsia="Arial" w:hAnsi="Arial"/>
          <w:sz w:val="16"/>
          <w:szCs w:val="16"/>
          <w:b w:val="1"/>
          <w:bCs w:val="1"/>
          <w:color w:val="000052"/>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Committees of the Board of Directors</w:t>
      </w:r>
    </w:p>
    <w:p>
      <w:pPr>
        <w:spacing w:after="0" w:line="120"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Compensation Committee, the Audit Committee, the Nominating &amp; Governance Committee, the Quality and Compliance Committee, the Executive Committee and the Finance Committee are the standing committees of the Board of Directors. A current copy of our Corporate Governance Guidelines, Code of Business Conduct and Corporate Standards, Code of Ethics for Senior Financial Officers, Code of Conduct and Ethics, Compensation Committee Charter, Nominating &amp; Governance Committee Charter and Audit Committee Charter are available free of charge on our website at http://uhs.com. Copies of these documents also are available in print free of charge to any stockholder who requests them. We intend to satisfy the disclosure requirements under Item 5.05 of Form 8-K relating to amendments to or waivers of any provision of our Code of Ethics for Senior Financial Officers by promptly posting the information on our website.</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i w:val="1"/>
          <w:iCs w:val="1"/>
          <w:color w:val="auto"/>
        </w:rPr>
        <w:t xml:space="preserve">Audit Committee: </w:t>
      </w:r>
      <w:r>
        <w:rPr>
          <w:rFonts w:ascii="Arial" w:cs="Arial" w:eastAsia="Arial" w:hAnsi="Arial"/>
          <w:sz w:val="20"/>
          <w:szCs w:val="20"/>
          <w:color w:val="auto"/>
        </w:rPr>
        <w:t>Current members of the Audit Committee are Eileen C. McDonnell (Chairperson), Maria R. Singer and Elliot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 Sussman, M.D. No such member serves on the audit committee of more than three public companies. The Audit Committee met nine times during 2025.</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Board of Directors has determined, in its business judgment, that each member of the Audit Committee qualifies as an “independent” director under the regulations adopted by the SEC and the New York Stock Exchange and is financially literate and that Eileen C. McDonnell qualifies as an “audit committee financial expert” under SEC regulations and has accounting or related financial management expertise.</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Audit Committee provides assistance to the Board of Directors in fulfilling its financial, compliance and quality oversight responsibility to the stockholders, potential stockholders, the investment community and others relating to the integrity of our financial statements, the financial reporting process, the systems of internal accounting and financial controls, the performance of our internal audit function and independent auditors, the independent auditors’ qualifications and independence and our compliance with legal and regulatory requirements and quality of care standards. This Committee has the authority, duties and responsibilities set forth in its Audit Committee Charter, as amended. The Audit Committee periodically reviews our data security programs, including cyber security and procedures regarding disaster recovery and critical business continuity, and reviews our programs and plans that management has established with data security compliance programs and test preparedness.</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i w:val="1"/>
          <w:iCs w:val="1"/>
          <w:color w:val="auto"/>
        </w:rPr>
        <w:t xml:space="preserve">Compensation Committee: </w:t>
      </w:r>
      <w:r>
        <w:rPr>
          <w:rFonts w:ascii="Arial" w:cs="Arial" w:eastAsia="Arial" w:hAnsi="Arial"/>
          <w:sz w:val="20"/>
          <w:szCs w:val="20"/>
          <w:color w:val="auto"/>
        </w:rPr>
        <w:t>Current members of the Compensation Committee are Eileen C. McDonnell (Chairperson), Elliot J.</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Sussman, M.D. and Nina Chen-Langenmayr. The Compensation Committee met four times during 2025. The Board of Directors has determined, in its business judgment, that each member of the Compensation Committee qualifies as an “independent” director under the regulations adopted by the SEC and the New York Stock Exchange.</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Compensation Committee reviews and approves our goals and objectives relevant to the compensation of our Chief Executive Officer and other executive officers, evaluates their performance, determines and approves their compensation level, reviews and determines the form and amount of compensation of the non-management members of the Board of Directors, administers incentive-compensation plans and equity-based plans and approves compensation awards, among other duties and responsibilities.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amount and mix of the compensation paid to our named executive officers and directors are evaluated on an annual basis.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See the section titled “Compensation Setting Process,” in the </w:t>
      </w:r>
      <w:r>
        <w:rPr>
          <w:rFonts w:ascii="Arial" w:cs="Arial" w:eastAsia="Arial" w:hAnsi="Arial"/>
          <w:sz w:val="19"/>
          <w:szCs w:val="19"/>
          <w:i w:val="1"/>
          <w:iCs w:val="1"/>
          <w:color w:val="auto"/>
        </w:rPr>
        <w:t>Compensation Discussion &amp; Analysis</w:t>
      </w:r>
      <w:r>
        <w:rPr>
          <w:rFonts w:ascii="Arial" w:cs="Arial" w:eastAsia="Arial" w:hAnsi="Arial"/>
          <w:sz w:val="19"/>
          <w:szCs w:val="19"/>
          <w:color w:val="auto"/>
        </w:rPr>
        <w:t xml:space="preserve"> for an additional discussion.</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Compensation Committee has the authority to establish one or more subcommittees that shall have the responsibilities and consist of those members of the Compensation Committee as the Compensation Committee may determine from time to time. The Compensation Committee also has the sole authority to retain and terminate compensation consultants to assist it in evaluating our compensation plans, particularly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000052"/>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pertaining to our directors, our Executive Chairman, Chief Executive Officer and our other executive officers, and to approve the fees and other terms relating to the provision of those services. As discussed in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certain elements of Messrs. Alan Miller’s and Marc. Miller’s compensation is determined by the terms of their employment agreements.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i w:val="1"/>
          <w:iCs w:val="1"/>
          <w:color w:val="auto"/>
        </w:rPr>
        <w:t xml:space="preserve">Nominating &amp; Governance Committee: </w:t>
      </w:r>
      <w:r>
        <w:rPr>
          <w:rFonts w:ascii="Arial" w:cs="Arial" w:eastAsia="Arial" w:hAnsi="Arial"/>
          <w:sz w:val="20"/>
          <w:szCs w:val="20"/>
          <w:color w:val="auto"/>
        </w:rPr>
        <w:t>The current members of the Nominating &amp; Governance Committee are Elliot J.</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Sussman, M.D., (Chairman), Eileen C. McDonnell and Maria R. Singer. This Committee met once during 2025. The Board of Directors has determined, in its business judgment, that each member of the Nominating &amp; Governance Committee qualifies as an “independent” director under the regulations adopted by the SEC and the New York Stock Exchange.</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Nominating &amp; Governance Committee was established, with respect to those directors who are to be elected by the holders of Class B and Class D Common Stock of the Company in accordance with the our Restated Certificate of Incorporation, for the purpose of: (i) assisting the Board of Directors by identifying individuals who are qualified to become directors, consistent with the criteria approved by the Board of Directors; (ii) recommending to the Board of Directors Class B and D director nominees for the next annual meeting of stockholders at which a Class B and D director is to be elected; (iii) developing and recommending to the Board of Directors a set of corporate governance principals in the form of our corporate governance guidelines; (iv) leading and overseeing the Board of Directors in its annual review of the performance of the Board of Directors and our management, and; (v) recommending to the Board of Directors director nominees for each committee of the Board of Directors. The Nominating &amp; Governance Committee provides such assistance in identifying and recommending Class A and Class C Common Stock director nominees as may be requested by the entire Board of Directors. The Nominating &amp; Governance Committee adopted our Corporate Governance Guidelines.</w:t>
      </w:r>
    </w:p>
    <w:p>
      <w:pPr>
        <w:spacing w:after="0" w:line="17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light of the concentration of approximately 90% of the voting power of our Class A and Class C Common Stock in a single individual and related entities, and in accordance with the “Controlled Companies” exemption set forth in Section 303A of the New York Stock Exchange Listed Company Manual, the Nominating &amp; Governance Committee is not responsible for identifying and recommending qualified candidates for directors that, in accordance with our Restated Certificate of Incorporation, are to be elected by the holders of Class A and Class C Common Stock. The Nominating &amp; Governance Committee shall, however, provide such assistance in identifying and recommending Class A and C Director nominees as may be requested by the entire Board of Directors.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Nominating &amp; Governance Committee will consider Class B and D director nominees recommended by stockholders. Under our Restated Certificate of Incorporation, the number of directors to be elected by the Class B and D Common stockholders is limited to 20% of the entire Board of Directors, or a maximum of two directors. Stockholders who wish to recommend a nominee for the Nominating &amp; Governance Committee’s consideration may do so by submitting the individual’s name and qualifications to the Nominating &amp; Governance Committee c/o Secretary, Universal Corporate Center, 367 South Gulph Road, P.O. Box 61558, King of Prussia, PA 19406. Recommendations must be received by the Nominating &amp; Governance Committee no later than the date by which stockholder proposals for presentation at the next Annual Meeting must be received and should include the information required by our Amended and Restated Bylaws and any other information regarding the director nomination required by the Exchange Act, and the rules and regulations promulgated thereunder, including Rule 14a-19 of the Exchange Act. Please see the Questions and Answers section of this Proxy Statement. Recommended nominees will only be considered if there is a vacancy or if the Board of Directors decides to increase the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1" w:name="page82"/>
    <w:bookmarkEnd w:id="81"/>
    <w:p>
      <w:pPr>
        <w:ind w:left="9480"/>
        <w:spacing w:after="0"/>
        <w:rPr>
          <w:sz w:val="20"/>
          <w:szCs w:val="20"/>
          <w:color w:val="auto"/>
        </w:rPr>
      </w:pPr>
      <w:r>
        <w:rPr>
          <w:rFonts w:ascii="Arial" w:cs="Arial" w:eastAsia="Arial" w:hAnsi="Arial"/>
          <w:sz w:val="16"/>
          <w:szCs w:val="16"/>
          <w:b w:val="1"/>
          <w:bCs w:val="1"/>
          <w:color w:val="000052"/>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Nominating &amp; Governance Committee identifies and evaluates committee-recommended Class B and D director nominees considering, among other factors, the following minimum qualifications: the individual’s integrity, experience, education, expertise, independence and any other factors that the Board of Directors and the Nominating &amp; Governance Committee deem would enhance the effectiveness of the Board of Directors and our governance. The Nominating &amp; Governance Committee seeks persons who have achieved prominence in their fields and who possess significant experience in areas of importance to the Company. Additionally, strong analytical skills, independence, energy, forthrightness and integrity are desired characteristics that the Nominating &amp; Governance Committee seeks in potential candidates. We do not have a formal policy with regard to the consideration of diversity in identifying director nominees. However, the Board of Directors believes that it is essential that its members represent diverse viewpoints, with a broad array of experiences, professions, skills, geographic representation and backgrounds, including diversity of gender and race that, when considered as a group, provide a sufficient mix of perspectives to allow the Board of Directors to best fulfill its responsibilities to the long-term interests of our stockholders. The Board has refreshed Board composition by replacing 80% of the non-management members of the Board within the last eight years. The Board has three female members, one of whom, Eileen McDonnell serves as lead director and one of whom is a member of an underrepresented minority group.</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i w:val="1"/>
          <w:iCs w:val="1"/>
          <w:color w:val="auto"/>
        </w:rPr>
        <w:t xml:space="preserve">Quality and Compliance Committee: </w:t>
      </w:r>
      <w:r>
        <w:rPr>
          <w:rFonts w:ascii="Arial" w:cs="Arial" w:eastAsia="Arial" w:hAnsi="Arial"/>
          <w:sz w:val="20"/>
          <w:szCs w:val="20"/>
          <w:color w:val="auto"/>
        </w:rPr>
        <w:t>The current members of the Quality and Compliance Committee are Elliot J. Sussman,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M.D. (Chairman), Nina Chen-Langenmayr and Maria R. Singer. The Quality and Compliance Committee has the responsibility of assisting the Board in fulfilling its oversight responsibilities concerning review of our policies and procedures relating to healthcare-related regulatory and compliance issues and the delivery of quality medical care to patients. The Quality and Compliance Committee met four times during 2025.</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i w:val="1"/>
          <w:iCs w:val="1"/>
          <w:color w:val="auto"/>
        </w:rPr>
        <w:t xml:space="preserve">Executive Committee: </w:t>
      </w:r>
      <w:r>
        <w:rPr>
          <w:rFonts w:ascii="Arial" w:cs="Arial" w:eastAsia="Arial" w:hAnsi="Arial"/>
          <w:sz w:val="20"/>
          <w:szCs w:val="20"/>
          <w:color w:val="auto"/>
        </w:rPr>
        <w:t>The current members of the Executive Committee are Alan B. Miller (Chairman), Marc D. Miller, Eileen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 McDonnell and Warren J. Nimetz. The Executive Committee has the responsibility, between meetings of the Board of Directors, to advise and aid our officers in all matters concerning the management of the business and, while the Board of Directors is not in session, has the power and authority of the Board of Directors to the fullest extent permitted under law. The Executive Committee did not meet in 2025.</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i w:val="1"/>
          <w:iCs w:val="1"/>
          <w:color w:val="auto"/>
        </w:rPr>
        <w:t xml:space="preserve">Finance Committee: </w:t>
      </w:r>
      <w:r>
        <w:rPr>
          <w:rFonts w:ascii="Arial" w:cs="Arial" w:eastAsia="Arial" w:hAnsi="Arial"/>
          <w:sz w:val="20"/>
          <w:szCs w:val="20"/>
          <w:color w:val="auto"/>
        </w:rPr>
        <w:t>The current members of the Finance Committee are Alan B. Miller (Chairman), Marc D. Miller, Warren J.</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Nimetz and Maria R. Singer. The Finance Committee is responsible for reviewing our overall long-term financial planning. The Finance Committee did not meet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2" w:name="page83"/>
    <w:bookmarkEnd w:id="82"/>
    <w:p>
      <w:pPr>
        <w:spacing w:after="0"/>
        <w:rPr>
          <w:sz w:val="20"/>
          <w:szCs w:val="20"/>
          <w:color w:val="auto"/>
        </w:rPr>
      </w:pPr>
      <w:r>
        <w:rPr>
          <w:rFonts w:ascii="Arial" w:cs="Arial" w:eastAsia="Arial" w:hAnsi="Arial"/>
          <w:sz w:val="40"/>
          <w:szCs w:val="40"/>
          <w:b w:val="1"/>
          <w:bCs w:val="1"/>
          <w:color w:val="052666"/>
        </w:rPr>
        <w:t>AUDIT COMMITTEE REPORT</w:t>
      </w:r>
    </w:p>
    <w:p>
      <w:pPr>
        <w:spacing w:after="0" w:line="200" w:lineRule="exact"/>
        <w:rPr>
          <w:sz w:val="20"/>
          <w:szCs w:val="20"/>
          <w:color w:val="auto"/>
        </w:rPr>
      </w:pP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Board of Directors is committed to the accuracy and integrity of the Company’s financial reporting. The Audit Committee takes an involved and active role in delivering on this commitment.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Audit Committee provides independent, objective oversight of our accounting functions and internal controls.</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Audit Committee reviews and evaluates, and discusses and consults with our management, internal audit personnel and the independent auditors about the following:</w:t>
      </w:r>
    </w:p>
    <w:p>
      <w:pPr>
        <w:spacing w:after="0" w:line="47" w:lineRule="exact"/>
        <w:rPr>
          <w:sz w:val="20"/>
          <w:szCs w:val="20"/>
          <w:color w:val="auto"/>
        </w:rPr>
      </w:pPr>
    </w:p>
    <w:p>
      <w:pPr>
        <w:ind w:left="240" w:hanging="112"/>
        <w:spacing w:after="0" w:line="256" w:lineRule="auto"/>
        <w:tabs>
          <w:tab w:leader="none" w:pos="317" w:val="left"/>
        </w:tabs>
        <w:numPr>
          <w:ilvl w:val="0"/>
          <w:numId w:val="62"/>
        </w:numPr>
        <w:rPr>
          <w:rFonts w:ascii="Times New Roman" w:cs="Times New Roman" w:eastAsia="Times New Roman" w:hAnsi="Times New Roman"/>
          <w:sz w:val="20"/>
          <w:szCs w:val="20"/>
          <w:color w:val="052666"/>
        </w:rPr>
      </w:pPr>
      <w:r>
        <w:rPr>
          <w:rFonts w:ascii="Arial" w:cs="Arial" w:eastAsia="Arial" w:hAnsi="Arial"/>
          <w:sz w:val="20"/>
          <w:szCs w:val="20"/>
          <w:color w:val="auto"/>
        </w:rPr>
        <w:t>the plan for, and the independent auditors’ report on, each audit of the Company’s consolidated financial statements and internal controls;</w:t>
      </w:r>
    </w:p>
    <w:p>
      <w:pPr>
        <w:spacing w:after="0" w:line="48"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62"/>
        </w:numPr>
        <w:rPr>
          <w:rFonts w:ascii="Times New Roman" w:cs="Times New Roman" w:eastAsia="Times New Roman" w:hAnsi="Times New Roman"/>
          <w:sz w:val="20"/>
          <w:szCs w:val="20"/>
          <w:color w:val="052666"/>
        </w:rPr>
      </w:pPr>
      <w:r>
        <w:rPr>
          <w:rFonts w:ascii="Arial" w:cs="Arial" w:eastAsia="Arial" w:hAnsi="Arial"/>
          <w:sz w:val="20"/>
          <w:szCs w:val="20"/>
          <w:color w:val="auto"/>
        </w:rPr>
        <w:t>changes in our accounting practices, principles, controls or methodologies, or in the Company’s financial statements;</w:t>
      </w:r>
    </w:p>
    <w:p>
      <w:pPr>
        <w:spacing w:after="0" w:line="106"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62"/>
        </w:numPr>
        <w:rPr>
          <w:rFonts w:ascii="Times New Roman" w:cs="Times New Roman" w:eastAsia="Times New Roman" w:hAnsi="Times New Roman"/>
          <w:sz w:val="20"/>
          <w:szCs w:val="20"/>
          <w:color w:val="052666"/>
        </w:rPr>
      </w:pPr>
      <w:r>
        <w:rPr>
          <w:rFonts w:ascii="Arial" w:cs="Arial" w:eastAsia="Arial" w:hAnsi="Arial"/>
          <w:sz w:val="20"/>
          <w:szCs w:val="20"/>
          <w:color w:val="auto"/>
        </w:rPr>
        <w:t>significant developments in accounting rules;</w:t>
      </w:r>
    </w:p>
    <w:p>
      <w:pPr>
        <w:spacing w:after="0" w:line="106"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62"/>
        </w:numPr>
        <w:rPr>
          <w:rFonts w:ascii="Times New Roman" w:cs="Times New Roman" w:eastAsia="Times New Roman" w:hAnsi="Times New Roman"/>
          <w:sz w:val="20"/>
          <w:szCs w:val="20"/>
          <w:color w:val="052666"/>
        </w:rPr>
      </w:pPr>
      <w:r>
        <w:rPr>
          <w:rFonts w:ascii="Arial" w:cs="Arial" w:eastAsia="Arial" w:hAnsi="Arial"/>
          <w:sz w:val="20"/>
          <w:szCs w:val="20"/>
          <w:color w:val="auto"/>
        </w:rPr>
        <w:t>the adequacy of our internal accounting controls, and accounting, financial and auditing personnel; and</w:t>
      </w:r>
    </w:p>
    <w:p>
      <w:pPr>
        <w:spacing w:after="0" w:line="106" w:lineRule="exact"/>
        <w:rPr>
          <w:rFonts w:ascii="Times New Roman" w:cs="Times New Roman" w:eastAsia="Times New Roman" w:hAnsi="Times New Roman"/>
          <w:sz w:val="20"/>
          <w:szCs w:val="20"/>
          <w:color w:val="052666"/>
        </w:rPr>
      </w:pPr>
    </w:p>
    <w:p>
      <w:pPr>
        <w:ind w:left="300" w:hanging="172"/>
        <w:spacing w:after="0"/>
        <w:tabs>
          <w:tab w:leader="none" w:pos="300" w:val="left"/>
        </w:tabs>
        <w:numPr>
          <w:ilvl w:val="0"/>
          <w:numId w:val="62"/>
        </w:numPr>
        <w:rPr>
          <w:rFonts w:ascii="Times New Roman" w:cs="Times New Roman" w:eastAsia="Times New Roman" w:hAnsi="Times New Roman"/>
          <w:sz w:val="20"/>
          <w:szCs w:val="20"/>
          <w:color w:val="052666"/>
        </w:rPr>
      </w:pPr>
      <w:r>
        <w:rPr>
          <w:rFonts w:ascii="Arial" w:cs="Arial" w:eastAsia="Arial" w:hAnsi="Arial"/>
          <w:sz w:val="20"/>
          <w:szCs w:val="20"/>
          <w:color w:val="auto"/>
        </w:rPr>
        <w:t>the establishment and maintenance of a work environment that promotes ethical behavior.</w:t>
      </w:r>
    </w:p>
    <w:p>
      <w:pPr>
        <w:spacing w:after="0" w:line="21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Audit Committee acts under a written charter that was originally adopted by the Board of Directors in 2004 and is reviewed and approved on an annual basis. The Audit Committee reviews, acts on and reports to the Board of Directors with respect to various auditing, accounting, financial reporting, internal control and regulatory compliance matters. In discharging its oversight role, the Audit Committee may engage independent counsel and other advisers as it determines necessary. In accordance with the Sarbanes-Oxley Act of 2002, the Audit Committee also has the direct responsibility to select, evaluate, determine the compensation of, oversee, and where appropriate, replace our independent auditors, and has the authority to resolve disagreements between management and our auditors. The Audit Committee may establish procedures for the receipt, retention and treatment of complaints received by us regarding accounting and auditing matters, as well as confidential, anonymous submission by employees. The Board of Directors has determined that each of the members of the audit committee is “independent” within the meaning of the rules of the New York Stock Exchange and the Securities Exchange Act of 1934, as amended by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The Audit Committee recommended to the Board of Directors that the consolidated financial statements be included in the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Annual Report on Form 10-K. The Audit Committee took a number of steps in making this recommendation for 2025:</w:t>
      </w:r>
    </w:p>
    <w:p>
      <w:pPr>
        <w:spacing w:after="0" w:line="76" w:lineRule="exact"/>
        <w:rPr>
          <w:sz w:val="20"/>
          <w:szCs w:val="20"/>
          <w:color w:val="auto"/>
        </w:rPr>
      </w:pPr>
    </w:p>
    <w:p>
      <w:pPr>
        <w:ind w:left="300" w:hanging="172"/>
        <w:spacing w:after="0"/>
        <w:tabs>
          <w:tab w:leader="none" w:pos="300" w:val="left"/>
        </w:tabs>
        <w:numPr>
          <w:ilvl w:val="0"/>
          <w:numId w:val="63"/>
        </w:numPr>
        <w:rPr>
          <w:rFonts w:ascii="Times New Roman" w:cs="Times New Roman" w:eastAsia="Times New Roman" w:hAnsi="Times New Roman"/>
          <w:sz w:val="20"/>
          <w:szCs w:val="20"/>
          <w:color w:val="052666"/>
        </w:rPr>
      </w:pPr>
      <w:r>
        <w:rPr>
          <w:rFonts w:ascii="Arial" w:cs="Arial" w:eastAsia="Arial" w:hAnsi="Arial"/>
          <w:sz w:val="20"/>
          <w:szCs w:val="20"/>
          <w:color w:val="auto"/>
        </w:rPr>
        <w:t>First, the Audit Committee discussed with our independent auditors the overall scope and plans for their audits.</w:t>
      </w:r>
    </w:p>
    <w:p>
      <w:pPr>
        <w:spacing w:after="0" w:line="106" w:lineRule="exact"/>
        <w:rPr>
          <w:rFonts w:ascii="Times New Roman" w:cs="Times New Roman" w:eastAsia="Times New Roman" w:hAnsi="Times New Roman"/>
          <w:sz w:val="20"/>
          <w:szCs w:val="20"/>
          <w:color w:val="052666"/>
        </w:rPr>
      </w:pPr>
    </w:p>
    <w:p>
      <w:pPr>
        <w:ind w:left="240" w:hanging="112"/>
        <w:spacing w:after="0" w:line="256" w:lineRule="auto"/>
        <w:tabs>
          <w:tab w:leader="none" w:pos="296" w:val="left"/>
        </w:tabs>
        <w:numPr>
          <w:ilvl w:val="0"/>
          <w:numId w:val="63"/>
        </w:numPr>
        <w:rPr>
          <w:rFonts w:ascii="Times New Roman" w:cs="Times New Roman" w:eastAsia="Times New Roman" w:hAnsi="Times New Roman"/>
          <w:sz w:val="20"/>
          <w:szCs w:val="20"/>
          <w:color w:val="052666"/>
        </w:rPr>
      </w:pPr>
      <w:r>
        <w:rPr>
          <w:rFonts w:ascii="Arial" w:cs="Arial" w:eastAsia="Arial" w:hAnsi="Arial"/>
          <w:sz w:val="20"/>
          <w:szCs w:val="20"/>
          <w:color w:val="auto"/>
        </w:rPr>
        <w:t>Second, the Audit Committee met with the independent auditors, to discuss the results of their audits, their evaluations of our internal controls and the overall quality of our financial reporting.</w:t>
      </w:r>
    </w:p>
    <w:p>
      <w:pPr>
        <w:spacing w:after="0" w:line="48" w:lineRule="exact"/>
        <w:rPr>
          <w:rFonts w:ascii="Times New Roman" w:cs="Times New Roman" w:eastAsia="Times New Roman" w:hAnsi="Times New Roman"/>
          <w:sz w:val="20"/>
          <w:szCs w:val="20"/>
          <w:color w:val="052666"/>
        </w:rPr>
      </w:pPr>
    </w:p>
    <w:p>
      <w:pPr>
        <w:jc w:val="both"/>
        <w:ind w:left="240" w:hanging="112"/>
        <w:spacing w:after="0" w:line="241" w:lineRule="auto"/>
        <w:tabs>
          <w:tab w:leader="none" w:pos="311" w:val="left"/>
        </w:tabs>
        <w:numPr>
          <w:ilvl w:val="0"/>
          <w:numId w:val="63"/>
        </w:numPr>
        <w:rPr>
          <w:rFonts w:ascii="Times New Roman" w:cs="Times New Roman" w:eastAsia="Times New Roman" w:hAnsi="Times New Roman"/>
          <w:sz w:val="20"/>
          <w:szCs w:val="20"/>
          <w:color w:val="052666"/>
        </w:rPr>
      </w:pPr>
      <w:r>
        <w:rPr>
          <w:rFonts w:ascii="Arial" w:cs="Arial" w:eastAsia="Arial" w:hAnsi="Arial"/>
          <w:sz w:val="20"/>
          <w:szCs w:val="20"/>
          <w:color w:val="auto"/>
        </w:rPr>
        <w:t>Third, the Audit Committee reviewed and discussed the audited consolidated financial statements in the Annual Report on Form 10-K with management, including a discussion of the quality, not just the acceptability, of the accounting principles, the reasonableness of significant judgments, and the clarity of disclosures in the consolidated financial statements.</w:t>
      </w:r>
    </w:p>
    <w:p>
      <w:pPr>
        <w:spacing w:after="0" w:line="62" w:lineRule="exact"/>
        <w:rPr>
          <w:rFonts w:ascii="Times New Roman" w:cs="Times New Roman" w:eastAsia="Times New Roman" w:hAnsi="Times New Roman"/>
          <w:sz w:val="20"/>
          <w:szCs w:val="20"/>
          <w:color w:val="052666"/>
        </w:rPr>
      </w:pPr>
    </w:p>
    <w:p>
      <w:pPr>
        <w:jc w:val="both"/>
        <w:ind w:left="240" w:hanging="112"/>
        <w:spacing w:after="0" w:line="241" w:lineRule="auto"/>
        <w:tabs>
          <w:tab w:leader="none" w:pos="353" w:val="left"/>
        </w:tabs>
        <w:numPr>
          <w:ilvl w:val="0"/>
          <w:numId w:val="63"/>
        </w:numPr>
        <w:rPr>
          <w:rFonts w:ascii="Times New Roman" w:cs="Times New Roman" w:eastAsia="Times New Roman" w:hAnsi="Times New Roman"/>
          <w:sz w:val="20"/>
          <w:szCs w:val="20"/>
          <w:color w:val="052666"/>
        </w:rPr>
      </w:pPr>
      <w:r>
        <w:rPr>
          <w:rFonts w:ascii="Arial" w:cs="Arial" w:eastAsia="Arial" w:hAnsi="Arial"/>
          <w:sz w:val="20"/>
          <w:szCs w:val="20"/>
          <w:color w:val="auto"/>
        </w:rPr>
        <w:t>Fourth, the Audit Committee reviewed with the independent auditors their judgments as to the quality, not just the acceptability, of our accounting principles and such other matters as are required to be discussed with the Audit Committee under the standards of the Public Company Accounting Oversight Board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83" w:name="page84"/>
    <w:bookmarkEnd w:id="83"/>
    <w:p>
      <w:pPr>
        <w:ind w:left="9360"/>
        <w:spacing w:after="0"/>
        <w:rPr>
          <w:sz w:val="20"/>
          <w:szCs w:val="20"/>
          <w:color w:val="auto"/>
        </w:rPr>
      </w:pPr>
      <w:r>
        <w:rPr>
          <w:rFonts w:ascii="Arial" w:cs="Arial" w:eastAsia="Arial" w:hAnsi="Arial"/>
          <w:sz w:val="16"/>
          <w:szCs w:val="16"/>
          <w:b w:val="1"/>
          <w:bCs w:val="1"/>
          <w:color w:val="000052"/>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left="240" w:hanging="112"/>
        <w:spacing w:after="0" w:line="234" w:lineRule="auto"/>
        <w:tabs>
          <w:tab w:leader="none" w:pos="301" w:val="left"/>
        </w:tabs>
        <w:numPr>
          <w:ilvl w:val="0"/>
          <w:numId w:val="64"/>
        </w:numPr>
        <w:rPr>
          <w:rFonts w:ascii="Times New Roman" w:cs="Times New Roman" w:eastAsia="Times New Roman" w:hAnsi="Times New Roman"/>
          <w:sz w:val="20"/>
          <w:szCs w:val="20"/>
          <w:color w:val="052666"/>
        </w:rPr>
      </w:pPr>
      <w:r>
        <w:rPr>
          <w:rFonts w:ascii="Arial" w:cs="Arial" w:eastAsia="Arial" w:hAnsi="Arial"/>
          <w:sz w:val="20"/>
          <w:szCs w:val="20"/>
          <w:color w:val="auto"/>
        </w:rPr>
        <w:t>Fifth, the Audit Committee received the written disclosures and the letter from the Company’s independent auditors required by applicable requirements of the Public Company Accounting Oversight Board regarding the independent auditor’s communications with the Audit Committee concerning independence, and discussed with the independent auditors the auditors’ independence from management and the Company, including the matters in the written disclosures required by the Independence Standards Board, and considered the compatibility of non-audit services with the auditors’ independence.</w:t>
      </w:r>
    </w:p>
    <w:p>
      <w:pPr>
        <w:spacing w:after="0" w:line="66" w:lineRule="exact"/>
        <w:rPr>
          <w:rFonts w:ascii="Times New Roman" w:cs="Times New Roman" w:eastAsia="Times New Roman" w:hAnsi="Times New Roman"/>
          <w:sz w:val="20"/>
          <w:szCs w:val="20"/>
          <w:color w:val="052666"/>
        </w:rPr>
      </w:pPr>
    </w:p>
    <w:p>
      <w:pPr>
        <w:jc w:val="both"/>
        <w:ind w:left="240" w:hanging="112"/>
        <w:spacing w:after="0" w:line="234" w:lineRule="auto"/>
        <w:tabs>
          <w:tab w:leader="none" w:pos="317" w:val="left"/>
        </w:tabs>
        <w:numPr>
          <w:ilvl w:val="0"/>
          <w:numId w:val="64"/>
        </w:numPr>
        <w:rPr>
          <w:rFonts w:ascii="Times New Roman" w:cs="Times New Roman" w:eastAsia="Times New Roman" w:hAnsi="Times New Roman"/>
          <w:sz w:val="20"/>
          <w:szCs w:val="20"/>
          <w:color w:val="052666"/>
        </w:rPr>
      </w:pPr>
      <w:r>
        <w:rPr>
          <w:rFonts w:ascii="Arial" w:cs="Arial" w:eastAsia="Arial" w:hAnsi="Arial"/>
          <w:sz w:val="20"/>
          <w:szCs w:val="20"/>
          <w:color w:val="auto"/>
        </w:rPr>
        <w:t>Finally, the Audit Committee obtained and reviewed a report from the independent auditor describing: (i) the independent auditor’s internal quality-control procedures; (ii) any material issues raised by the most recent internal quality-control review, or peer review, of the independent auditor, or by any inquiry or investigation by governmental or professional authorities within the preceding five years inspecting one or more independent audits carried out by the independent auditor, and any steps taken to deal with any such issues; and (iii) all relationships between the independent auditor and the Company.</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Audit Committee reviewed and discussed our consolidated financial statements with the Board of Directors and discussed them with PricewaterhouseCoopers LLP during the 2025 fiscal year, along with the matters required to be discussed by Statement of Auditing Standard No. 16, Communications with Audit Committees, as amended, and as adopted by the Public Company Accounting Oversight Board. The Audit Committee received from PricewaterhouseCoopers LLP the written disclosures, including the letter, required by PCAOB 3524 and 3526 and discussed with PricewaterhouseCoopers LLP its independence.</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Based on the discussions with PricewaterhouseCoopers LLP and management, the consolidated financial statement review, and such other matters deemed relevant and appropriate by the Audit Committee, the Audit Committee recommended to the Board of Directors that the audited consolidated financial statements be included in our 2025 Annual Report on Form 10-K, as filed on February 25, 2026.</w:t>
      </w:r>
    </w:p>
    <w:p>
      <w:pPr>
        <w:spacing w:after="0" w:line="64"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AUDIT COMMITTEE</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Eileen C. McDonnell (Chairperson)</w:t>
      </w:r>
    </w:p>
    <w:p>
      <w:pPr>
        <w:ind w:left="6760"/>
        <w:spacing w:after="0" w:line="229" w:lineRule="auto"/>
        <w:rPr>
          <w:sz w:val="20"/>
          <w:szCs w:val="20"/>
          <w:color w:val="auto"/>
        </w:rPr>
      </w:pPr>
      <w:r>
        <w:rPr>
          <w:rFonts w:ascii="Arial" w:cs="Arial" w:eastAsia="Arial" w:hAnsi="Arial"/>
          <w:sz w:val="20"/>
          <w:szCs w:val="20"/>
          <w:color w:val="auto"/>
        </w:rPr>
        <w:t>Maria R. Singer</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Elliot J. Sussman,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4" w:name="page85"/>
    <w:bookmarkEnd w:id="84"/>
    <w:p>
      <w:pPr>
        <w:spacing w:after="0"/>
        <w:rPr>
          <w:sz w:val="20"/>
          <w:szCs w:val="20"/>
          <w:color w:val="auto"/>
        </w:rPr>
      </w:pPr>
      <w:r>
        <w:rPr>
          <w:rFonts w:ascii="Arial" w:cs="Arial" w:eastAsia="Arial" w:hAnsi="Arial"/>
          <w:sz w:val="40"/>
          <w:szCs w:val="40"/>
          <w:b w:val="1"/>
          <w:bCs w:val="1"/>
          <w:color w:val="052666"/>
        </w:rPr>
        <w:t>RELATIONSHIP WITH INDEPENDENT AUDITORS</w:t>
      </w:r>
    </w:p>
    <w:p>
      <w:pPr>
        <w:spacing w:after="0" w:line="200" w:lineRule="exact"/>
        <w:rPr>
          <w:sz w:val="20"/>
          <w:szCs w:val="20"/>
          <w:color w:val="auto"/>
        </w:rPr>
      </w:pP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PricewaterhouseCoopers LLP (“PwC”) served as our independent auditors during 2025 and 2024. Representatives from PwC will be in attendance at the Annual Meeting and will have an opportunity to make a statement, if they desire to do so, and to respond to any appropriate inquiries of the stockholders or their representatives.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PwC’s audit report on our consolidated financial statements as of and for the years ended December 31, 2025 and 2024 did not contain an adverse opinion or a disclaimer of opinion and was not qualified or modified as to uncertainty, audit scope or accounting principles.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Audit fees consisted of professional services rendered to us or certain of our subsidiaries. Such audit services include audits of financial statements, audit of our annual management assessment of the effectiveness of internal control over financial reporting in 2025 and 2024 (as required by Section 404 of the Sarbanes-Oxley Act of 2002), reviews of our quarterly financial statements and audit services provided in connection with regulatory filings, acquisitions, bond issuances and other matters.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Set forth below are the fees paid or accrued for the services of PwC during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Borders>
              <w:bottom w:val="single" w:sz="8" w:color="052666"/>
            </w:tcBorders>
          </w:tcPr>
          <w:p>
            <w:pPr>
              <w:spacing w:after="0"/>
              <w:rPr>
                <w:sz w:val="14"/>
                <w:szCs w:val="14"/>
                <w:color w:val="auto"/>
              </w:rPr>
            </w:pPr>
          </w:p>
        </w:tc>
        <w:tc>
          <w:tcPr>
            <w:tcW w:w="180" w:type="dxa"/>
            <w:vAlign w:val="bottom"/>
            <w:tcBorders>
              <w:bottom w:val="single" w:sz="8" w:color="052666"/>
            </w:tcBorders>
          </w:tcPr>
          <w:p>
            <w:pPr>
              <w:spacing w:after="0"/>
              <w:rPr>
                <w:sz w:val="14"/>
                <w:szCs w:val="14"/>
                <w:color w:val="auto"/>
              </w:rPr>
            </w:pPr>
          </w:p>
        </w:tc>
        <w:tc>
          <w:tcPr>
            <w:tcW w:w="360" w:type="dxa"/>
            <w:vAlign w:val="bottom"/>
            <w:tcBorders>
              <w:bottom w:val="single" w:sz="8" w:color="052666"/>
            </w:tcBorders>
          </w:tcPr>
          <w:p>
            <w:pPr>
              <w:spacing w:after="0"/>
              <w:rPr>
                <w:sz w:val="14"/>
                <w:szCs w:val="14"/>
                <w:color w:val="auto"/>
              </w:rPr>
            </w:pPr>
          </w:p>
        </w:tc>
        <w:tc>
          <w:tcPr>
            <w:tcW w:w="1300" w:type="dxa"/>
            <w:vAlign w:val="bottom"/>
            <w:tcBorders>
              <w:bottom w:val="single" w:sz="8" w:color="052666"/>
            </w:tcBorders>
          </w:tcPr>
          <w:p>
            <w:pPr>
              <w:jc w:val="right"/>
              <w:ind w:right="641"/>
              <w:spacing w:after="0"/>
              <w:rPr>
                <w:sz w:val="20"/>
                <w:szCs w:val="20"/>
                <w:color w:val="auto"/>
              </w:rPr>
            </w:pPr>
            <w:r>
              <w:rPr>
                <w:rFonts w:ascii="Arial" w:cs="Arial" w:eastAsia="Arial" w:hAnsi="Arial"/>
                <w:sz w:val="14"/>
                <w:szCs w:val="14"/>
                <w:b w:val="1"/>
                <w:bCs w:val="1"/>
                <w:color w:val="052666"/>
              </w:rPr>
              <w:t>2025</w:t>
            </w:r>
          </w:p>
        </w:tc>
        <w:tc>
          <w:tcPr>
            <w:tcW w:w="180" w:type="dxa"/>
            <w:vAlign w:val="bottom"/>
            <w:tcBorders>
              <w:bottom w:val="single" w:sz="8" w:color="052666"/>
            </w:tcBorders>
          </w:tcPr>
          <w:p>
            <w:pPr>
              <w:spacing w:after="0"/>
              <w:rPr>
                <w:sz w:val="14"/>
                <w:szCs w:val="14"/>
                <w:color w:val="auto"/>
              </w:rPr>
            </w:pPr>
          </w:p>
        </w:tc>
        <w:tc>
          <w:tcPr>
            <w:tcW w:w="340" w:type="dxa"/>
            <w:vAlign w:val="bottom"/>
            <w:tcBorders>
              <w:bottom w:val="single" w:sz="8" w:color="052666"/>
            </w:tcBorders>
          </w:tcPr>
          <w:p>
            <w:pPr>
              <w:spacing w:after="0"/>
              <w:rPr>
                <w:sz w:val="14"/>
                <w:szCs w:val="14"/>
                <w:color w:val="auto"/>
              </w:rPr>
            </w:pPr>
          </w:p>
        </w:tc>
        <w:tc>
          <w:tcPr>
            <w:tcW w:w="1320" w:type="dxa"/>
            <w:vAlign w:val="bottom"/>
            <w:tcBorders>
              <w:bottom w:val="single" w:sz="8" w:color="052666"/>
            </w:tcBorders>
          </w:tcPr>
          <w:p>
            <w:pPr>
              <w:jc w:val="right"/>
              <w:ind w:right="661"/>
              <w:spacing w:after="0"/>
              <w:rPr>
                <w:sz w:val="20"/>
                <w:szCs w:val="20"/>
                <w:color w:val="auto"/>
              </w:rPr>
            </w:pPr>
            <w:r>
              <w:rPr>
                <w:rFonts w:ascii="Arial" w:cs="Arial" w:eastAsia="Arial" w:hAnsi="Arial"/>
                <w:sz w:val="14"/>
                <w:szCs w:val="14"/>
                <w:b w:val="1"/>
                <w:bCs w:val="1"/>
                <w:color w:val="052666"/>
              </w:rPr>
              <w:t>2024</w:t>
            </w:r>
          </w:p>
        </w:tc>
      </w:tr>
      <w:tr>
        <w:trPr>
          <w:trHeight w:val="223"/>
        </w:trPr>
        <w:tc>
          <w:tcPr>
            <w:tcW w:w="7560" w:type="dxa"/>
            <w:vAlign w:val="bottom"/>
            <w:shd w:val="clear" w:color="auto" w:fill="EDEDED"/>
          </w:tcPr>
          <w:p>
            <w:pPr>
              <w:ind w:left="80"/>
              <w:spacing w:after="0"/>
              <w:rPr>
                <w:sz w:val="20"/>
                <w:szCs w:val="20"/>
                <w:color w:val="auto"/>
              </w:rPr>
            </w:pPr>
            <w:r>
              <w:rPr>
                <w:rFonts w:ascii="Arial" w:cs="Arial" w:eastAsia="Arial" w:hAnsi="Arial"/>
                <w:sz w:val="16"/>
                <w:szCs w:val="16"/>
                <w:color w:val="auto"/>
              </w:rPr>
              <w:t>Audit fees</w:t>
            </w:r>
          </w:p>
        </w:tc>
        <w:tc>
          <w:tcPr>
            <w:tcW w:w="540" w:type="dxa"/>
            <w:vAlign w:val="bottom"/>
            <w:gridSpan w:val="2"/>
            <w:shd w:val="clear" w:color="auto" w:fill="EDEDED"/>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4,618,125</w:t>
            </w:r>
          </w:p>
        </w:tc>
        <w:tc>
          <w:tcPr>
            <w:tcW w:w="520" w:type="dxa"/>
            <w:vAlign w:val="bottom"/>
            <w:gridSpan w:val="2"/>
            <w:shd w:val="clear" w:color="auto" w:fill="EDEDED"/>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4,864,125</w:t>
            </w:r>
          </w:p>
        </w:tc>
      </w:tr>
      <w:tr>
        <w:trPr>
          <w:trHeight w:val="230"/>
        </w:trPr>
        <w:tc>
          <w:tcPr>
            <w:tcW w:w="7560" w:type="dxa"/>
            <w:vAlign w:val="bottom"/>
          </w:tcPr>
          <w:p>
            <w:pPr>
              <w:ind w:left="80"/>
              <w:spacing w:after="0"/>
              <w:rPr>
                <w:sz w:val="20"/>
                <w:szCs w:val="20"/>
                <w:color w:val="auto"/>
              </w:rPr>
            </w:pPr>
            <w:r>
              <w:rPr>
                <w:rFonts w:ascii="Arial" w:cs="Arial" w:eastAsia="Arial" w:hAnsi="Arial"/>
                <w:sz w:val="16"/>
                <w:szCs w:val="16"/>
                <w:color w:val="auto"/>
              </w:rPr>
              <w:t>Audit-related fees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7,075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7,075</w:t>
            </w:r>
          </w:p>
        </w:tc>
      </w:tr>
      <w:tr>
        <w:trPr>
          <w:trHeight w:val="229"/>
        </w:trPr>
        <w:tc>
          <w:tcPr>
            <w:tcW w:w="7560" w:type="dxa"/>
            <w:vAlign w:val="bottom"/>
            <w:shd w:val="clear" w:color="auto" w:fill="EDEDED"/>
          </w:tcPr>
          <w:p>
            <w:pPr>
              <w:ind w:left="80"/>
              <w:spacing w:after="0"/>
              <w:rPr>
                <w:sz w:val="20"/>
                <w:szCs w:val="20"/>
                <w:color w:val="auto"/>
              </w:rPr>
            </w:pPr>
            <w:r>
              <w:rPr>
                <w:rFonts w:ascii="Arial" w:cs="Arial" w:eastAsia="Arial" w:hAnsi="Arial"/>
                <w:sz w:val="16"/>
                <w:szCs w:val="16"/>
                <w:color w:val="auto"/>
              </w:rPr>
              <w:t>Tax fees</w:t>
            </w:r>
          </w:p>
        </w:tc>
        <w:tc>
          <w:tcPr>
            <w:tcW w:w="180" w:type="dxa"/>
            <w:vAlign w:val="bottom"/>
            <w:shd w:val="clear" w:color="auto" w:fill="EDEDED"/>
          </w:tcPr>
          <w:p>
            <w:pPr>
              <w:spacing w:after="0"/>
              <w:rPr>
                <w:sz w:val="19"/>
                <w:szCs w:val="19"/>
                <w:color w:val="auto"/>
              </w:rPr>
            </w:pPr>
          </w:p>
        </w:tc>
        <w:tc>
          <w:tcPr>
            <w:tcW w:w="360" w:type="dxa"/>
            <w:vAlign w:val="bottom"/>
            <w:shd w:val="clear" w:color="auto" w:fill="EDEDED"/>
          </w:tcPr>
          <w:p>
            <w:pPr>
              <w:spacing w:after="0"/>
              <w:rPr>
                <w:sz w:val="19"/>
                <w:szCs w:val="19"/>
                <w:color w:val="auto"/>
              </w:rPr>
            </w:pPr>
          </w:p>
        </w:tc>
        <w:tc>
          <w:tcPr>
            <w:tcW w:w="13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780,000</w:t>
            </w:r>
          </w:p>
        </w:tc>
        <w:tc>
          <w:tcPr>
            <w:tcW w:w="180" w:type="dxa"/>
            <w:vAlign w:val="bottom"/>
            <w:shd w:val="clear" w:color="auto" w:fill="EDEDED"/>
          </w:tcPr>
          <w:p>
            <w:pPr>
              <w:spacing w:after="0"/>
              <w:rPr>
                <w:sz w:val="19"/>
                <w:szCs w:val="19"/>
                <w:color w:val="auto"/>
              </w:rPr>
            </w:pPr>
          </w:p>
        </w:tc>
        <w:tc>
          <w:tcPr>
            <w:tcW w:w="340" w:type="dxa"/>
            <w:vAlign w:val="bottom"/>
            <w:shd w:val="clear" w:color="auto" w:fill="EDEDED"/>
          </w:tcPr>
          <w:p>
            <w:pPr>
              <w:spacing w:after="0"/>
              <w:rPr>
                <w:sz w:val="19"/>
                <w:szCs w:val="19"/>
                <w:color w:val="auto"/>
              </w:rPr>
            </w:pPr>
          </w:p>
        </w:tc>
        <w:tc>
          <w:tcPr>
            <w:tcW w:w="13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350,000</w:t>
            </w:r>
          </w:p>
        </w:tc>
      </w:tr>
      <w:tr>
        <w:trPr>
          <w:trHeight w:val="241"/>
        </w:trPr>
        <w:tc>
          <w:tcPr>
            <w:tcW w:w="7560" w:type="dxa"/>
            <w:vAlign w:val="bottom"/>
          </w:tcPr>
          <w:p>
            <w:pPr>
              <w:ind w:left="80"/>
              <w:spacing w:after="0"/>
              <w:rPr>
                <w:sz w:val="20"/>
                <w:szCs w:val="20"/>
                <w:color w:val="auto"/>
              </w:rPr>
            </w:pPr>
            <w:r>
              <w:rPr>
                <w:rFonts w:ascii="Arial" w:cs="Arial" w:eastAsia="Arial" w:hAnsi="Arial"/>
                <w:sz w:val="16"/>
                <w:szCs w:val="16"/>
                <w:color w:val="auto"/>
              </w:rPr>
              <w:t>All other fees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738,000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288,000</w:t>
            </w:r>
          </w:p>
        </w:tc>
      </w:tr>
      <w:tr>
        <w:trPr>
          <w:trHeight w:val="29"/>
        </w:trPr>
        <w:tc>
          <w:tcPr>
            <w:tcW w:w="7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4"/>
        </w:trPr>
        <w:tc>
          <w:tcPr>
            <w:tcW w:w="7560" w:type="dxa"/>
            <w:vAlign w:val="bottom"/>
            <w:shd w:val="clear" w:color="auto" w:fill="EDEDED"/>
          </w:tcPr>
          <w:p>
            <w:pPr>
              <w:ind w:left="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EDEDED"/>
          </w:tcPr>
          <w:p>
            <w:pPr>
              <w:spacing w:after="0"/>
              <w:rPr>
                <w:sz w:val="24"/>
                <w:szCs w:val="24"/>
                <w:color w:val="auto"/>
              </w:rPr>
            </w:pPr>
          </w:p>
        </w:tc>
        <w:tc>
          <w:tcPr>
            <w:tcW w:w="360" w:type="dxa"/>
            <w:vAlign w:val="bottom"/>
            <w:shd w:val="clear" w:color="auto" w:fill="EDEDED"/>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6,143,200</w:t>
            </w:r>
          </w:p>
        </w:tc>
        <w:tc>
          <w:tcPr>
            <w:tcW w:w="520" w:type="dxa"/>
            <w:vAlign w:val="bottom"/>
            <w:gridSpan w:val="2"/>
            <w:shd w:val="clear" w:color="auto" w:fill="EDEDED"/>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5,509,200</w:t>
            </w:r>
          </w:p>
        </w:tc>
      </w:tr>
      <w:tr>
        <w:trPr>
          <w:trHeight w:val="20"/>
        </w:trPr>
        <w:tc>
          <w:tcPr>
            <w:tcW w:w="7560" w:type="dxa"/>
            <w:vAlign w:val="bottom"/>
            <w:tcBorders>
              <w:top w:val="single" w:sz="8" w:color="EDEDED"/>
            </w:tcBorders>
            <w:shd w:val="clear" w:color="auto" w:fill="7F7F7F"/>
          </w:tcPr>
          <w:p>
            <w:pPr>
              <w:spacing w:after="0" w:line="20" w:lineRule="exact"/>
              <w:rPr>
                <w:sz w:val="1"/>
                <w:szCs w:val="1"/>
                <w:color w:val="auto"/>
              </w:rPr>
            </w:pPr>
          </w:p>
        </w:tc>
        <w:tc>
          <w:tcPr>
            <w:tcW w:w="180" w:type="dxa"/>
            <w:vAlign w:val="bottom"/>
            <w:tcBorders>
              <w:top w:val="single" w:sz="8" w:color="EDEDED"/>
            </w:tcBorders>
            <w:shd w:val="clear" w:color="auto" w:fill="7F7F7F"/>
          </w:tcPr>
          <w:p>
            <w:pPr>
              <w:spacing w:after="0" w:line="20" w:lineRule="exact"/>
              <w:rPr>
                <w:sz w:val="1"/>
                <w:szCs w:val="1"/>
                <w:color w:val="auto"/>
              </w:rPr>
            </w:pPr>
          </w:p>
        </w:tc>
        <w:tc>
          <w:tcPr>
            <w:tcW w:w="360" w:type="dxa"/>
            <w:vAlign w:val="bottom"/>
            <w:tcBorders>
              <w:top w:val="single" w:sz="8" w:color="auto"/>
            </w:tcBorders>
            <w:shd w:val="clear" w:color="auto" w:fill="7F7F7F"/>
          </w:tcPr>
          <w:p>
            <w:pPr>
              <w:spacing w:after="0" w:line="20" w:lineRule="exact"/>
              <w:rPr>
                <w:sz w:val="1"/>
                <w:szCs w:val="1"/>
                <w:color w:val="auto"/>
              </w:rPr>
            </w:pPr>
          </w:p>
        </w:tc>
        <w:tc>
          <w:tcPr>
            <w:tcW w:w="1300" w:type="dxa"/>
            <w:vAlign w:val="bottom"/>
            <w:tcBorders>
              <w:top w:val="single" w:sz="8" w:color="auto"/>
            </w:tcBorders>
            <w:shd w:val="clear" w:color="auto" w:fill="7F7F7F"/>
          </w:tcPr>
          <w:p>
            <w:pPr>
              <w:spacing w:after="0" w:line="20" w:lineRule="exact"/>
              <w:rPr>
                <w:sz w:val="1"/>
                <w:szCs w:val="1"/>
                <w:color w:val="auto"/>
              </w:rPr>
            </w:pPr>
          </w:p>
        </w:tc>
        <w:tc>
          <w:tcPr>
            <w:tcW w:w="180" w:type="dxa"/>
            <w:vAlign w:val="bottom"/>
            <w:tcBorders>
              <w:top w:val="single" w:sz="8" w:color="EDEDED"/>
            </w:tcBorders>
            <w:shd w:val="clear" w:color="auto" w:fill="7F7F7F"/>
          </w:tcPr>
          <w:p>
            <w:pPr>
              <w:spacing w:after="0" w:line="20" w:lineRule="exact"/>
              <w:rPr>
                <w:sz w:val="1"/>
                <w:szCs w:val="1"/>
                <w:color w:val="auto"/>
              </w:rPr>
            </w:pPr>
          </w:p>
        </w:tc>
        <w:tc>
          <w:tcPr>
            <w:tcW w:w="340" w:type="dxa"/>
            <w:vAlign w:val="bottom"/>
            <w:tcBorders>
              <w:top w:val="single" w:sz="8" w:color="auto"/>
            </w:tcBorders>
            <w:shd w:val="clear" w:color="auto" w:fill="7F7F7F"/>
          </w:tcPr>
          <w:p>
            <w:pPr>
              <w:spacing w:after="0" w:line="20" w:lineRule="exact"/>
              <w:rPr>
                <w:sz w:val="1"/>
                <w:szCs w:val="1"/>
                <w:color w:val="auto"/>
              </w:rPr>
            </w:pPr>
          </w:p>
        </w:tc>
        <w:tc>
          <w:tcPr>
            <w:tcW w:w="1320" w:type="dxa"/>
            <w:vAlign w:val="bottom"/>
            <w:tcBorders>
              <w:top w:val="single" w:sz="8" w:color="auto"/>
            </w:tcBorders>
            <w:shd w:val="clear" w:color="auto" w:fill="7F7F7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-59055</wp:posOffset>
            </wp:positionV>
            <wp:extent cx="1111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-42545</wp:posOffset>
            </wp:positionV>
            <wp:extent cx="1111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Fees for tax services in 2025 and 2024 consisted primarily of consultation on various tax matters related to us and our subsidiaries, including when applicable, compliance, planning and preparation of federal and state income tax returns for certain of our subsidiaries.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other fees to PwC in 2025 and 2024 consist of services related to Independent Review Organization services in connection with our behavioral health facilities located in the United States, as well as pre-implementation assessment fees incurred in connection with our planned development and implementation of an enterprise resource planning application.</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Audit Committee has considered and determined that the provision of non-audit services by our principal auditor is compatible with maintaining auditor independence.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audit and permissible non-audit services provided to us by the independent auditors are pre-approved by the Audit Committee, which considers whether the proposed services would impair the independence of the independent auditors. The Chairperson of the Audit Committee may pre-approve audit and permissible non-audit services during the time between Audit Committee meetings if the fees for the proposed services are less than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85" w:name="page86"/>
    <w:bookmarkEnd w:id="85"/>
    <w:p>
      <w:pPr>
        <w:spacing w:after="0"/>
        <w:rPr>
          <w:sz w:val="20"/>
          <w:szCs w:val="20"/>
          <w:color w:val="auto"/>
        </w:rPr>
      </w:pPr>
      <w:r>
        <w:rPr>
          <w:rFonts w:ascii="Arial" w:cs="Arial" w:eastAsia="Arial" w:hAnsi="Arial"/>
          <w:sz w:val="40"/>
          <w:szCs w:val="40"/>
          <w:b w:val="1"/>
          <w:bCs w:val="1"/>
          <w:color w:val="052666"/>
        </w:rPr>
        <w:t>ANNEX A</w:t>
      </w:r>
    </w:p>
    <w:p>
      <w:pPr>
        <w:spacing w:after="0" w:line="200" w:lineRule="exact"/>
        <w:rPr>
          <w:sz w:val="20"/>
          <w:szCs w:val="20"/>
          <w:color w:val="auto"/>
        </w:rPr>
      </w:pPr>
    </w:p>
    <w:p>
      <w:pPr>
        <w:spacing w:after="0" w:line="240" w:lineRule="exact"/>
        <w:rPr>
          <w:sz w:val="20"/>
          <w:szCs w:val="20"/>
          <w:color w:val="auto"/>
        </w:rPr>
      </w:pPr>
    </w:p>
    <w:p>
      <w:pPr>
        <w:ind w:right="4600"/>
        <w:spacing w:after="0" w:line="264" w:lineRule="auto"/>
        <w:rPr>
          <w:sz w:val="20"/>
          <w:szCs w:val="20"/>
          <w:color w:val="auto"/>
        </w:rPr>
      </w:pPr>
      <w:r>
        <w:rPr>
          <w:rFonts w:ascii="Arial" w:cs="Arial" w:eastAsia="Arial" w:hAnsi="Arial"/>
          <w:sz w:val="25"/>
          <w:szCs w:val="25"/>
          <w:b w:val="1"/>
          <w:bCs w:val="1"/>
          <w:color w:val="052666"/>
        </w:rPr>
        <w:t>Schedule of Non-GAAP Supplemental Information Calculation of Adjusted Net Income Attributable to UHS For the Years Ended December 31, 2025 and 2024 (in thousands, except per share amounts,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921"/>
              <w:spacing w:after="0"/>
              <w:rPr>
                <w:sz w:val="20"/>
                <w:szCs w:val="20"/>
                <w:color w:val="auto"/>
              </w:rPr>
            </w:pPr>
            <w:r>
              <w:rPr>
                <w:rFonts w:ascii="Arial" w:cs="Arial" w:eastAsia="Arial" w:hAnsi="Arial"/>
                <w:sz w:val="14"/>
                <w:szCs w:val="14"/>
                <w:b w:val="1"/>
                <w:bCs w:val="1"/>
                <w:color w:val="052666"/>
              </w:rPr>
              <w:t>Year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901"/>
              <w:spacing w:after="0"/>
              <w:rPr>
                <w:sz w:val="20"/>
                <w:szCs w:val="20"/>
                <w:color w:val="auto"/>
              </w:rPr>
            </w:pPr>
            <w:r>
              <w:rPr>
                <w:rFonts w:ascii="Arial" w:cs="Arial" w:eastAsia="Arial" w:hAnsi="Arial"/>
                <w:sz w:val="14"/>
                <w:szCs w:val="14"/>
                <w:b w:val="1"/>
                <w:bCs w:val="1"/>
                <w:color w:val="052666"/>
              </w:rPr>
              <w:t>Year ended</w:t>
            </w:r>
          </w:p>
        </w:tc>
      </w:tr>
      <w:tr>
        <w:trPr>
          <w:trHeight w:val="17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052666"/>
              </w:rPr>
              <w:t>December 31, 2025</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4"/>
                <w:szCs w:val="14"/>
                <w:b w:val="1"/>
                <w:bCs w:val="1"/>
                <w:color w:val="052666"/>
              </w:rPr>
              <w:t>December 31, 2024</w:t>
            </w:r>
          </w:p>
        </w:tc>
      </w:tr>
      <w:tr>
        <w:trPr>
          <w:trHeight w:val="146"/>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221"/>
              <w:spacing w:after="0" w:line="147" w:lineRule="exact"/>
              <w:rPr>
                <w:sz w:val="20"/>
                <w:szCs w:val="20"/>
                <w:color w:val="auto"/>
              </w:rPr>
            </w:pPr>
            <w:r>
              <w:rPr>
                <w:rFonts w:ascii="Arial" w:cs="Arial" w:eastAsia="Arial" w:hAnsi="Arial"/>
                <w:sz w:val="14"/>
                <w:szCs w:val="14"/>
                <w:b w:val="1"/>
                <w:bCs w:val="1"/>
                <w:color w:val="052666"/>
              </w:rPr>
              <w:t>Per Diluted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221"/>
              <w:spacing w:after="0" w:line="147" w:lineRule="exact"/>
              <w:rPr>
                <w:sz w:val="20"/>
                <w:szCs w:val="20"/>
                <w:color w:val="auto"/>
              </w:rPr>
            </w:pPr>
            <w:r>
              <w:rPr>
                <w:rFonts w:ascii="Arial" w:cs="Arial" w:eastAsia="Arial" w:hAnsi="Arial"/>
                <w:sz w:val="14"/>
                <w:szCs w:val="14"/>
                <w:b w:val="1"/>
                <w:bCs w:val="1"/>
                <w:color w:val="052666"/>
              </w:rPr>
              <w:t>Per Diluted</w:t>
            </w:r>
          </w:p>
        </w:tc>
      </w:tr>
      <w:tr>
        <w:trPr>
          <w:trHeight w:val="171"/>
        </w:trPr>
        <w:tc>
          <w:tcPr>
            <w:tcW w:w="5720" w:type="dxa"/>
            <w:vAlign w:val="bottom"/>
            <w:tcBorders>
              <w:bottom w:val="single" w:sz="8" w:color="052666"/>
            </w:tcBorders>
          </w:tcPr>
          <w:p>
            <w:pPr>
              <w:spacing w:after="0"/>
              <w:rPr>
                <w:sz w:val="14"/>
                <w:szCs w:val="14"/>
                <w:color w:val="auto"/>
              </w:rPr>
            </w:pPr>
          </w:p>
        </w:tc>
        <w:tc>
          <w:tcPr>
            <w:tcW w:w="140" w:type="dxa"/>
            <w:vAlign w:val="bottom"/>
            <w:tcBorders>
              <w:bottom w:val="single" w:sz="8" w:color="052666"/>
            </w:tcBorders>
          </w:tcPr>
          <w:p>
            <w:pPr>
              <w:spacing w:after="0"/>
              <w:rPr>
                <w:sz w:val="14"/>
                <w:szCs w:val="14"/>
                <w:color w:val="auto"/>
              </w:rPr>
            </w:pPr>
          </w:p>
        </w:tc>
        <w:tc>
          <w:tcPr>
            <w:tcW w:w="180" w:type="dxa"/>
            <w:vAlign w:val="bottom"/>
            <w:tcBorders>
              <w:bottom w:val="single" w:sz="8" w:color="052666"/>
            </w:tcBorders>
          </w:tcPr>
          <w:p>
            <w:pPr>
              <w:spacing w:after="0"/>
              <w:rPr>
                <w:sz w:val="14"/>
                <w:szCs w:val="14"/>
                <w:color w:val="auto"/>
              </w:rPr>
            </w:pPr>
          </w:p>
        </w:tc>
        <w:tc>
          <w:tcPr>
            <w:tcW w:w="1100" w:type="dxa"/>
            <w:vAlign w:val="bottom"/>
            <w:tcBorders>
              <w:bottom w:val="single" w:sz="8" w:color="052666"/>
            </w:tcBorders>
          </w:tcPr>
          <w:p>
            <w:pPr>
              <w:jc w:val="right"/>
              <w:ind w:right="362"/>
              <w:spacing w:after="0"/>
              <w:rPr>
                <w:sz w:val="20"/>
                <w:szCs w:val="20"/>
                <w:color w:val="auto"/>
              </w:rPr>
            </w:pPr>
            <w:r>
              <w:rPr>
                <w:rFonts w:ascii="Arial" w:cs="Arial" w:eastAsia="Arial" w:hAnsi="Arial"/>
                <w:sz w:val="14"/>
                <w:szCs w:val="14"/>
                <w:b w:val="1"/>
                <w:bCs w:val="1"/>
                <w:color w:val="052666"/>
              </w:rPr>
              <w:t>Amount</w:t>
            </w:r>
          </w:p>
        </w:tc>
        <w:tc>
          <w:tcPr>
            <w:tcW w:w="140" w:type="dxa"/>
            <w:vAlign w:val="bottom"/>
            <w:tcBorders>
              <w:bottom w:val="single" w:sz="8" w:color="052666"/>
            </w:tcBorders>
          </w:tcPr>
          <w:p>
            <w:pPr>
              <w:spacing w:after="0"/>
              <w:rPr>
                <w:sz w:val="14"/>
                <w:szCs w:val="14"/>
                <w:color w:val="auto"/>
              </w:rPr>
            </w:pPr>
          </w:p>
        </w:tc>
        <w:tc>
          <w:tcPr>
            <w:tcW w:w="120" w:type="dxa"/>
            <w:vAlign w:val="bottom"/>
            <w:tcBorders>
              <w:bottom w:val="single" w:sz="8" w:color="052666"/>
            </w:tcBorders>
          </w:tcPr>
          <w:p>
            <w:pPr>
              <w:spacing w:after="0"/>
              <w:rPr>
                <w:sz w:val="14"/>
                <w:szCs w:val="14"/>
                <w:color w:val="auto"/>
              </w:rPr>
            </w:pPr>
          </w:p>
        </w:tc>
        <w:tc>
          <w:tcPr>
            <w:tcW w:w="1120" w:type="dxa"/>
            <w:vAlign w:val="bottom"/>
            <w:tcBorders>
              <w:bottom w:val="single" w:sz="8" w:color="052666"/>
            </w:tcBorders>
          </w:tcPr>
          <w:p>
            <w:pPr>
              <w:jc w:val="right"/>
              <w:ind w:right="401"/>
              <w:spacing w:after="0"/>
              <w:rPr>
                <w:sz w:val="20"/>
                <w:szCs w:val="20"/>
                <w:color w:val="auto"/>
              </w:rPr>
            </w:pPr>
            <w:r>
              <w:rPr>
                <w:rFonts w:ascii="Arial" w:cs="Arial" w:eastAsia="Arial" w:hAnsi="Arial"/>
                <w:sz w:val="14"/>
                <w:szCs w:val="14"/>
                <w:b w:val="1"/>
                <w:bCs w:val="1"/>
                <w:color w:val="052666"/>
              </w:rPr>
              <w:t>Share</w:t>
            </w:r>
          </w:p>
        </w:tc>
        <w:tc>
          <w:tcPr>
            <w:tcW w:w="120" w:type="dxa"/>
            <w:vAlign w:val="bottom"/>
            <w:tcBorders>
              <w:bottom w:val="single" w:sz="8" w:color="052666"/>
            </w:tcBorders>
          </w:tcPr>
          <w:p>
            <w:pPr>
              <w:spacing w:after="0"/>
              <w:rPr>
                <w:sz w:val="14"/>
                <w:szCs w:val="14"/>
                <w:color w:val="auto"/>
              </w:rPr>
            </w:pPr>
          </w:p>
        </w:tc>
        <w:tc>
          <w:tcPr>
            <w:tcW w:w="180" w:type="dxa"/>
            <w:vAlign w:val="bottom"/>
            <w:tcBorders>
              <w:bottom w:val="single" w:sz="8" w:color="052666"/>
            </w:tcBorders>
          </w:tcPr>
          <w:p>
            <w:pPr>
              <w:spacing w:after="0"/>
              <w:rPr>
                <w:sz w:val="14"/>
                <w:szCs w:val="14"/>
                <w:color w:val="auto"/>
              </w:rPr>
            </w:pPr>
          </w:p>
        </w:tc>
        <w:tc>
          <w:tcPr>
            <w:tcW w:w="1060" w:type="dxa"/>
            <w:vAlign w:val="bottom"/>
            <w:tcBorders>
              <w:bottom w:val="single" w:sz="8" w:color="052666"/>
            </w:tcBorders>
          </w:tcPr>
          <w:p>
            <w:pPr>
              <w:jc w:val="right"/>
              <w:ind w:right="342"/>
              <w:spacing w:after="0"/>
              <w:rPr>
                <w:sz w:val="20"/>
                <w:szCs w:val="20"/>
                <w:color w:val="auto"/>
              </w:rPr>
            </w:pPr>
            <w:r>
              <w:rPr>
                <w:rFonts w:ascii="Arial" w:cs="Arial" w:eastAsia="Arial" w:hAnsi="Arial"/>
                <w:sz w:val="14"/>
                <w:szCs w:val="14"/>
                <w:b w:val="1"/>
                <w:bCs w:val="1"/>
                <w:color w:val="052666"/>
              </w:rPr>
              <w:t>Amount</w:t>
            </w:r>
          </w:p>
        </w:tc>
        <w:tc>
          <w:tcPr>
            <w:tcW w:w="120" w:type="dxa"/>
            <w:vAlign w:val="bottom"/>
            <w:tcBorders>
              <w:bottom w:val="single" w:sz="8" w:color="052666"/>
            </w:tcBorders>
          </w:tcPr>
          <w:p>
            <w:pPr>
              <w:spacing w:after="0"/>
              <w:rPr>
                <w:sz w:val="14"/>
                <w:szCs w:val="14"/>
                <w:color w:val="auto"/>
              </w:rPr>
            </w:pPr>
          </w:p>
        </w:tc>
        <w:tc>
          <w:tcPr>
            <w:tcW w:w="140" w:type="dxa"/>
            <w:vAlign w:val="bottom"/>
            <w:tcBorders>
              <w:bottom w:val="single" w:sz="8" w:color="052666"/>
            </w:tcBorders>
          </w:tcPr>
          <w:p>
            <w:pPr>
              <w:spacing w:after="0"/>
              <w:rPr>
                <w:sz w:val="14"/>
                <w:szCs w:val="14"/>
                <w:color w:val="auto"/>
              </w:rPr>
            </w:pPr>
          </w:p>
        </w:tc>
        <w:tc>
          <w:tcPr>
            <w:tcW w:w="1100" w:type="dxa"/>
            <w:vAlign w:val="bottom"/>
            <w:tcBorders>
              <w:bottom w:val="single" w:sz="8" w:color="052666"/>
            </w:tcBorders>
          </w:tcPr>
          <w:p>
            <w:pPr>
              <w:jc w:val="right"/>
              <w:ind w:right="401"/>
              <w:spacing w:after="0"/>
              <w:rPr>
                <w:sz w:val="20"/>
                <w:szCs w:val="20"/>
                <w:color w:val="auto"/>
              </w:rPr>
            </w:pPr>
            <w:r>
              <w:rPr>
                <w:rFonts w:ascii="Arial" w:cs="Arial" w:eastAsia="Arial" w:hAnsi="Arial"/>
                <w:sz w:val="14"/>
                <w:szCs w:val="14"/>
                <w:b w:val="1"/>
                <w:bCs w:val="1"/>
                <w:color w:val="052666"/>
              </w:rPr>
              <w:t>Share</w:t>
            </w:r>
          </w:p>
        </w:tc>
      </w:tr>
      <w:tr>
        <w:trPr>
          <w:trHeight w:val="223"/>
        </w:trPr>
        <w:tc>
          <w:tcPr>
            <w:tcW w:w="5720" w:type="dxa"/>
            <w:vAlign w:val="bottom"/>
            <w:shd w:val="clear" w:color="auto" w:fill="EDEDED"/>
          </w:tcPr>
          <w:p>
            <w:pPr>
              <w:ind w:left="60"/>
              <w:spacing w:after="0"/>
              <w:rPr>
                <w:sz w:val="20"/>
                <w:szCs w:val="20"/>
                <w:color w:val="auto"/>
              </w:rPr>
            </w:pPr>
            <w:r>
              <w:rPr>
                <w:rFonts w:ascii="Arial" w:cs="Arial" w:eastAsia="Arial" w:hAnsi="Arial"/>
                <w:sz w:val="16"/>
                <w:szCs w:val="16"/>
                <w:color w:val="auto"/>
              </w:rPr>
              <w:t>Net income attributable to UHS</w:t>
            </w:r>
          </w:p>
        </w:tc>
        <w:tc>
          <w:tcPr>
            <w:tcW w:w="320" w:type="dxa"/>
            <w:vAlign w:val="bottom"/>
            <w:gridSpan w:val="2"/>
            <w:shd w:val="clear" w:color="auto" w:fill="EDEDED"/>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DED"/>
          </w:tcPr>
          <w:p>
            <w:pPr>
              <w:jc w:val="right"/>
              <w:ind w:right="62"/>
              <w:spacing w:after="0"/>
              <w:rPr>
                <w:sz w:val="20"/>
                <w:szCs w:val="20"/>
                <w:color w:val="auto"/>
              </w:rPr>
            </w:pPr>
            <w:r>
              <w:rPr>
                <w:rFonts w:ascii="Arial" w:cs="Arial" w:eastAsia="Arial" w:hAnsi="Arial"/>
                <w:sz w:val="16"/>
                <w:szCs w:val="16"/>
                <w:color w:val="auto"/>
              </w:rPr>
              <w:t>1,488,796</w:t>
            </w:r>
          </w:p>
        </w:tc>
        <w:tc>
          <w:tcPr>
            <w:tcW w:w="260" w:type="dxa"/>
            <w:vAlign w:val="bottom"/>
            <w:gridSpan w:val="2"/>
            <w:shd w:val="clear" w:color="auto" w:fill="EDEDED"/>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23.10</w:t>
            </w:r>
          </w:p>
        </w:tc>
        <w:tc>
          <w:tcPr>
            <w:tcW w:w="300" w:type="dxa"/>
            <w:vAlign w:val="bottom"/>
            <w:gridSpan w:val="2"/>
            <w:shd w:val="clear" w:color="auto" w:fill="EDEDED"/>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auto"/>
              </w:rPr>
              <w:t>1,142,097</w:t>
            </w:r>
          </w:p>
        </w:tc>
        <w:tc>
          <w:tcPr>
            <w:tcW w:w="260" w:type="dxa"/>
            <w:vAlign w:val="bottom"/>
            <w:gridSpan w:val="2"/>
            <w:shd w:val="clear" w:color="auto" w:fill="EDEDED"/>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16.82</w:t>
            </w:r>
          </w:p>
        </w:tc>
      </w:tr>
      <w:tr>
        <w:trPr>
          <w:trHeight w:val="189"/>
        </w:trPr>
        <w:tc>
          <w:tcPr>
            <w:tcW w:w="5720" w:type="dxa"/>
            <w:vAlign w:val="bottom"/>
          </w:tcPr>
          <w:p>
            <w:pPr>
              <w:ind w:left="60"/>
              <w:spacing w:after="0"/>
              <w:rPr>
                <w:sz w:val="20"/>
                <w:szCs w:val="20"/>
                <w:color w:val="auto"/>
              </w:rPr>
            </w:pPr>
            <w:r>
              <w:rPr>
                <w:rFonts w:ascii="Arial" w:cs="Arial" w:eastAsia="Arial" w:hAnsi="Arial"/>
                <w:sz w:val="16"/>
                <w:szCs w:val="16"/>
                <w:color w:val="auto"/>
              </w:rPr>
              <w:t>Plus/minus after-tax adjustments: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720" w:type="dxa"/>
            <w:vAlign w:val="bottom"/>
            <w:shd w:val="clear" w:color="auto" w:fill="EDEDED"/>
          </w:tcPr>
          <w:p>
            <w:pPr>
              <w:ind w:left="60"/>
              <w:spacing w:after="0"/>
              <w:rPr>
                <w:sz w:val="20"/>
                <w:szCs w:val="20"/>
                <w:color w:val="auto"/>
              </w:rPr>
            </w:pPr>
            <w:r>
              <w:rPr>
                <w:rFonts w:ascii="Arial" w:cs="Arial" w:eastAsia="Arial" w:hAnsi="Arial"/>
                <w:sz w:val="16"/>
                <w:szCs w:val="16"/>
                <w:color w:val="auto"/>
              </w:rPr>
              <w:t>(Gain) loss on marketable equity securities</w:t>
            </w:r>
          </w:p>
        </w:tc>
        <w:tc>
          <w:tcPr>
            <w:tcW w:w="140" w:type="dxa"/>
            <w:vAlign w:val="bottom"/>
            <w:shd w:val="clear" w:color="auto" w:fill="EDEDED"/>
          </w:tcPr>
          <w:p>
            <w:pPr>
              <w:spacing w:after="0"/>
              <w:rPr>
                <w:sz w:val="16"/>
                <w:szCs w:val="16"/>
                <w:color w:val="auto"/>
              </w:rPr>
            </w:pPr>
          </w:p>
        </w:tc>
        <w:tc>
          <w:tcPr>
            <w:tcW w:w="180" w:type="dxa"/>
            <w:vAlign w:val="bottom"/>
            <w:shd w:val="clear" w:color="auto" w:fill="EDEDED"/>
          </w:tcPr>
          <w:p>
            <w:pPr>
              <w:spacing w:after="0"/>
              <w:rPr>
                <w:sz w:val="16"/>
                <w:szCs w:val="16"/>
                <w:color w:val="auto"/>
              </w:rPr>
            </w:pPr>
          </w:p>
        </w:tc>
        <w:tc>
          <w:tcPr>
            <w:tcW w:w="1100" w:type="dxa"/>
            <w:vAlign w:val="bottom"/>
            <w:shd w:val="clear" w:color="auto" w:fill="EDEDED"/>
          </w:tcPr>
          <w:p>
            <w:pPr>
              <w:jc w:val="right"/>
              <w:ind w:right="2"/>
              <w:spacing w:after="0"/>
              <w:rPr>
                <w:sz w:val="20"/>
                <w:szCs w:val="20"/>
                <w:color w:val="auto"/>
              </w:rPr>
            </w:pPr>
            <w:r>
              <w:rPr>
                <w:rFonts w:ascii="Arial" w:cs="Arial" w:eastAsia="Arial" w:hAnsi="Arial"/>
                <w:sz w:val="16"/>
                <w:szCs w:val="16"/>
                <w:color w:val="auto"/>
              </w:rPr>
              <w:t>(12,061)</w:t>
            </w:r>
          </w:p>
        </w:tc>
        <w:tc>
          <w:tcPr>
            <w:tcW w:w="14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EDEDED"/>
          </w:tcPr>
          <w:p>
            <w:pPr>
              <w:spacing w:after="0"/>
              <w:rPr>
                <w:sz w:val="16"/>
                <w:szCs w:val="16"/>
                <w:color w:val="auto"/>
              </w:rPr>
            </w:pPr>
          </w:p>
        </w:tc>
        <w:tc>
          <w:tcPr>
            <w:tcW w:w="180" w:type="dxa"/>
            <w:vAlign w:val="bottom"/>
            <w:shd w:val="clear" w:color="auto" w:fill="EDEDED"/>
          </w:tcPr>
          <w:p>
            <w:pPr>
              <w:spacing w:after="0"/>
              <w:rPr>
                <w:sz w:val="16"/>
                <w:szCs w:val="16"/>
                <w:color w:val="auto"/>
              </w:rPr>
            </w:pPr>
          </w:p>
        </w:tc>
        <w:tc>
          <w:tcPr>
            <w:tcW w:w="106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auto"/>
              </w:rPr>
              <w:t>1,985</w:t>
            </w:r>
          </w:p>
        </w:tc>
        <w:tc>
          <w:tcPr>
            <w:tcW w:w="120" w:type="dxa"/>
            <w:vAlign w:val="bottom"/>
            <w:shd w:val="clear" w:color="auto" w:fill="EDEDED"/>
          </w:tcPr>
          <w:p>
            <w:pPr>
              <w:spacing w:after="0"/>
              <w:rPr>
                <w:sz w:val="16"/>
                <w:szCs w:val="16"/>
                <w:color w:val="auto"/>
              </w:rPr>
            </w:pPr>
          </w:p>
        </w:tc>
        <w:tc>
          <w:tcPr>
            <w:tcW w:w="140" w:type="dxa"/>
            <w:vAlign w:val="bottom"/>
            <w:shd w:val="clear" w:color="auto" w:fill="EDEDED"/>
          </w:tcPr>
          <w:p>
            <w:pPr>
              <w:spacing w:after="0"/>
              <w:rPr>
                <w:sz w:val="16"/>
                <w:szCs w:val="16"/>
                <w:color w:val="auto"/>
              </w:rPr>
            </w:pPr>
          </w:p>
        </w:tc>
        <w:tc>
          <w:tcPr>
            <w:tcW w:w="11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0.03</w:t>
            </w:r>
          </w:p>
        </w:tc>
      </w:tr>
      <w:tr>
        <w:trPr>
          <w:trHeight w:val="189"/>
        </w:trPr>
        <w:tc>
          <w:tcPr>
            <w:tcW w:w="5720" w:type="dxa"/>
            <w:vAlign w:val="bottom"/>
          </w:tcPr>
          <w:p>
            <w:pPr>
              <w:ind w:left="60"/>
              <w:spacing w:after="0"/>
              <w:rPr>
                <w:sz w:val="20"/>
                <w:szCs w:val="20"/>
                <w:color w:val="auto"/>
              </w:rPr>
            </w:pPr>
            <w:r>
              <w:rPr>
                <w:rFonts w:ascii="Arial" w:cs="Arial" w:eastAsia="Arial" w:hAnsi="Arial"/>
                <w:sz w:val="16"/>
                <w:szCs w:val="16"/>
                <w:color w:val="auto"/>
              </w:rPr>
              <w:t>Unrealized gain on non-marketable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(71,489)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189"/>
        </w:trPr>
        <w:tc>
          <w:tcPr>
            <w:tcW w:w="57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Impact of ASU 2016-09, net</w:t>
            </w:r>
          </w:p>
        </w:tc>
        <w:tc>
          <w:tcPr>
            <w:tcW w:w="140" w:type="dxa"/>
            <w:vAlign w:val="bottom"/>
            <w:tcBorders>
              <w:bottom w:val="single" w:sz="8" w:color="EDEDED"/>
            </w:tcBorders>
            <w:shd w:val="clear" w:color="auto" w:fill="EDEDED"/>
          </w:tcPr>
          <w:p>
            <w:pPr>
              <w:spacing w:after="0"/>
              <w:rPr>
                <w:sz w:val="16"/>
                <w:szCs w:val="16"/>
                <w:color w:val="auto"/>
              </w:rPr>
            </w:pPr>
          </w:p>
        </w:tc>
        <w:tc>
          <w:tcPr>
            <w:tcW w:w="180" w:type="dxa"/>
            <w:vAlign w:val="bottom"/>
            <w:tcBorders>
              <w:bottom w:val="single" w:sz="8" w:color="auto"/>
            </w:tcBorders>
            <w:shd w:val="clear" w:color="auto" w:fill="EDEDED"/>
          </w:tcPr>
          <w:p>
            <w:pPr>
              <w:spacing w:after="0"/>
              <w:rPr>
                <w:sz w:val="16"/>
                <w:szCs w:val="16"/>
                <w:color w:val="auto"/>
              </w:rPr>
            </w:pPr>
          </w:p>
        </w:tc>
        <w:tc>
          <w:tcPr>
            <w:tcW w:w="1100" w:type="dxa"/>
            <w:vAlign w:val="bottom"/>
            <w:tcBorders>
              <w:bottom w:val="single" w:sz="8" w:color="auto"/>
            </w:tcBorders>
            <w:shd w:val="clear" w:color="auto" w:fill="EDEDED"/>
          </w:tcPr>
          <w:p>
            <w:pPr>
              <w:jc w:val="right"/>
              <w:ind w:right="2"/>
              <w:spacing w:after="0"/>
              <w:rPr>
                <w:sz w:val="20"/>
                <w:szCs w:val="20"/>
                <w:color w:val="auto"/>
              </w:rPr>
            </w:pPr>
            <w:r>
              <w:rPr>
                <w:rFonts w:ascii="Arial" w:cs="Arial" w:eastAsia="Arial" w:hAnsi="Arial"/>
                <w:sz w:val="16"/>
                <w:szCs w:val="16"/>
                <w:color w:val="auto"/>
              </w:rPr>
              <w:t>(4,164)</w:t>
            </w:r>
          </w:p>
        </w:tc>
        <w:tc>
          <w:tcPr>
            <w:tcW w:w="140" w:type="dxa"/>
            <w:vAlign w:val="bottom"/>
            <w:tcBorders>
              <w:bottom w:val="single" w:sz="8" w:color="EDEDED"/>
            </w:tcBorders>
            <w:shd w:val="clear" w:color="auto" w:fill="EDEDED"/>
          </w:tcPr>
          <w:p>
            <w:pPr>
              <w:spacing w:after="0"/>
              <w:rPr>
                <w:sz w:val="16"/>
                <w:szCs w:val="16"/>
                <w:color w:val="auto"/>
              </w:rPr>
            </w:pPr>
          </w:p>
        </w:tc>
        <w:tc>
          <w:tcPr>
            <w:tcW w:w="120" w:type="dxa"/>
            <w:vAlign w:val="bottom"/>
            <w:tcBorders>
              <w:bottom w:val="single" w:sz="8" w:color="auto"/>
            </w:tcBorders>
            <w:shd w:val="clear" w:color="auto" w:fill="EDEDED"/>
          </w:tcPr>
          <w:p>
            <w:pPr>
              <w:spacing w:after="0"/>
              <w:rPr>
                <w:sz w:val="16"/>
                <w:szCs w:val="16"/>
                <w:color w:val="auto"/>
              </w:rPr>
            </w:pP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EDEDED"/>
            </w:tcBorders>
            <w:shd w:val="clear" w:color="auto" w:fill="EDEDED"/>
          </w:tcPr>
          <w:p>
            <w:pPr>
              <w:spacing w:after="0"/>
              <w:rPr>
                <w:sz w:val="16"/>
                <w:szCs w:val="16"/>
                <w:color w:val="auto"/>
              </w:rPr>
            </w:pPr>
          </w:p>
        </w:tc>
        <w:tc>
          <w:tcPr>
            <w:tcW w:w="180" w:type="dxa"/>
            <w:vAlign w:val="bottom"/>
            <w:tcBorders>
              <w:bottom w:val="single" w:sz="8" w:color="auto"/>
            </w:tcBorders>
            <w:shd w:val="clear" w:color="auto" w:fill="EDEDED"/>
          </w:tcPr>
          <w:p>
            <w:pPr>
              <w:spacing w:after="0"/>
              <w:rPr>
                <w:sz w:val="16"/>
                <w:szCs w:val="16"/>
                <w:color w:val="auto"/>
              </w:rPr>
            </w:pPr>
          </w:p>
        </w:tc>
        <w:tc>
          <w:tcPr>
            <w:tcW w:w="10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(15,947)</w:t>
            </w:r>
          </w:p>
        </w:tc>
        <w:tc>
          <w:tcPr>
            <w:tcW w:w="120" w:type="dxa"/>
            <w:vAlign w:val="bottom"/>
            <w:tcBorders>
              <w:bottom w:val="single" w:sz="8" w:color="EDEDED"/>
            </w:tcBorders>
            <w:shd w:val="clear" w:color="auto" w:fill="EDEDED"/>
          </w:tcPr>
          <w:p>
            <w:pPr>
              <w:spacing w:after="0"/>
              <w:rPr>
                <w:sz w:val="16"/>
                <w:szCs w:val="16"/>
                <w:color w:val="auto"/>
              </w:rPr>
            </w:pPr>
          </w:p>
        </w:tc>
        <w:tc>
          <w:tcPr>
            <w:tcW w:w="140" w:type="dxa"/>
            <w:vAlign w:val="bottom"/>
            <w:tcBorders>
              <w:bottom w:val="single" w:sz="8" w:color="auto"/>
            </w:tcBorders>
            <w:shd w:val="clear" w:color="auto" w:fill="EDEDED"/>
          </w:tcPr>
          <w:p>
            <w:pPr>
              <w:spacing w:after="0"/>
              <w:rPr>
                <w:sz w:val="16"/>
                <w:szCs w:val="16"/>
                <w:color w:val="auto"/>
              </w:rPr>
            </w:pPr>
          </w:p>
        </w:tc>
        <w:tc>
          <w:tcPr>
            <w:tcW w:w="11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(0.24)</w:t>
            </w:r>
          </w:p>
        </w:tc>
      </w:tr>
      <w:tr>
        <w:trPr>
          <w:trHeight w:val="183"/>
        </w:trPr>
        <w:tc>
          <w:tcPr>
            <w:tcW w:w="5720" w:type="dxa"/>
            <w:vAlign w:val="bottom"/>
          </w:tcPr>
          <w:p>
            <w:pPr>
              <w:ind w:left="60"/>
              <w:spacing w:after="0" w:line="183" w:lineRule="exact"/>
              <w:rPr>
                <w:sz w:val="20"/>
                <w:szCs w:val="20"/>
                <w:color w:val="auto"/>
              </w:rPr>
            </w:pPr>
            <w:r>
              <w:rPr>
                <w:rFonts w:ascii="Arial" w:cs="Arial" w:eastAsia="Arial" w:hAnsi="Arial"/>
                <w:sz w:val="16"/>
                <w:szCs w:val="16"/>
                <w:color w:val="auto"/>
              </w:rPr>
              <w:t>Subtotal adjustments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(87,714)</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(13,962)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(0.21)</w:t>
            </w:r>
          </w:p>
        </w:tc>
      </w:tr>
      <w:tr>
        <w:trPr>
          <w:trHeight w:val="203"/>
        </w:trPr>
        <w:tc>
          <w:tcPr>
            <w:tcW w:w="5720" w:type="dxa"/>
            <w:vAlign w:val="bottom"/>
            <w:shd w:val="clear" w:color="auto" w:fill="EDEDED"/>
          </w:tcPr>
          <w:p>
            <w:pPr>
              <w:ind w:left="60"/>
              <w:spacing w:after="0" w:line="183" w:lineRule="exact"/>
              <w:rPr>
                <w:sz w:val="20"/>
                <w:szCs w:val="20"/>
                <w:color w:val="auto"/>
              </w:rPr>
            </w:pPr>
            <w:r>
              <w:rPr>
                <w:rFonts w:ascii="Arial" w:cs="Arial" w:eastAsia="Arial" w:hAnsi="Arial"/>
                <w:sz w:val="16"/>
                <w:szCs w:val="16"/>
                <w:color w:val="auto"/>
              </w:rPr>
              <w:t>Adjusted net income attributable to UHS</w:t>
            </w:r>
          </w:p>
        </w:tc>
        <w:tc>
          <w:tcPr>
            <w:tcW w:w="320" w:type="dxa"/>
            <w:vAlign w:val="bottom"/>
            <w:gridSpan w:val="2"/>
            <w:shd w:val="clear" w:color="auto" w:fill="EDEDED"/>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EDEDED"/>
          </w:tcPr>
          <w:p>
            <w:pPr>
              <w:jc w:val="right"/>
              <w:ind w:right="62"/>
              <w:spacing w:after="0" w:line="183" w:lineRule="exact"/>
              <w:rPr>
                <w:sz w:val="20"/>
                <w:szCs w:val="20"/>
                <w:color w:val="auto"/>
              </w:rPr>
            </w:pPr>
            <w:r>
              <w:rPr>
                <w:rFonts w:ascii="Arial" w:cs="Arial" w:eastAsia="Arial" w:hAnsi="Arial"/>
                <w:sz w:val="16"/>
                <w:szCs w:val="16"/>
                <w:color w:val="auto"/>
              </w:rPr>
              <w:t>1,401,082</w:t>
            </w:r>
          </w:p>
        </w:tc>
        <w:tc>
          <w:tcPr>
            <w:tcW w:w="260" w:type="dxa"/>
            <w:vAlign w:val="bottom"/>
            <w:gridSpan w:val="2"/>
            <w:shd w:val="clear" w:color="auto" w:fill="EDEDED"/>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EDEDED"/>
          </w:tcPr>
          <w:p>
            <w:pPr>
              <w:jc w:val="right"/>
              <w:ind w:right="41"/>
              <w:spacing w:after="0" w:line="183" w:lineRule="exact"/>
              <w:rPr>
                <w:sz w:val="20"/>
                <w:szCs w:val="20"/>
                <w:color w:val="auto"/>
              </w:rPr>
            </w:pPr>
            <w:r>
              <w:rPr>
                <w:rFonts w:ascii="Arial" w:cs="Arial" w:eastAsia="Arial" w:hAnsi="Arial"/>
                <w:sz w:val="16"/>
                <w:szCs w:val="16"/>
                <w:color w:val="auto"/>
              </w:rPr>
              <w:t>21.74</w:t>
            </w:r>
          </w:p>
        </w:tc>
        <w:tc>
          <w:tcPr>
            <w:tcW w:w="300" w:type="dxa"/>
            <w:vAlign w:val="bottom"/>
            <w:gridSpan w:val="2"/>
            <w:shd w:val="clear" w:color="auto" w:fill="EDEDED"/>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EDEDED"/>
          </w:tcPr>
          <w:p>
            <w:pPr>
              <w:jc w:val="right"/>
              <w:ind w:right="42"/>
              <w:spacing w:after="0" w:line="183" w:lineRule="exact"/>
              <w:rPr>
                <w:sz w:val="20"/>
                <w:szCs w:val="20"/>
                <w:color w:val="auto"/>
              </w:rPr>
            </w:pPr>
            <w:r>
              <w:rPr>
                <w:rFonts w:ascii="Arial" w:cs="Arial" w:eastAsia="Arial" w:hAnsi="Arial"/>
                <w:sz w:val="16"/>
                <w:szCs w:val="16"/>
                <w:color w:val="auto"/>
              </w:rPr>
              <w:t>1,128,135</w:t>
            </w:r>
          </w:p>
        </w:tc>
        <w:tc>
          <w:tcPr>
            <w:tcW w:w="260" w:type="dxa"/>
            <w:vAlign w:val="bottom"/>
            <w:gridSpan w:val="2"/>
            <w:shd w:val="clear" w:color="auto" w:fill="EDEDED"/>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EDEDED"/>
          </w:tcPr>
          <w:p>
            <w:pPr>
              <w:jc w:val="right"/>
              <w:ind w:right="41"/>
              <w:spacing w:after="0" w:line="183" w:lineRule="exact"/>
              <w:rPr>
                <w:sz w:val="20"/>
                <w:szCs w:val="20"/>
                <w:color w:val="auto"/>
              </w:rPr>
            </w:pPr>
            <w:r>
              <w:rPr>
                <w:rFonts w:ascii="Arial" w:cs="Arial" w:eastAsia="Arial" w:hAnsi="Arial"/>
                <w:sz w:val="16"/>
                <w:szCs w:val="16"/>
                <w:color w:val="auto"/>
              </w:rPr>
              <w:t>16.61</w:t>
            </w:r>
          </w:p>
        </w:tc>
      </w:tr>
      <w:tr>
        <w:trPr>
          <w:trHeight w:val="20"/>
        </w:trPr>
        <w:tc>
          <w:tcPr>
            <w:tcW w:w="5720" w:type="dxa"/>
            <w:vAlign w:val="bottom"/>
            <w:tcBorders>
              <w:top w:val="single" w:sz="8" w:color="EDEDED"/>
            </w:tcBorders>
            <w:shd w:val="clear" w:color="auto" w:fill="EDEDED"/>
          </w:tcPr>
          <w:p>
            <w:pPr>
              <w:spacing w:after="0" w:line="20" w:lineRule="exact"/>
              <w:rPr>
                <w:sz w:val="1"/>
                <w:szCs w:val="1"/>
                <w:color w:val="auto"/>
              </w:rPr>
            </w:pPr>
          </w:p>
        </w:tc>
        <w:tc>
          <w:tcPr>
            <w:tcW w:w="140" w:type="dxa"/>
            <w:vAlign w:val="bottom"/>
            <w:tcBorders>
              <w:top w:val="single" w:sz="8" w:color="EDEDED"/>
            </w:tcBorders>
            <w:shd w:val="clear" w:color="auto" w:fill="EDEDED"/>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DEDED"/>
            </w:tcBorders>
            <w:shd w:val="clear" w:color="auto" w:fill="EDEDED"/>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DEDED"/>
            </w:tcBorders>
            <w:shd w:val="clear" w:color="auto" w:fill="EDEDED"/>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DEDED"/>
            </w:tcBorders>
            <w:shd w:val="clear" w:color="auto" w:fill="EDEDED"/>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-282575</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-282575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-282575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768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86" w:name="page87"/>
    <w:bookmarkEnd w:id="86"/>
    <w:p>
      <w:pPr>
        <w:spacing w:after="0"/>
        <w:rPr>
          <w:sz w:val="20"/>
          <w:szCs w:val="20"/>
          <w:color w:val="auto"/>
        </w:rPr>
      </w:pPr>
      <w:r>
        <w:rPr>
          <w:rFonts w:ascii="Arial" w:cs="Arial" w:eastAsia="Arial" w:hAnsi="Arial"/>
          <w:sz w:val="40"/>
          <w:szCs w:val="40"/>
          <w:b w:val="1"/>
          <w:bCs w:val="1"/>
          <w:color w:val="052666"/>
        </w:rPr>
        <w:t>ANNEX B</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Schedule of Non-GAAP Supplemental Information</w:t>
      </w:r>
    </w:p>
    <w:p>
      <w:pPr>
        <w:spacing w:after="0" w:line="36" w:lineRule="exact"/>
        <w:rPr>
          <w:sz w:val="20"/>
          <w:szCs w:val="20"/>
          <w:color w:val="auto"/>
        </w:rPr>
      </w:pPr>
    </w:p>
    <w:p>
      <w:pPr>
        <w:spacing w:after="0" w:line="247" w:lineRule="auto"/>
        <w:rPr>
          <w:sz w:val="20"/>
          <w:szCs w:val="20"/>
          <w:color w:val="auto"/>
        </w:rPr>
      </w:pPr>
      <w:r>
        <w:rPr>
          <w:rFonts w:ascii="Arial" w:cs="Arial" w:eastAsia="Arial" w:hAnsi="Arial"/>
          <w:sz w:val="25"/>
          <w:szCs w:val="25"/>
          <w:b w:val="1"/>
          <w:bCs w:val="1"/>
          <w:color w:val="052666"/>
        </w:rPr>
        <w:t>Calculation of Earnings Before Interest, Taxes, Depreciation and Amortization ("Adjusted EBITDA net of NCI")</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For the Year Ended December 31, 2025</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052666"/>
        </w:rPr>
        <w:t>(in thousands, unaudited)</w:t>
      </w:r>
    </w:p>
    <w:p>
      <w:pPr>
        <w:sectPr>
          <w:pgSz w:w="11900" w:h="16838" w:orient="portrait"/>
          <w:cols w:equalWidth="0" w:num="1">
            <w:col w:w="11240"/>
          </w:cols>
          <w:pgMar w:left="320" w:top="9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income attributable to UHS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Depreciation and amortization</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Interest expense, net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Provision for income taxes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(income) expense, net</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Adjusted EBITDA net of NCI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052666"/>
        </w:rPr>
        <w:t>Year ended</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052666"/>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5513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1,488,796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-107315</wp:posOffset>
            </wp:positionV>
            <wp:extent cx="7132320" cy="120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618,743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12065</wp:posOffset>
            </wp:positionV>
            <wp:extent cx="7132320" cy="120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156,068</w:t>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460,959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1905</wp:posOffset>
            </wp:positionV>
            <wp:extent cx="7132320"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6"/>
          <w:szCs w:val="16"/>
          <w:color w:val="auto"/>
        </w:rPr>
        <w:t>(134,194)</w:t>
      </w:r>
    </w:p>
    <w:p>
      <w:pPr>
        <w:spacing w:after="0" w:line="15"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2,590,372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167640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5513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15513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440"/>
          </w:cols>
          <w:pgMar w:left="320" w:top="970" w:right="339"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87" w:name="page88"/>
    <w:bookmarkEnd w:id="87"/>
    <w:p>
      <w:pPr>
        <w:jc w:val="both"/>
        <w:spacing w:after="0" w:line="247" w:lineRule="auto"/>
        <w:rPr>
          <w:sz w:val="20"/>
          <w:szCs w:val="20"/>
          <w:color w:val="auto"/>
        </w:rPr>
      </w:pPr>
      <w:r>
        <w:rPr>
          <w:rFonts w:ascii="Arial" w:cs="Arial" w:eastAsia="Arial" w:hAnsi="Arial"/>
          <w:sz w:val="20"/>
          <w:szCs w:val="20"/>
          <w:b w:val="1"/>
          <w:bCs w:val="1"/>
          <w:color w:val="auto"/>
        </w:rPr>
        <w:t>YOU ARE URGED TO VOTE, SIGN, DATE AND RETURN THE ACCOMPANYING PROXY IN THE ENCLOSED POSTAGE-PAID ENVELOPE OR VOTE YOUR PROXY BY TELEPHONE OR INTERNET AT YOUR EARLIEST CONVENIENCE, WHETHER OR NOT YOU CURRENTLY PLAN TO ATTEND THE ANNUAL MEETING ONLINE.</w:t>
      </w:r>
    </w:p>
    <w:p>
      <w:pPr>
        <w:spacing w:after="0" w:line="178" w:lineRule="exact"/>
        <w:rPr>
          <w:sz w:val="20"/>
          <w:szCs w:val="20"/>
          <w:color w:val="auto"/>
        </w:rPr>
      </w:pPr>
    </w:p>
    <w:p>
      <w:pPr>
        <w:ind w:left="6800"/>
        <w:spacing w:after="0"/>
        <w:tabs>
          <w:tab w:leader="none" w:pos="7380" w:val="left"/>
          <w:tab w:leader="none" w:pos="8460" w:val="left"/>
          <w:tab w:leader="none" w:pos="9080" w:val="left"/>
          <w:tab w:leader="none" w:pos="9820" w:val="left"/>
          <w:tab w:leader="none" w:pos="10900" w:val="left"/>
        </w:tabs>
        <w:rPr>
          <w:sz w:val="20"/>
          <w:szCs w:val="20"/>
          <w:color w:val="auto"/>
        </w:rPr>
      </w:pPr>
      <w:r>
        <w:rPr>
          <w:rFonts w:ascii="Arial" w:cs="Arial" w:eastAsia="Arial" w:hAnsi="Arial"/>
          <w:sz w:val="22"/>
          <w:szCs w:val="22"/>
          <w:color w:val="auto"/>
        </w:rPr>
        <w:t>BY</w:t>
        <w:tab/>
        <w:t>ORDER</w:t>
        <w:tab/>
        <w:t>OF</w:t>
        <w:tab/>
        <w:t>THE</w:t>
        <w:tab/>
        <w:t>BOARD</w:t>
      </w:r>
      <w:r>
        <w:rPr>
          <w:sz w:val="20"/>
          <w:szCs w:val="20"/>
          <w:color w:val="auto"/>
        </w:rPr>
        <w:tab/>
      </w:r>
      <w:r>
        <w:rPr>
          <w:rFonts w:ascii="Arial" w:cs="Arial" w:eastAsia="Arial" w:hAnsi="Arial"/>
          <w:sz w:val="21"/>
          <w:szCs w:val="21"/>
          <w:color w:val="auto"/>
        </w:rPr>
        <w:t>OF</w:t>
      </w:r>
    </w:p>
    <w:p>
      <w:pPr>
        <w:spacing w:after="0" w:line="10"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66040</wp:posOffset>
            </wp:positionV>
            <wp:extent cx="1705610" cy="3168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0561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STEVE G. FILTON, Secretary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King of Prussia, Pennsylvania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0052"/>
        </w:rPr>
        <w:t>Universal Health Services,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782955</wp:posOffset>
            </wp:positionV>
            <wp:extent cx="7157720" cy="80797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807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0879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808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79940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799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7994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799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lvl w:ilvl="1">
      <w:lvlJc w:val="left"/>
      <w:lvlText w:val="%2:"/>
      <w:numFmt w:val="upperLetter"/>
      <w:start w:val="1"/>
    </w:lvl>
  </w:abstractNum>
  <w:abstractNum w:abstractNumId="8">
    <w:nsid w:val="3804823E"/>
    <w:multiLevelType w:val="hybridMultilevel"/>
    <w:lvl w:ilvl="0">
      <w:lvlJc w:val="left"/>
      <w:lvlText w:val="%1."/>
      <w:numFmt w:val="decimal"/>
      <w:start w:val="4"/>
    </w:lvl>
    <w:lvl w:ilvl="1">
      <w:lvlJc w:val="left"/>
      <w:lvlText w:val="%2:"/>
      <w:numFmt w:val="upperLetter"/>
      <w:start w:val="1"/>
    </w:lvl>
  </w:abstractNum>
  <w:abstractNum w:abstractNumId="9">
    <w:nsid w:val="77465F01"/>
    <w:multiLevelType w:val="hybridMultilevel"/>
    <w:lvl w:ilvl="0">
      <w:lvlJc w:val="left"/>
      <w:lvlText w:val="%1."/>
      <w:numFmt w:val="decimal"/>
      <w:start w:val="6"/>
    </w:lvl>
    <w:lvl w:ilvl="1">
      <w:lvlJc w:val="left"/>
      <w:lvlText w:val="%2:"/>
      <w:numFmt w:val="upperLetter"/>
      <w:start w:val="1"/>
    </w:lvl>
  </w:abstractNum>
  <w:abstractNum w:abstractNumId="10">
    <w:nsid w:val="7724C67E"/>
    <w:multiLevelType w:val="hybridMultilevel"/>
    <w:lvl w:ilvl="0">
      <w:lvlJc w:val="left"/>
      <w:lvlText w:val="%1."/>
      <w:numFmt w:val="decimal"/>
      <w:start w:val="7"/>
    </w:lvl>
    <w:lvl w:ilvl="1">
      <w:lvlJc w:val="left"/>
      <w:lvlText w:val="%2:"/>
      <w:numFmt w:val="upperLetter"/>
      <w:start w:val="1"/>
    </w:lvl>
  </w:abstractNum>
  <w:abstractNum w:abstractNumId="11">
    <w:nsid w:val="5C482A97"/>
    <w:multiLevelType w:val="hybridMultilevel"/>
    <w:lvl w:ilvl="0">
      <w:lvlJc w:val="left"/>
      <w:lvlText w:val="%1:"/>
      <w:numFmt w:val="upperLetter"/>
      <w:start w:val="1"/>
    </w:lvl>
  </w:abstractNum>
  <w:abstractNum w:abstractNumId="12">
    <w:nsid w:val="2463B9EA"/>
    <w:multiLevelType w:val="hybridMultilevel"/>
    <w:lvl w:ilvl="0">
      <w:lvlJc w:val="left"/>
      <w:lvlText w:val="%1."/>
      <w:numFmt w:val="decimal"/>
      <w:start w:val="12"/>
    </w:lvl>
    <w:lvl w:ilvl="1">
      <w:lvlJc w:val="left"/>
      <w:lvlText w:val="%2:"/>
      <w:numFmt w:val="upperLetter"/>
      <w:start w:val="1"/>
    </w:lvl>
  </w:abstractNum>
  <w:abstractNum w:abstractNumId="13">
    <w:nsid w:val="5E884ADC"/>
    <w:multiLevelType w:val="hybridMultilevel"/>
    <w:lvl w:ilvl="0">
      <w:lvlJc w:val="left"/>
      <w:lvlText w:val="%1."/>
      <w:numFmt w:val="decimal"/>
      <w:start w:val="15"/>
    </w:lvl>
    <w:lvl w:ilvl="1">
      <w:lvlJc w:val="left"/>
      <w:lvlText w:val="%2:"/>
      <w:numFmt w:val="upperLetter"/>
      <w:start w:val="1"/>
    </w:lvl>
  </w:abstractNum>
  <w:abstractNum w:abstractNumId="14">
    <w:nsid w:val="51EAD36B"/>
    <w:multiLevelType w:val="hybridMultilevel"/>
    <w:lvl w:ilvl="0">
      <w:lvlJc w:val="left"/>
      <w:lvlText w:val="%1:"/>
      <w:numFmt w:val="upperLetter"/>
      <w:start w:val="1"/>
    </w:lvl>
  </w:abstractNum>
  <w:abstractNum w:abstractNumId="15">
    <w:nsid w:val="2D517796"/>
    <w:multiLevelType w:val="hybridMultilevel"/>
    <w:lvl w:ilvl="0">
      <w:lvlJc w:val="left"/>
      <w:lvlText w:val="%1."/>
      <w:numFmt w:val="decimal"/>
      <w:start w:val="23"/>
    </w:lvl>
    <w:lvl w:ilvl="1">
      <w:lvlJc w:val="left"/>
      <w:lvlText w:val="%2:"/>
      <w:numFmt w:val="upperLetter"/>
      <w:start w:val="1"/>
    </w:lvl>
  </w:abstractNum>
  <w:abstractNum w:abstractNumId="16">
    <w:nsid w:val="580BD78F"/>
    <w:multiLevelType w:val="hybridMultilevel"/>
    <w:lvl w:ilvl="0">
      <w:lvlJc w:val="left"/>
      <w:lvlText w:val="%1."/>
      <w:numFmt w:val="decimal"/>
      <w:start w:val="24"/>
    </w:lvl>
    <w:lvl w:ilvl="1">
      <w:lvlJc w:val="left"/>
      <w:lvlText w:val="%2:"/>
      <w:numFmt w:val="upperLetter"/>
      <w:start w:val="1"/>
    </w:lvl>
  </w:abstractNum>
  <w:abstractNum w:abstractNumId="17">
    <w:nsid w:val="153EA438"/>
    <w:multiLevelType w:val="hybridMultilevel"/>
    <w:lvl w:ilvl="0">
      <w:lvlJc w:val="left"/>
      <w:lvlText w:val="%1."/>
      <w:numFmt w:val="decimal"/>
      <w:start w:val="26"/>
    </w:lvl>
    <w:lvl w:ilvl="1">
      <w:lvlJc w:val="left"/>
      <w:lvlText w:val="%2:"/>
      <w:numFmt w:val="upperLetter"/>
      <w:start w:val="1"/>
    </w:lvl>
  </w:abstractNum>
  <w:abstractNum w:abstractNumId="18">
    <w:nsid w:val="3855585C"/>
    <w:multiLevelType w:val="hybridMultilevel"/>
    <w:lvl w:ilvl="0">
      <w:lvlJc w:val="left"/>
      <w:lvlText w:val="%1."/>
      <w:numFmt w:val="decimal"/>
      <w:start w:val="27"/>
    </w:lvl>
    <w:lvl w:ilvl="1">
      <w:lvlJc w:val="left"/>
      <w:lvlText w:val="%2:"/>
      <w:numFmt w:val="upperLetter"/>
      <w:start w:val="1"/>
    </w:lvl>
  </w:abstractNum>
  <w:abstractNum w:abstractNumId="19">
    <w:nsid w:val="70A64E2A"/>
    <w:multiLevelType w:val="hybridMultilevel"/>
    <w:lvl w:ilvl="0">
      <w:lvlJc w:val="left"/>
      <w:lvlText w:val="%1."/>
      <w:numFmt w:val="decimal"/>
      <w:start w:val="28"/>
    </w:lvl>
    <w:lvl w:ilvl="1">
      <w:lvlJc w:val="left"/>
      <w:lvlText w:val="%2:"/>
      <w:numFmt w:val="upperLetter"/>
      <w:start w:val="1"/>
    </w:lvl>
  </w:abstractNum>
  <w:abstractNum w:abstractNumId="20">
    <w:nsid w:val="6A2342EC"/>
    <w:multiLevelType w:val="hybridMultilevel"/>
    <w:lvl w:ilvl="0">
      <w:lvlJc w:val="left"/>
      <w:lvlText w:val="%1."/>
      <w:numFmt w:val="decimal"/>
      <w:start w:val="29"/>
    </w:lvl>
    <w:lvl w:ilvl="1">
      <w:lvlJc w:val="left"/>
      <w:lvlText w:val="%2:"/>
      <w:numFmt w:val="upperLetter"/>
      <w:start w:val="1"/>
    </w:lvl>
  </w:abstractNum>
  <w:abstractNum w:abstractNumId="21">
    <w:nsid w:val="2A487CB0"/>
    <w:multiLevelType w:val="hybridMultilevel"/>
    <w:lvl w:ilvl="0">
      <w:lvlJc w:val="left"/>
      <w:lvlText w:val="%1:"/>
      <w:numFmt w:val="upperLetter"/>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4"/>
    </w:lvl>
    <w:lvl w:ilvl="1">
      <w:lvlJc w:val="left"/>
      <w:lvlText w:val="%2."/>
      <w:numFmt w:val="upperLetter"/>
      <w:start w:val="4"/>
    </w:lvl>
  </w:abstractNum>
  <w:abstractNum w:abstractNumId="24">
    <w:nsid w:val="2CD89A32"/>
    <w:multiLevelType w:val="hybridMultilevel"/>
    <w:lvl w:ilvl="0">
      <w:lvlJc w:val="left"/>
      <w:lvlText w:val="(%1)"/>
      <w:numFmt w:val="decimal"/>
      <w:start w:val="17"/>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lvl w:ilvl="1">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lowerLetter"/>
      <w:start w:val="2"/>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4"/>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2"/>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lvl w:ilvl="1">
      <w:lvlJc w:val="left"/>
      <w:lvlText w:val="•"/>
      <w:numFmt w:val="bullet"/>
      <w:start w:val="1"/>
    </w:lvl>
  </w:abstractNum>
  <w:abstractNum w:abstractNumId="45">
    <w:nsid w:val="23F9C13C"/>
    <w:multiLevelType w:val="hybridMultilevel"/>
    <w:lvl w:ilvl="0">
      <w:lvlJc w:val="left"/>
      <w:lvlText w:val="%1."/>
      <w:numFmt w:val="decimal"/>
      <w:start w:val="3"/>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lowerLetter"/>
      <w:start w:val="1"/>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2"/>
    </w:lvl>
  </w:abstractNum>
  <w:abstractNum w:abstractNumId="53">
    <w:nsid w:val="354FE9F9"/>
    <w:multiLevelType w:val="hybridMultilevel"/>
    <w:lvl w:ilvl="0">
      <w:lvlJc w:val="left"/>
      <w:lvlText w:val="(%1)"/>
      <w:numFmt w:val="decimal"/>
      <w:start w:val="3"/>
    </w:lvl>
  </w:abstractNum>
  <w:abstractNum w:abstractNumId="54">
    <w:nsid w:val="15B5AF5C"/>
    <w:multiLevelType w:val="hybridMultilevel"/>
    <w:lvl w:ilvl="0">
      <w:lvlJc w:val="left"/>
      <w:lvlText w:val="(%1)"/>
      <w:numFmt w:val="decimal"/>
      <w:start w:val="4"/>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2026-04-09T05:34:11Z</dcterms:created>
  <dcterms:modified xsi:type="dcterms:W3CDTF">2026-04-09T05:34:11Z</dcterms:modified>
</cp:coreProperties>
</file>