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7"/>
          <w:szCs w:val="7"/>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165100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88900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860" w:right="2500" w:hanging="3839"/>
        <w:spacing w:after="0" w:line="432"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3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88900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UNIVERSAL HEALTH SERVICES,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8"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000" w:type="dxa"/>
            <w:vAlign w:val="bottom"/>
          </w:tcPr>
          <w:p>
            <w:pPr>
              <w:jc w:val="center"/>
              <w:ind w:right="2022"/>
              <w:spacing w:after="0"/>
              <w:rPr>
                <w:sz w:val="20"/>
                <w:szCs w:val="20"/>
                <w:color w:val="auto"/>
              </w:rPr>
            </w:pPr>
            <w:r>
              <w:rPr>
                <w:rFonts w:ascii="Arial" w:cs="Arial" w:eastAsia="Arial" w:hAnsi="Arial"/>
                <w:sz w:val="18"/>
                <w:szCs w:val="18"/>
                <w:b w:val="1"/>
                <w:bCs w:val="1"/>
                <w:color w:val="auto"/>
                <w:w w:val="98"/>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23-2077891</w:t>
            </w:r>
          </w:p>
        </w:tc>
      </w:tr>
      <w:tr>
        <w:trPr>
          <w:trHeight w:val="153"/>
        </w:trPr>
        <w:tc>
          <w:tcPr>
            <w:tcW w:w="4000" w:type="dxa"/>
            <w:vAlign w:val="bottom"/>
          </w:tcPr>
          <w:p>
            <w:pPr>
              <w:jc w:val="center"/>
              <w:ind w:right="2042"/>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22"/>
              <w:spacing w:after="0" w:line="153"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UNIVERSAL CORPORATE CENTER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367 SOUTH GULPH ROAD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KING OF PRUSSIA, PENNSYLVANIA 19406</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(610) 768-3300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66"/>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10"/>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B Common Stock, $0.01 par value</w:t>
            </w:r>
          </w:p>
        </w:tc>
        <w:tc>
          <w:tcPr>
            <w:tcW w:w="24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UHS</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50"/>
        </w:trPr>
        <w:tc>
          <w:tcPr>
            <w:tcW w:w="426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101"/>
        </w:trPr>
        <w:tc>
          <w:tcPr>
            <w:tcW w:w="4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20" w:type="dxa"/>
            <w:vAlign w:val="bottom"/>
          </w:tcPr>
          <w:p>
            <w:pPr>
              <w:spacing w:after="0"/>
              <w:rPr>
                <w:sz w:val="8"/>
                <w:szCs w:val="8"/>
                <w:color w:val="auto"/>
              </w:rPr>
            </w:pPr>
          </w:p>
        </w:tc>
      </w:tr>
    </w:tbl>
    <w:p>
      <w:pPr>
        <w:spacing w:after="0" w:line="40" w:lineRule="exact"/>
        <w:rPr>
          <w:sz w:val="24"/>
          <w:szCs w:val="24"/>
          <w:color w:val="auto"/>
        </w:rPr>
      </w:pPr>
    </w:p>
    <w:p>
      <w:pPr>
        <w:ind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 w:lineRule="exact"/>
        <w:rPr>
          <w:sz w:val="24"/>
          <w:szCs w:val="24"/>
          <w:color w:val="auto"/>
        </w:rPr>
      </w:pPr>
    </w:p>
    <w:p>
      <w:pPr>
        <w:ind w:right="38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right="5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5" w:right="339" w:bottom="1440" w:gutter="0" w:footer="0" w:header="0"/>
        </w:sectPr>
      </w:pPr>
    </w:p>
    <w:p>
      <w:pPr>
        <w:spacing w:after="0" w:line="75"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4">
            <w:col w:w="1800" w:space="720"/>
            <w:col w:w="4880" w:space="720"/>
            <w:col w:w="2240" w:space="720"/>
            <w:col w:w="160"/>
          </w:cols>
          <w:pgMar w:left="320" w:top="245"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4">
            <w:col w:w="1800" w:space="720"/>
            <w:col w:w="4880" w:space="720"/>
            <w:col w:w="2740" w:space="220"/>
            <w:col w:w="160"/>
          </w:cols>
          <w:pgMar w:left="320" w:top="245" w:right="339" w:bottom="1440" w:gutter="0" w:footer="0" w:header="0"/>
          <w:type w:val="continuous"/>
        </w:sectPr>
      </w:pPr>
    </w:p>
    <w:p>
      <w:pPr>
        <w:ind w:right="18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shares outstanding, as of October 31, 2023:</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A</w:t>
            </w: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6,577,100</w:t>
            </w:r>
          </w:p>
        </w:tc>
        <w:tc>
          <w:tcPr>
            <w:tcW w:w="2260" w:type="dxa"/>
            <w:vAlign w:val="bottom"/>
          </w:tcPr>
          <w:p>
            <w:pPr>
              <w:spacing w:after="0"/>
              <w:rPr>
                <w:sz w:val="21"/>
                <w:szCs w:val="21"/>
                <w:color w:val="auto"/>
              </w:rPr>
            </w:pPr>
          </w:p>
        </w:tc>
      </w:tr>
      <w:tr>
        <w:trPr>
          <w:trHeight w:val="236"/>
        </w:trPr>
        <w:tc>
          <w:tcPr>
            <w:tcW w:w="22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Class B</w:t>
            </w:r>
          </w:p>
        </w:tc>
        <w:tc>
          <w:tcPr>
            <w:tcW w:w="3480" w:type="dxa"/>
            <w:vAlign w:val="bottom"/>
          </w:tcPr>
          <w:p>
            <w:pPr>
              <w:jc w:val="right"/>
              <w:spacing w:after="0"/>
              <w:rPr>
                <w:sz w:val="20"/>
                <w:szCs w:val="20"/>
                <w:color w:val="auto"/>
              </w:rPr>
            </w:pPr>
            <w:r>
              <w:rPr>
                <w:rFonts w:ascii="Arial" w:cs="Arial" w:eastAsia="Arial" w:hAnsi="Arial"/>
                <w:sz w:val="18"/>
                <w:szCs w:val="18"/>
                <w:color w:val="auto"/>
              </w:rPr>
              <w:t>61,006,826</w:t>
            </w:r>
          </w:p>
        </w:tc>
        <w:tc>
          <w:tcPr>
            <w:tcW w:w="226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C</w:t>
            </w: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661,688</w:t>
            </w:r>
          </w:p>
        </w:tc>
        <w:tc>
          <w:tcPr>
            <w:tcW w:w="2260" w:type="dxa"/>
            <w:vAlign w:val="bottom"/>
          </w:tcPr>
          <w:p>
            <w:pPr>
              <w:spacing w:after="0"/>
              <w:rPr>
                <w:sz w:val="21"/>
                <w:szCs w:val="21"/>
                <w:color w:val="auto"/>
              </w:rPr>
            </w:pPr>
          </w:p>
        </w:tc>
      </w:tr>
      <w:tr>
        <w:trPr>
          <w:trHeight w:val="230"/>
        </w:trPr>
        <w:tc>
          <w:tcPr>
            <w:tcW w:w="22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Class D</w:t>
            </w:r>
          </w:p>
        </w:tc>
        <w:tc>
          <w:tcPr>
            <w:tcW w:w="3480" w:type="dxa"/>
            <w:vAlign w:val="bottom"/>
          </w:tcPr>
          <w:p>
            <w:pPr>
              <w:jc w:val="right"/>
              <w:spacing w:after="0"/>
              <w:rPr>
                <w:sz w:val="20"/>
                <w:szCs w:val="20"/>
                <w:color w:val="auto"/>
              </w:rPr>
            </w:pPr>
            <w:r>
              <w:rPr>
                <w:rFonts w:ascii="Arial" w:cs="Arial" w:eastAsia="Arial" w:hAnsi="Arial"/>
                <w:sz w:val="18"/>
                <w:szCs w:val="18"/>
                <w:color w:val="auto"/>
              </w:rPr>
              <w:t>13,090</w:t>
            </w:r>
          </w:p>
        </w:tc>
        <w:tc>
          <w:tcPr>
            <w:tcW w:w="2260" w:type="dxa"/>
            <w:vAlign w:val="bottom"/>
          </w:tcPr>
          <w:p>
            <w:pPr>
              <w:spacing w:after="0"/>
              <w:rPr>
                <w:sz w:val="20"/>
                <w:szCs w:val="20"/>
                <w:color w:val="auto"/>
              </w:rPr>
            </w:pPr>
          </w:p>
        </w:tc>
      </w:tr>
      <w:tr>
        <w:trPr>
          <w:trHeight w:val="255"/>
        </w:trPr>
        <w:tc>
          <w:tcPr>
            <w:tcW w:w="22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527"/>
        </w:trPr>
        <w:tc>
          <w:tcPr>
            <w:tcW w:w="2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UNIVERSAL HEALTH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304"/>
        </w:trPr>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7"/>
              </w:rPr>
              <w:t>PART I. FINANCIAL INFORMATION</w:t>
            </w:r>
          </w:p>
        </w:tc>
        <w:tc>
          <w:tcPr>
            <w:tcW w:w="20" w:type="dxa"/>
            <w:vAlign w:val="bottom"/>
            <w:tcBorders>
              <w:bottom w:val="single" w:sz="8" w:color="0000EE"/>
            </w:tcBorders>
          </w:tcPr>
          <w:p>
            <w:pPr>
              <w:spacing w:after="0"/>
              <w:rPr>
                <w:sz w:val="24"/>
                <w:szCs w:val="24"/>
                <w:color w:val="auto"/>
              </w:rPr>
            </w:pPr>
          </w:p>
        </w:tc>
        <w:tc>
          <w:tcPr>
            <w:tcW w:w="752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385"/>
        </w:trPr>
        <w:tc>
          <w:tcPr>
            <w:tcW w:w="10420" w:type="dxa"/>
            <w:vAlign w:val="bottom"/>
            <w:gridSpan w:val="22"/>
          </w:tcPr>
          <w:p>
            <w:pPr>
              <w:spacing w:after="0"/>
              <w:rPr>
                <w:sz w:val="20"/>
                <w:szCs w:val="20"/>
                <w:color w:val="auto"/>
              </w:rPr>
            </w:pPr>
            <w:r>
              <w:rPr>
                <w:rFonts w:ascii="Arial" w:cs="Arial" w:eastAsia="Arial" w:hAnsi="Arial"/>
                <w:sz w:val="18"/>
                <w:szCs w:val="18"/>
                <w:color w:val="auto"/>
              </w:rPr>
              <w:t>Item 1. Financial Statements (unaudited)</w:t>
            </w:r>
          </w:p>
        </w:tc>
        <w:tc>
          <w:tcPr>
            <w:tcW w:w="8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Income – Three and Nine Months Ended September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8"/>
                <w:szCs w:val="18"/>
                <w:color w:val="0000FF"/>
                <w:w w:val="96"/>
              </w:rPr>
              <w:t>Condensed Consolidated Statements of Comprehensive Income – Three and Nine Months Ended September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 September 30, 2023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Changes in Equity – Three and Nine Months Ended September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44"/>
        </w:trPr>
        <w:tc>
          <w:tcPr>
            <w:tcW w:w="46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480" w:type="dxa"/>
            <w:vAlign w:val="bottom"/>
            <w:tcBorders>
              <w:top w:val="single" w:sz="8" w:color="0000FF"/>
            </w:tcBorders>
            <w:gridSpan w:val="5"/>
          </w:tcPr>
          <w:p>
            <w:pPr>
              <w:spacing w:after="0"/>
              <w:rPr>
                <w:sz w:val="24"/>
                <w:szCs w:val="24"/>
                <w:color w:val="auto"/>
              </w:rPr>
            </w:pPr>
          </w:p>
        </w:tc>
        <w:tc>
          <w:tcPr>
            <w:tcW w:w="24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44"/>
        </w:trPr>
        <w:tc>
          <w:tcPr>
            <w:tcW w:w="10420" w:type="dxa"/>
            <w:vAlign w:val="bottom"/>
            <w:gridSpan w:val="22"/>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4"/>
        </w:trPr>
        <w:tc>
          <w:tcPr>
            <w:tcW w:w="49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4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44"/>
        </w:trPr>
        <w:tc>
          <w:tcPr>
            <w:tcW w:w="10420" w:type="dxa"/>
            <w:vAlign w:val="bottom"/>
            <w:gridSpan w:val="22"/>
          </w:tcPr>
          <w:p>
            <w:pPr>
              <w:spacing w:after="0"/>
              <w:rPr>
                <w:sz w:val="20"/>
                <w:szCs w:val="20"/>
                <w:color w:val="auto"/>
              </w:rPr>
            </w:pPr>
            <w:r>
              <w:rPr>
                <w:rFonts w:ascii="Arial" w:cs="Arial" w:eastAsia="Arial" w:hAnsi="Arial"/>
                <w:sz w:val="18"/>
                <w:szCs w:val="18"/>
                <w:color w:val="0000FF"/>
              </w:rPr>
              <w:t>Item 4. 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44"/>
        </w:trPr>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PART II. Other Information</w:t>
            </w:r>
          </w:p>
        </w:tc>
        <w:tc>
          <w:tcPr>
            <w:tcW w:w="81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46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0000FF"/>
                <w:w w:val="95"/>
              </w:rPr>
              <w:t>Legal Proceedings</w:t>
            </w:r>
          </w:p>
        </w:tc>
        <w:tc>
          <w:tcPr>
            <w:tcW w:w="842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44"/>
        </w:trPr>
        <w:tc>
          <w:tcPr>
            <w:tcW w:w="18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Item 1A. Risk Factors</w:t>
            </w:r>
          </w:p>
        </w:tc>
        <w:tc>
          <w:tcPr>
            <w:tcW w:w="85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2.</w:t>
            </w:r>
          </w:p>
        </w:tc>
        <w:tc>
          <w:tcPr>
            <w:tcW w:w="436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5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44"/>
        </w:trPr>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5.</w:t>
            </w:r>
          </w:p>
        </w:tc>
        <w:tc>
          <w:tcPr>
            <w:tcW w:w="988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8"/>
        </w:trPr>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6.</w:t>
            </w:r>
          </w:p>
        </w:tc>
        <w:tc>
          <w:tcPr>
            <w:tcW w:w="62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2"/>
          </w:tcPr>
          <w:p>
            <w:pPr>
              <w:spacing w:after="0"/>
              <w:rPr>
                <w:sz w:val="24"/>
                <w:szCs w:val="24"/>
                <w:color w:val="auto"/>
              </w:rPr>
            </w:pPr>
          </w:p>
        </w:tc>
        <w:tc>
          <w:tcPr>
            <w:tcW w:w="85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44"/>
        </w:trPr>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966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4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This Quarterly Report on Form 10-Q is for the quarter ended September 30, 2023. This Report modifies and supersedes documents filed prior to this Report. Information that we file with the Securities and Exchange Commission (the “SEC”) in the future will automatically update and supersede information contained in this Report.</w:t>
      </w:r>
    </w:p>
    <w:p>
      <w:pPr>
        <w:spacing w:after="0" w:line="7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this Quarterly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HEALTH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3,562,774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3,336,027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10,578,430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9,952,390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Operating charges: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1,784,870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1,677,431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5,308,476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5,061,173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941,219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837,241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2,758,484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2,526,060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Supplies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378,667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366,337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1,138,950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1,092,403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137,195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422,560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and rental expense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105,775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3,277,417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3,060,147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9,734,245</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9,210,219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285,357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844,185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53,378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35,653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153,085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220,507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234,212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659,303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159,618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168,008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176,811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499,685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(6,003 )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(1,732 )</w:t>
            </w:r>
          </w:p>
        </w:tc>
        <w:tc>
          <w:tcPr>
            <w:tcW w:w="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(14,176 )</w:t>
            </w: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UHS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166,989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182,814</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501,417</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500,789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UHS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earnings per share attributable to UHS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 basic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 Other share equivalents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and</w:t>
            </w: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69,624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73,060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70,650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equivalents - diluted</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-2730500</wp:posOffset>
            </wp:positionV>
            <wp:extent cx="768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-2730500</wp:posOffset>
            </wp:positionV>
            <wp:extent cx="685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-2730500</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-2730500</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-2097405</wp:posOffset>
            </wp:positionV>
            <wp:extent cx="7683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-2097405</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-2097405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-1780540</wp:posOffset>
            </wp:positionV>
            <wp:extent cx="7683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-1780540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-1780540</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-1463675</wp:posOffset>
            </wp:positionV>
            <wp:extent cx="7683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-1463675</wp:posOffset>
            </wp:positionV>
            <wp:extent cx="6858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-1463675</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-787400</wp:posOffset>
            </wp:positionV>
            <wp:extent cx="27400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0025" cy="1797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left="340" w:right="2300"/>
        <w:spacing w:after="0" w:line="265" w:lineRule="auto"/>
        <w:rPr>
          <w:sz w:val="20"/>
          <w:szCs w:val="20"/>
          <w:color w:val="auto"/>
        </w:rPr>
      </w:pPr>
      <w:r>
        <w:rPr>
          <w:rFonts w:ascii="Arial" w:cs="Arial" w:eastAsia="Arial" w:hAnsi="Arial"/>
          <w:sz w:val="18"/>
          <w:szCs w:val="18"/>
          <w:b w:val="1"/>
          <w:bCs w:val="1"/>
          <w:u w:val="single" w:color="auto"/>
          <w:color w:val="auto"/>
        </w:rPr>
        <w:t xml:space="preserve">UNIVERSAL HEALTH SERVICES, INC. AND SUBSIDIARIES CONDENSED CONSOLIDATED STATEMENTS OF COMPREHENSIVE INCOME </w:t>
      </w:r>
      <w:r>
        <w:rPr>
          <w:rFonts w:ascii="Arial" w:cs="Arial" w:eastAsia="Arial" w:hAnsi="Arial"/>
          <w:sz w:val="18"/>
          <w:szCs w:val="18"/>
          <w:color w:val="auto"/>
        </w:rPr>
        <w:t>(amounts in thousands,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168,008</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176,811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499,685</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(24,631 )</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(703 )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(22,460 )</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(24,631 )</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(703 )</w:t>
            </w: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(22,460 )</w:t>
            </w: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 related to items of other</w:t>
            </w:r>
          </w:p>
        </w:tc>
        <w:tc>
          <w:tcPr>
            <w:tcW w:w="260" w:type="dxa"/>
            <w:vAlign w:val="bottom"/>
            <w:shd w:val="clear" w:color="auto" w:fill="CFF0FC"/>
          </w:tcPr>
          <w:p>
            <w:pPr>
              <w:spacing w:after="0"/>
              <w:rPr>
                <w:sz w:val="19"/>
                <w:szCs w:val="19"/>
                <w:color w:val="auto"/>
              </w:rPr>
            </w:pPr>
          </w:p>
        </w:tc>
        <w:tc>
          <w:tcPr>
            <w:tcW w:w="11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(926 )</w:t>
            </w:r>
          </w:p>
        </w:tc>
        <w:tc>
          <w:tcPr>
            <w:tcW w:w="36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(95 )</w:t>
            </w:r>
          </w:p>
        </w:tc>
        <w:tc>
          <w:tcPr>
            <w:tcW w:w="36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(23,705 )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(608 )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(28,269 )</w:t>
            </w: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144,303</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194,368</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499,077</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458,344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noncontrolling</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(6,003 )</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(1,732 )</w:t>
            </w:r>
          </w:p>
        </w:tc>
        <w:tc>
          <w:tcPr>
            <w:tcW w:w="36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(14,176 )</w:t>
            </w:r>
          </w:p>
        </w:tc>
        <w:tc>
          <w:tcPr>
            <w:tcW w:w="0" w:type="dxa"/>
            <w:vAlign w:val="bottom"/>
          </w:tcPr>
          <w:p>
            <w:pPr>
              <w:spacing w:after="0"/>
              <w:rPr>
                <w:sz w:val="1"/>
                <w:szCs w:val="1"/>
                <w:color w:val="auto"/>
              </w:rPr>
            </w:pPr>
          </w:p>
        </w:tc>
      </w:tr>
      <w:tr>
        <w:trPr>
          <w:trHeight w:val="230"/>
        </w:trPr>
        <w:tc>
          <w:tcPr>
            <w:tcW w:w="58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UHS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143,284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200,371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500,809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472,520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-1240790</wp:posOffset>
            </wp:positionV>
            <wp:extent cx="7683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-1240790</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-1240790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-795655</wp:posOffset>
            </wp:positionV>
            <wp:extent cx="7683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-795655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-795655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UNIVERSAL HEALTH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360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102,818</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2,234,343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2,017,722</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214,587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218,517</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223,303</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198,283</w:t>
            </w:r>
          </w:p>
        </w:tc>
        <w:tc>
          <w:tcPr>
            <w:tcW w:w="100" w:type="dxa"/>
            <w:vAlign w:val="bottom"/>
          </w:tcPr>
          <w:p>
            <w:pPr>
              <w:spacing w:after="0"/>
              <w:rPr>
                <w:sz w:val="21"/>
                <w:szCs w:val="21"/>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2,753,001</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2,537,340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11,610,188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11,085,852</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(5,523,135 )</w:t>
            </w: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(5,167,394 )</w:t>
            </w:r>
          </w:p>
        </w:tc>
      </w:tr>
      <w:tr>
        <w:trPr>
          <w:trHeight w:val="230"/>
        </w:trPr>
        <w:tc>
          <w:tcPr>
            <w:tcW w:w="7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6,087,053</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5,918,458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3,912,122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3,909,456</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99,580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68,397</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 of use assets-operating leases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443,924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454,650</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Deferred charges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20"/>
                <w:szCs w:val="20"/>
                <w:color w:val="auto"/>
              </w:rPr>
            </w:pPr>
          </w:p>
        </w:tc>
      </w:tr>
      <w:tr>
        <w:trPr>
          <w:trHeight w:val="24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570,728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599,623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13,873,470</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13,494,188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660" w:type="dxa"/>
            <w:vAlign w:val="bottom"/>
          </w:tcPr>
          <w:p>
            <w:pPr>
              <w:ind w:left="25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126,555</w:t>
            </w:r>
          </w:p>
        </w:tc>
        <w:tc>
          <w:tcPr>
            <w:tcW w:w="3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81,447</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1,783,460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1,760,588</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67,776</w:t>
            </w:r>
          </w:p>
        </w:tc>
        <w:tc>
          <w:tcPr>
            <w:tcW w:w="100" w:type="dxa"/>
            <w:vAlign w:val="bottom"/>
          </w:tcPr>
          <w:p>
            <w:pPr>
              <w:spacing w:after="0"/>
              <w:rPr>
                <w:sz w:val="20"/>
                <w:szCs w:val="20"/>
                <w:color w:val="auto"/>
              </w:rPr>
            </w:pPr>
          </w:p>
        </w:tc>
      </w:tr>
      <w:tr>
        <w:trPr>
          <w:trHeight w:val="24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Federal and state taxes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1,989,815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1,914,419</w:t>
            </w:r>
          </w:p>
        </w:tc>
        <w:tc>
          <w:tcPr>
            <w:tcW w:w="100" w:type="dxa"/>
            <w:vAlign w:val="bottom"/>
          </w:tcPr>
          <w:p>
            <w:pPr>
              <w:spacing w:after="0"/>
              <w:rPr>
                <w:sz w:val="20"/>
                <w:szCs w:val="20"/>
                <w:color w:val="auto"/>
              </w:rPr>
            </w:pPr>
          </w:p>
        </w:tc>
      </w:tr>
      <w:tr>
        <w:trPr>
          <w:trHeight w:val="236"/>
        </w:trPr>
        <w:tc>
          <w:tcPr>
            <w:tcW w:w="7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587,829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487,669</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388,550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395,522</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4,796,074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4,726,533</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UHS common stockholders’ equity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6,064,915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5,920,582</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41,568</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44,768</w:t>
            </w:r>
          </w:p>
        </w:tc>
        <w:tc>
          <w:tcPr>
            <w:tcW w:w="100" w:type="dxa"/>
            <w:vAlign w:val="bottom"/>
          </w:tcPr>
          <w:p>
            <w:pPr>
              <w:spacing w:after="0"/>
              <w:rPr>
                <w:sz w:val="21"/>
                <w:szCs w:val="21"/>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6,106,483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5,965,350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13,873,470</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13,494,188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-4897120</wp:posOffset>
            </wp:positionV>
            <wp:extent cx="7683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-4897120</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-4263390</wp:posOffset>
            </wp:positionV>
            <wp:extent cx="7683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-4263390</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-3329940</wp:posOffset>
            </wp:positionV>
            <wp:extent cx="7683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-2063115</wp:posOffset>
            </wp:positionV>
            <wp:extent cx="7683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768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line="260" w:lineRule="auto"/>
        <w:rPr>
          <w:sz w:val="20"/>
          <w:szCs w:val="20"/>
          <w:color w:val="auto"/>
        </w:rPr>
      </w:pPr>
      <w:r>
        <w:rPr>
          <w:rFonts w:ascii="Arial" w:cs="Arial" w:eastAsia="Arial" w:hAnsi="Arial"/>
          <w:sz w:val="18"/>
          <w:szCs w:val="18"/>
          <w:b w:val="1"/>
          <w:bCs w:val="1"/>
          <w:u w:val="single" w:color="auto"/>
          <w:color w:val="auto"/>
        </w:rPr>
        <w:t xml:space="preserve">UNIVERSAL HEALTH SERVICES, INC. AND SUBSIDIARIES CONDENSED CONSOLIDATED STATEMENTS OF CHANGES IN EQUITY For the Three and Nine Months ended September 30, 2023 </w:t>
      </w:r>
      <w:r>
        <w:rPr>
          <w:rFonts w:ascii="Arial" w:cs="Arial" w:eastAsia="Arial" w:hAnsi="Arial"/>
          <w:sz w:val="18"/>
          <w:szCs w:val="18"/>
          <w:color w:val="auto"/>
        </w:rPr>
        <w:t>(amounts in thousands,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Accumul</w:t>
            </w:r>
          </w:p>
        </w:tc>
        <w:tc>
          <w:tcPr>
            <w:tcW w:w="100" w:type="dxa"/>
            <w:vAlign w:val="bottom"/>
          </w:tcPr>
          <w:p>
            <w:pPr>
              <w:spacing w:after="0"/>
              <w:rPr>
                <w:sz w:val="14"/>
                <w:szCs w:val="14"/>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UHS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Cumul</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Compre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Stockho</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lders'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Dividen</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Earnin</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7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w:t>
            </w: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center"/>
              <w:ind w:right="48"/>
              <w:spacing w:after="0"/>
              <w:rPr>
                <w:sz w:val="20"/>
                <w:szCs w:val="20"/>
                <w:color w:val="auto"/>
              </w:rPr>
            </w:pPr>
            <w:r>
              <w:rPr>
                <w:rFonts w:ascii="Arial" w:cs="Arial" w:eastAsia="Arial" w:hAnsi="Arial"/>
                <w:sz w:val="14"/>
                <w:szCs w:val="14"/>
                <w:b w:val="1"/>
                <w:bCs w:val="1"/>
                <w:color w:val="auto"/>
                <w:w w:val="81"/>
              </w:rPr>
              <w:t>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3"/>
              </w:rPr>
              <w:t>ds</w:t>
            </w:r>
          </w:p>
        </w:tc>
        <w:tc>
          <w:tcPr>
            <w:tcW w:w="10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gs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(632,4</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6,705,</w:t>
            </w: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6,087,</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6,128,7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Balance, July 1, 2023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4,213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628</w:t>
            </w:r>
          </w:p>
        </w:tc>
        <w:tc>
          <w:tcPr>
            <w:tcW w:w="2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525</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5"/>
              </w:rPr>
              <w:t>$  13,429</w:t>
            </w:r>
          </w:p>
        </w:tc>
        <w:tc>
          <w:tcPr>
            <w:tcW w:w="2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$ 41,577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Arial" w:cs="Arial" w:eastAsia="Arial" w:hAnsi="Arial"/>
                <w:sz w:val="14"/>
                <w:szCs w:val="14"/>
                <w:color w:val="auto"/>
              </w:rPr>
              <w:t>Issued/(converted)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3,243</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3,244</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(177,3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(177,3</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Repurchased, including excise tax</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20 )</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34 )</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43"/>
        </w:trPr>
        <w:tc>
          <w:tcPr>
            <w:tcW w:w="2860" w:type="dxa"/>
            <w:vAlign w:val="bottom"/>
          </w:tcPr>
          <w:p>
            <w:pPr>
              <w:ind w:left="200"/>
              <w:spacing w:after="0" w:line="143" w:lineRule="exact"/>
              <w:rPr>
                <w:sz w:val="20"/>
                <w:szCs w:val="20"/>
                <w:color w:val="auto"/>
              </w:rPr>
            </w:pPr>
            <w:r>
              <w:rPr>
                <w:rFonts w:ascii="Arial" w:cs="Arial" w:eastAsia="Arial" w:hAnsi="Arial"/>
                <w:sz w:val="14"/>
                <w:szCs w:val="14"/>
                <w:color w:val="auto"/>
              </w:rPr>
              <w:t>Restricted share-based compensation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6,132</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6,132</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(13,80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(13,80</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Dividends paid and accrued</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1 )</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16,20</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Stock option expense</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16,208</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(523 )</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(523 )</w:t>
            </w:r>
          </w:p>
        </w:tc>
        <w:tc>
          <w:tcPr>
            <w:tcW w:w="0" w:type="dxa"/>
            <w:vAlign w:val="bottom"/>
          </w:tcPr>
          <w:p>
            <w:pPr>
              <w:spacing w:after="0"/>
              <w:rPr>
                <w:sz w:val="1"/>
                <w:szCs w:val="1"/>
                <w:color w:val="auto"/>
              </w:rPr>
            </w:pPr>
          </w:p>
        </w:tc>
      </w:tr>
      <w:tr>
        <w:trPr>
          <w:trHeight w:val="143"/>
        </w:trPr>
        <w:tc>
          <w:tcPr>
            <w:tcW w:w="2860" w:type="dxa"/>
            <w:vAlign w:val="bottom"/>
          </w:tcPr>
          <w:p>
            <w:pPr>
              <w:ind w:left="20"/>
              <w:spacing w:after="0" w:line="143" w:lineRule="exact"/>
              <w:rPr>
                <w:sz w:val="20"/>
                <w:szCs w:val="20"/>
                <w:color w:val="auto"/>
              </w:rPr>
            </w:pPr>
            <w:r>
              <w:rPr>
                <w:rFonts w:ascii="Arial" w:cs="Arial" w:eastAsia="Arial" w:hAnsi="Arial"/>
                <w:sz w:val="14"/>
                <w:szCs w:val="14"/>
                <w:color w:val="auto"/>
              </w:rPr>
              <w:t>Purchase (sale) of ownership interests by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(from) minority members</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tcPr>
          <w:p>
            <w:pPr>
              <w:ind w:left="200"/>
              <w:spacing w:after="0" w:line="143" w:lineRule="exact"/>
              <w:rPr>
                <w:sz w:val="20"/>
                <w:szCs w:val="20"/>
                <w:color w:val="auto"/>
              </w:rPr>
            </w:pPr>
            <w:r>
              <w:rPr>
                <w:rFonts w:ascii="Arial" w:cs="Arial" w:eastAsia="Arial" w:hAnsi="Arial"/>
                <w:sz w:val="14"/>
                <w:szCs w:val="14"/>
                <w:color w:val="auto"/>
              </w:rPr>
              <w:t>Net income (loss) to UHS / 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166,9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166,98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167,50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(23,70</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(23,70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of income tax</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(23,705 )</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5 )</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37"/>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166,9</w:t>
            </w:r>
          </w:p>
        </w:tc>
        <w:tc>
          <w:tcPr>
            <w:tcW w:w="22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143,28</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143,79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Subtotal - comprehensive income</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(23,705 )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5"/>
              </w:rPr>
              <w:t>(646,2</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2"/>
              </w:rPr>
              <w:t>6,720,</w:t>
            </w:r>
          </w:p>
        </w:tc>
        <w:tc>
          <w:tcPr>
            <w:tcW w:w="22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6,064,</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4"/>
              </w:rPr>
              <w:t>6,106,4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September 30, 2023</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4,719</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4"/>
              </w:rPr>
              <w:t>$ (10,276 )</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$ 41,568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86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40" w:type="dxa"/>
            <w:vAlign w:val="bottom"/>
            <w:tcBorders>
              <w:top w:val="single" w:sz="8" w:color="CFF0FC"/>
              <w:right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Accumul</w:t>
            </w:r>
          </w:p>
        </w:tc>
        <w:tc>
          <w:tcPr>
            <w:tcW w:w="20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UHS</w:t>
            </w:r>
          </w:p>
        </w:tc>
        <w:tc>
          <w:tcPr>
            <w:tcW w:w="220" w:type="dxa"/>
            <w:vAlign w:val="bottom"/>
            <w:tcBorders>
              <w:top w:val="single" w:sz="8" w:color="CFF0FC"/>
            </w:tcBorders>
            <w:vMerge w:val="restart"/>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ated</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Cumul</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Compre</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Stockho</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lders'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Dividen</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Earnin</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7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w:t>
            </w: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center"/>
              <w:ind w:right="48"/>
              <w:spacing w:after="0"/>
              <w:rPr>
                <w:sz w:val="20"/>
                <w:szCs w:val="20"/>
                <w:color w:val="auto"/>
              </w:rPr>
            </w:pPr>
            <w:r>
              <w:rPr>
                <w:rFonts w:ascii="Arial" w:cs="Arial" w:eastAsia="Arial" w:hAnsi="Arial"/>
                <w:sz w:val="14"/>
                <w:szCs w:val="14"/>
                <w:b w:val="1"/>
                <w:bCs w:val="1"/>
                <w:color w:val="auto"/>
                <w:w w:val="81"/>
              </w:rPr>
              <w:t>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3"/>
              </w:rPr>
              <w:t>ds</w:t>
            </w:r>
          </w:p>
        </w:tc>
        <w:tc>
          <w:tcPr>
            <w:tcW w:w="10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gs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5"/>
              </w:rPr>
              <w:t>(604,1</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2"/>
              </w:rPr>
              <w:t>6,533,</w:t>
            </w:r>
          </w:p>
        </w:tc>
        <w:tc>
          <w:tcPr>
            <w:tcW w:w="22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5,920,</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4"/>
              </w:rPr>
              <w:t>5,965,3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January 1, 2023</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4,695</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  (9,668 )</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$ 44,768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Issued/(converted)</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9,943</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9,950</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w w:val="95"/>
              </w:rPr>
              <w:t>(388,9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(389,0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(389,0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0"/>
              <w:spacing w:after="0"/>
              <w:rPr>
                <w:sz w:val="20"/>
                <w:szCs w:val="20"/>
                <w:color w:val="auto"/>
              </w:rPr>
            </w:pPr>
            <w:r>
              <w:rPr>
                <w:rFonts w:ascii="Arial" w:cs="Arial" w:eastAsia="Arial" w:hAnsi="Arial"/>
                <w:sz w:val="14"/>
                <w:szCs w:val="14"/>
                <w:color w:val="auto"/>
              </w:rPr>
              <w:t>Repurchased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(29 )</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82 )</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11 )</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Restricted share-based compensation</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16,39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16,395</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5"/>
              </w:rPr>
              <w:t>(42,14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(42,14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(42,14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Dividends paid and accrued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7 )</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48,33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option expense</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48,337</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(4,208 )</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(4,208 )</w:t>
            </w: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Purchase (sale) of ownership interests by</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(from) minority members</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income (loss) to UHS / noncontrolling</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501,4</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501,41</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498,61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(2,806 )</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tcPr>
          <w:p>
            <w:pPr>
              <w:ind w:left="200"/>
              <w:spacing w:after="0" w:line="143"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(608 )</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(608 )</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(608 )</w:t>
            </w:r>
          </w:p>
        </w:tc>
        <w:tc>
          <w:tcPr>
            <w:tcW w:w="0" w:type="dxa"/>
            <w:vAlign w:val="bottom"/>
          </w:tcPr>
          <w:p>
            <w:pPr>
              <w:spacing w:after="0"/>
              <w:rPr>
                <w:sz w:val="1"/>
                <w:szCs w:val="1"/>
                <w:color w:val="auto"/>
              </w:rPr>
            </w:pPr>
          </w:p>
        </w:tc>
      </w:tr>
      <w:tr>
        <w:trPr>
          <w:trHeight w:val="167"/>
        </w:trPr>
        <w:tc>
          <w:tcPr>
            <w:tcW w:w="2860" w:type="dxa"/>
            <w:vAlign w:val="bottom"/>
          </w:tcPr>
          <w:p>
            <w:pPr>
              <w:ind w:left="200"/>
              <w:spacing w:after="0"/>
              <w:rPr>
                <w:sz w:val="20"/>
                <w:szCs w:val="20"/>
                <w:color w:val="auto"/>
              </w:rPr>
            </w:pPr>
            <w:r>
              <w:rPr>
                <w:rFonts w:ascii="Arial" w:cs="Arial" w:eastAsia="Arial" w:hAnsi="Arial"/>
                <w:sz w:val="14"/>
                <w:szCs w:val="14"/>
                <w:color w:val="auto"/>
              </w:rPr>
              <w:t>net of income tax</w:t>
            </w:r>
          </w:p>
        </w:tc>
        <w:tc>
          <w:tcPr>
            <w:tcW w:w="10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501,4</w:t>
            </w:r>
          </w:p>
        </w:tc>
        <w:tc>
          <w:tcPr>
            <w:tcW w:w="22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500,80</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498,00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Subtotal - comprehensive income</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(608 )</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(2,806 )</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(646,2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6,720,</w:t>
            </w:r>
          </w:p>
        </w:tc>
        <w:tc>
          <w:tcPr>
            <w:tcW w:w="22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6,064,</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6,106,4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20"/>
              <w:spacing w:after="0"/>
              <w:rPr>
                <w:sz w:val="20"/>
                <w:szCs w:val="20"/>
                <w:color w:val="auto"/>
              </w:rPr>
            </w:pPr>
            <w:r>
              <w:rPr>
                <w:rFonts w:ascii="Arial" w:cs="Arial" w:eastAsia="Arial" w:hAnsi="Arial"/>
                <w:sz w:val="14"/>
                <w:szCs w:val="14"/>
                <w:color w:val="auto"/>
              </w:rPr>
              <w:t>Balance, September 30, 2023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615</w:t>
            </w:r>
          </w:p>
        </w:tc>
        <w:tc>
          <w:tcPr>
            <w:tcW w:w="2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777</w:t>
            </w: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 (10,276 )</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915</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$ 41,568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-3912235</wp:posOffset>
            </wp:positionV>
            <wp:extent cx="76835"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-3912235</wp:posOffset>
            </wp:positionV>
            <wp:extent cx="76835"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-3912235</wp:posOffset>
            </wp:positionV>
            <wp:extent cx="7683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-3912235</wp:posOffset>
            </wp:positionV>
            <wp:extent cx="6858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-3912235</wp:posOffset>
            </wp:positionV>
            <wp:extent cx="6858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-3912235</wp:posOffset>
            </wp:positionV>
            <wp:extent cx="6858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-3912235</wp:posOffset>
            </wp:positionV>
            <wp:extent cx="6858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-3912235</wp:posOffset>
            </wp:positionV>
            <wp:extent cx="6858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-3912235</wp:posOffset>
            </wp:positionV>
            <wp:extent cx="6858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-3912235</wp:posOffset>
            </wp:positionV>
            <wp:extent cx="6858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-3912235</wp:posOffset>
            </wp:positionV>
            <wp:extent cx="6858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-3484245</wp:posOffset>
            </wp:positionV>
            <wp:extent cx="4932045" cy="950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32045" cy="95059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-239395</wp:posOffset>
            </wp:positionV>
            <wp:extent cx="76835"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-239395</wp:posOffset>
            </wp:positionV>
            <wp:extent cx="7683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-239395</wp:posOffset>
            </wp:positionV>
            <wp:extent cx="7683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-239395</wp:posOffset>
            </wp:positionV>
            <wp:extent cx="6858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-239395</wp:posOffset>
            </wp:positionV>
            <wp:extent cx="6858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-239395</wp:posOffset>
            </wp:positionV>
            <wp:extent cx="6858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-239395</wp:posOffset>
            </wp:positionV>
            <wp:extent cx="6858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-239395</wp:posOffset>
            </wp:positionV>
            <wp:extent cx="6858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-239395</wp:posOffset>
            </wp:positionV>
            <wp:extent cx="6858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-239395</wp:posOffset>
            </wp:positionV>
            <wp:extent cx="6858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line="257" w:lineRule="auto"/>
        <w:rPr>
          <w:sz w:val="20"/>
          <w:szCs w:val="20"/>
          <w:color w:val="auto"/>
        </w:rPr>
      </w:pPr>
      <w:r>
        <w:rPr>
          <w:rFonts w:ascii="Arial" w:cs="Arial" w:eastAsia="Arial" w:hAnsi="Arial"/>
          <w:sz w:val="18"/>
          <w:szCs w:val="18"/>
          <w:b w:val="1"/>
          <w:bCs w:val="1"/>
          <w:u w:val="single" w:color="auto"/>
          <w:color w:val="auto"/>
        </w:rPr>
        <w:t>UNIVERSAL HEALTH SERVICES, INC. AND SUBSIDIARIES CONDENSED CONSOLIDATED STATEMENTS OF CHANGES IN EQUITY For the Three and Nine Months ended 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 unaudited)</w:t>
      </w:r>
    </w:p>
    <w:tbl>
      <w:tblPr>
        <w:tblLayout w:type="fixed"/>
        <w:tblInd w:w="0" w:type="dxa"/>
        <w:tblCellMar>
          <w:top w:w="0" w:type="dxa"/>
          <w:left w:w="0" w:type="dxa"/>
          <w:bottom w:w="0" w:type="dxa"/>
          <w:right w:w="0" w:type="dxa"/>
        </w:tblCellMar>
      </w:tblPr>
      <w:tr>
        <w:trPr>
          <w:trHeight w:val="157"/>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Accumul</w:t>
            </w:r>
          </w:p>
        </w:tc>
        <w:tc>
          <w:tcPr>
            <w:tcW w:w="100" w:type="dxa"/>
            <w:vAlign w:val="bottom"/>
          </w:tcPr>
          <w:p>
            <w:pPr>
              <w:spacing w:after="0"/>
              <w:rPr>
                <w:sz w:val="13"/>
                <w:szCs w:val="13"/>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UHS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Noncontr</w:t>
            </w:r>
          </w:p>
        </w:tc>
        <w:tc>
          <w:tcPr>
            <w:tcW w:w="10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Class A</w:t>
            </w:r>
          </w:p>
        </w:tc>
        <w:tc>
          <w:tcPr>
            <w:tcW w:w="24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Class C</w:t>
            </w:r>
          </w:p>
        </w:tc>
        <w:tc>
          <w:tcPr>
            <w:tcW w:w="24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Class D</w:t>
            </w:r>
          </w:p>
        </w:tc>
        <w:tc>
          <w:tcPr>
            <w:tcW w:w="2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Cumula</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w:t>
            </w: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Compre</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Noncont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olling</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tive</w:t>
            </w:r>
          </w:p>
        </w:tc>
        <w:tc>
          <w:tcPr>
            <w:tcW w:w="12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w:t>
            </w: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ders'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rolling</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Commo</w:t>
            </w:r>
          </w:p>
        </w:tc>
        <w:tc>
          <w:tcPr>
            <w:tcW w:w="2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Earnin</w:t>
            </w: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78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w:t>
            </w: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3"/>
              </w:rPr>
              <w:t>ds</w:t>
            </w:r>
          </w:p>
        </w:tc>
        <w:tc>
          <w:tcPr>
            <w:tcW w:w="12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gs</w:t>
            </w:r>
          </w:p>
        </w:tc>
        <w:tc>
          <w:tcPr>
            <w:tcW w:w="10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(Loss)</w:t>
            </w:r>
          </w:p>
        </w:tc>
        <w:tc>
          <w:tcPr>
            <w:tcW w:w="78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(575,1</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6,404,</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5,814,6</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5,903,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Balance, July 1, 2022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4,449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660</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98 )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660</w:t>
            </w:r>
          </w:p>
        </w:tc>
        <w:tc>
          <w:tcPr>
            <w:tcW w:w="2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4"/>
              </w:rPr>
              <w:t>$ (15,535 )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$ 89,256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Arial" w:cs="Arial" w:eastAsia="Arial" w:hAnsi="Arial"/>
                <w:sz w:val="14"/>
                <w:szCs w:val="14"/>
                <w:color w:val="auto"/>
              </w:rPr>
              <w:t>Issued/(converted)</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3,738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(158,1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Repurchased</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86 )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43"/>
        </w:trPr>
        <w:tc>
          <w:tcPr>
            <w:tcW w:w="2700" w:type="dxa"/>
            <w:vAlign w:val="bottom"/>
          </w:tcPr>
          <w:p>
            <w:pPr>
              <w:ind w:left="200"/>
              <w:spacing w:after="0" w:line="143" w:lineRule="exact"/>
              <w:rPr>
                <w:sz w:val="20"/>
                <w:szCs w:val="20"/>
                <w:color w:val="auto"/>
              </w:rPr>
            </w:pPr>
            <w:r>
              <w:rPr>
                <w:rFonts w:ascii="Arial" w:cs="Arial" w:eastAsia="Arial" w:hAnsi="Arial"/>
                <w:sz w:val="14"/>
                <w:szCs w:val="14"/>
                <w:color w:val="auto"/>
              </w:rPr>
              <w:t>Restricted share-based compensation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4,869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(14,60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(14,60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(14,60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Dividends paid and accrued</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15,79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Stock option expense</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15,797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Acquisition of noncontrolling interest in</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0"/>
              </w:rPr>
              <w:t>(11,27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(37,60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majority owned business</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Purchase (sale) of ownership interests by</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(from) minority members</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income (loss) to UHS /</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182,8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182,81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(6,117 )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Arial" w:cs="Arial" w:eastAsia="Arial" w:hAnsi="Arial"/>
                <w:sz w:val="14"/>
                <w:szCs w:val="14"/>
                <w:color w:val="auto"/>
              </w:rPr>
              <w:t>adjustments, net of income tax</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17,557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17,557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182,8</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200,37</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194,2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Subtotal - comprehensive income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(6,117 )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(589,8</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6,442,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5,855,3</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5,904,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4,563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645</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05 )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418</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$ 48,727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Accumul</w:t>
            </w:r>
          </w:p>
        </w:tc>
        <w:tc>
          <w:tcPr>
            <w:tcW w:w="100" w:type="dxa"/>
            <w:vAlign w:val="bottom"/>
          </w:tcPr>
          <w:p>
            <w:pPr>
              <w:spacing w:after="0"/>
              <w:rPr>
                <w:sz w:val="23"/>
                <w:szCs w:val="23"/>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UHS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Noncontr</w:t>
            </w:r>
          </w:p>
        </w:tc>
        <w:tc>
          <w:tcPr>
            <w:tcW w:w="1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Class A</w:t>
            </w:r>
          </w:p>
        </w:tc>
        <w:tc>
          <w:tcPr>
            <w:tcW w:w="24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Class C</w:t>
            </w:r>
          </w:p>
        </w:tc>
        <w:tc>
          <w:tcPr>
            <w:tcW w:w="24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Class D</w:t>
            </w:r>
          </w:p>
        </w:tc>
        <w:tc>
          <w:tcPr>
            <w:tcW w:w="2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Cumula</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w:t>
            </w: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Compre</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Noncont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olling</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tive</w:t>
            </w:r>
          </w:p>
        </w:tc>
        <w:tc>
          <w:tcPr>
            <w:tcW w:w="12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w:t>
            </w: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ders'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rolling</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8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Commo</w:t>
            </w:r>
          </w:p>
        </w:tc>
        <w:tc>
          <w:tcPr>
            <w:tcW w:w="24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Commo</w:t>
            </w:r>
          </w:p>
        </w:tc>
        <w:tc>
          <w:tcPr>
            <w:tcW w:w="2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Earnin</w:t>
            </w: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78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w:t>
            </w:r>
          </w:p>
        </w:tc>
        <w:tc>
          <w:tcPr>
            <w:tcW w:w="16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3"/>
              </w:rPr>
              <w:t>ds</w:t>
            </w:r>
          </w:p>
        </w:tc>
        <w:tc>
          <w:tcPr>
            <w:tcW w:w="12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gs</w:t>
            </w:r>
          </w:p>
        </w:tc>
        <w:tc>
          <w:tcPr>
            <w:tcW w:w="10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(Loss)</w:t>
            </w:r>
          </w:p>
        </w:tc>
        <w:tc>
          <w:tcPr>
            <w:tcW w:w="78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(545,4</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6,604,</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6,089,6</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7"/>
              </w:rPr>
              <w:t>103,38</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Balance, January 1, 2022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5,119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698</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87 )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089</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30,291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10,52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0"/>
              <w:spacing w:after="0"/>
              <w:rPr>
                <w:sz w:val="20"/>
                <w:szCs w:val="20"/>
                <w:color w:val="auto"/>
              </w:rPr>
            </w:pPr>
            <w:r>
              <w:rPr>
                <w:rFonts w:ascii="Arial" w:cs="Arial" w:eastAsia="Arial" w:hAnsi="Arial"/>
                <w:sz w:val="14"/>
                <w:szCs w:val="14"/>
                <w:color w:val="auto"/>
              </w:rPr>
              <w:t>Issued/(converted)</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10,534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(723,3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(723,3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Repurchased</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84 )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43"/>
        </w:trPr>
        <w:tc>
          <w:tcPr>
            <w:tcW w:w="2700" w:type="dxa"/>
            <w:vAlign w:val="bottom"/>
          </w:tcPr>
          <w:p>
            <w:pPr>
              <w:ind w:left="200"/>
              <w:spacing w:after="0" w:line="143" w:lineRule="exact"/>
              <w:rPr>
                <w:sz w:val="20"/>
                <w:szCs w:val="20"/>
                <w:color w:val="auto"/>
              </w:rPr>
            </w:pPr>
            <w:r>
              <w:rPr>
                <w:rFonts w:ascii="Arial" w:cs="Arial" w:eastAsia="Arial" w:hAnsi="Arial"/>
                <w:sz w:val="14"/>
                <w:szCs w:val="14"/>
                <w:color w:val="auto"/>
              </w:rPr>
              <w:t>Restricted share-based compensation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12,97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12,97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12,972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5"/>
              </w:rPr>
              <w:t>(44,31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(44,31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(44,31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Dividends paid and accrued</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48,63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48,63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Stock option expense</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48,639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Acquisition of noncontrolling interest in</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90"/>
              </w:rPr>
              <w:t>(11,27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(37,60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majority owned business</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(4,776 )</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(4,776 )</w:t>
            </w: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Purchase (sale) of ownership interests by</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(from) minority members</w:t>
            </w:r>
          </w:p>
        </w:tc>
        <w:tc>
          <w:tcPr>
            <w:tcW w:w="12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income (loss) to UHS /</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500,7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500,78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(14,27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Arial" w:cs="Arial" w:eastAsia="Arial" w:hAnsi="Arial"/>
                <w:sz w:val="14"/>
                <w:szCs w:val="14"/>
                <w:color w:val="auto"/>
              </w:rPr>
              <w:t>adjustments, net of income tax</w:t>
            </w: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(28,269 )</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37"/>
        </w:trPr>
        <w:tc>
          <w:tcPr>
            <w:tcW w:w="27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500,7</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472,52</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(14,27</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458,2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Subtotal - comprehensive income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6"/>
              </w:rPr>
              <w:t>(28,269 )</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5"/>
              </w:rPr>
              <w:t>(589,8</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2"/>
              </w:rPr>
              <w:t>6,442,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5,855,3</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5,904,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4,563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645</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05 )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418</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$ 48,727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-4006850</wp:posOffset>
            </wp:positionV>
            <wp:extent cx="76835" cy="1369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36969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-4006850</wp:posOffset>
            </wp:positionV>
            <wp:extent cx="76835" cy="1369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36969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-4006850</wp:posOffset>
            </wp:positionV>
            <wp:extent cx="76835" cy="13696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36969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-4006850</wp:posOffset>
            </wp:positionV>
            <wp:extent cx="76835" cy="13696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36969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-4006850</wp:posOffset>
            </wp:positionV>
            <wp:extent cx="68580" cy="13696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-4006850</wp:posOffset>
            </wp:positionV>
            <wp:extent cx="68580" cy="13696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-4006850</wp:posOffset>
            </wp:positionV>
            <wp:extent cx="68580" cy="13696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-4006850</wp:posOffset>
            </wp:positionV>
            <wp:extent cx="68580" cy="1369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-4006850</wp:posOffset>
            </wp:positionV>
            <wp:extent cx="68580" cy="13696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-4006850</wp:posOffset>
            </wp:positionV>
            <wp:extent cx="68580" cy="13696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-4006850</wp:posOffset>
            </wp:positionV>
            <wp:extent cx="68580" cy="13696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6969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-239395</wp:posOffset>
            </wp:positionV>
            <wp:extent cx="7683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-239395</wp:posOffset>
            </wp:positionV>
            <wp:extent cx="7683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-239395</wp:posOffset>
            </wp:positionV>
            <wp:extent cx="76835"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-239395</wp:posOffset>
            </wp:positionV>
            <wp:extent cx="7683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-239395</wp:posOffset>
            </wp:positionV>
            <wp:extent cx="6858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-239395</wp:posOffset>
            </wp:positionV>
            <wp:extent cx="6858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-239395</wp:posOffset>
            </wp:positionV>
            <wp:extent cx="6858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-239395</wp:posOffset>
            </wp:positionV>
            <wp:extent cx="6858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-239395</wp:posOffset>
            </wp:positionV>
            <wp:extent cx="6858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-239395</wp:posOffset>
            </wp:positionV>
            <wp:extent cx="6858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UNIVERSAL HEALTH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unaudited)</w:t>
      </w:r>
    </w:p>
    <w:tbl>
      <w:tblPr>
        <w:tblLayout w:type="fixed"/>
        <w:tblInd w:w="0" w:type="dxa"/>
        <w:tblCellMar>
          <w:top w:w="0" w:type="dxa"/>
          <w:left w:w="0" w:type="dxa"/>
          <w:bottom w:w="0" w:type="dxa"/>
          <w:right w:w="0" w:type="dxa"/>
        </w:tblCellMar>
      </w:tblPr>
      <w:tr>
        <w:trPr>
          <w:trHeight w:val="148"/>
        </w:trPr>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gridSpan w:val="3"/>
          </w:tcPr>
          <w:p>
            <w:pPr>
              <w:jc w:val="right"/>
              <w:ind w:right="230"/>
              <w:spacing w:after="0" w:line="148" w:lineRule="exact"/>
              <w:rPr>
                <w:sz w:val="20"/>
                <w:szCs w:val="20"/>
                <w:color w:val="auto"/>
              </w:rPr>
            </w:pPr>
            <w:r>
              <w:rPr>
                <w:rFonts w:ascii="Arial" w:cs="Arial" w:eastAsia="Arial" w:hAnsi="Arial"/>
                <w:sz w:val="14"/>
                <w:szCs w:val="14"/>
                <w:b w:val="1"/>
                <w:bCs w:val="1"/>
                <w:color w:val="auto"/>
              </w:rPr>
              <w:t>Nine months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499,685</w:t>
            </w:r>
          </w:p>
        </w:tc>
        <w:tc>
          <w:tcPr>
            <w:tcW w:w="2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486,613</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Depreciation &amp; amortization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422,560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433,508</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loss on sale of assets and businesses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(6,250 )</w:t>
            </w: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65,702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62,741</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Changes in assets &amp; liabilities, net of effects from acquisitions and dispositions: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(193,108 )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(155,142 )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Accrued and deferred income taxes</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(33,240 )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(4,900 )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working capital accounts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(65,062 )</w:t>
            </w:r>
          </w:p>
        </w:tc>
        <w:tc>
          <w:tcPr>
            <w:tcW w:w="5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(173,903 )</w:t>
            </w: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Medicare accelerated payments and deferred CARES Act and other grants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assets and deferred charges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13,717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(23,358 )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insurance expense, net of commercial premiums paid</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134,908</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0"/>
              <w:spacing w:after="0"/>
              <w:rPr>
                <w:sz w:val="20"/>
                <w:szCs w:val="20"/>
                <w:color w:val="auto"/>
              </w:rPr>
            </w:pPr>
            <w:r>
              <w:rPr>
                <w:rFonts w:ascii="Arial" w:cs="Arial" w:eastAsia="Arial" w:hAnsi="Arial"/>
                <w:sz w:val="18"/>
                <w:szCs w:val="18"/>
                <w:color w:val="auto"/>
              </w:rPr>
              <w:t>Payments made in settlement of self-insurance claims</w:t>
            </w:r>
          </w:p>
        </w:tc>
        <w:tc>
          <w:tcPr>
            <w:tcW w:w="340" w:type="dxa"/>
            <w:vAlign w:val="bottom"/>
          </w:tcPr>
          <w:p>
            <w:pPr>
              <w:spacing w:after="0"/>
              <w:rPr>
                <w:sz w:val="21"/>
                <w:szCs w:val="21"/>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(80,861 )</w:t>
            </w: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(88,001 )</w:t>
            </w:r>
          </w:p>
        </w:tc>
      </w:tr>
      <w:tr>
        <w:trPr>
          <w:trHeight w:val="236"/>
        </w:trPr>
        <w:tc>
          <w:tcPr>
            <w:tcW w:w="7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815,366</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69"/>
        </w:trPr>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(536,665 )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(569,555 )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received from sales of assets and businesses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Acquisition of businesses and property</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(3,728 )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(18,666 )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(Outflows) inflows from foreign exchange contracts that hedge our net U.K. investment</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(7,723 )</w:t>
            </w: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177,214</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0"/>
              <w:spacing w:after="0"/>
              <w:rPr>
                <w:sz w:val="20"/>
                <w:szCs w:val="20"/>
                <w:color w:val="auto"/>
              </w:rPr>
            </w:pPr>
            <w:r>
              <w:rPr>
                <w:rFonts w:ascii="Arial" w:cs="Arial" w:eastAsia="Arial" w:hAnsi="Arial"/>
                <w:sz w:val="18"/>
                <w:szCs w:val="18"/>
                <w:color w:val="auto"/>
              </w:rPr>
              <w:t>Decrease in capital reserves of commercial insurance subsidiary</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r>
      <w:tr>
        <w:trPr>
          <w:trHeight w:val="236"/>
        </w:trPr>
        <w:tc>
          <w:tcPr>
            <w:tcW w:w="7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(524,428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69"/>
        </w:trPr>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(54,009 )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(194,115 )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borrowings, net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705,321</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Financing costs</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(308 )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(2,541 )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 of common shares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(385,339 )</w:t>
            </w:r>
          </w:p>
        </w:tc>
        <w:tc>
          <w:tcPr>
            <w:tcW w:w="5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(723,384 )</w:t>
            </w: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(41,964 )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(44,192 )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Profit distributions to noncontrolling interests</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(5,258 )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(5,426 )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(sale) of ownership interests by (from) minority members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(49,089 )</w:t>
            </w:r>
          </w:p>
        </w:tc>
      </w:tr>
      <w:tr>
        <w:trPr>
          <w:trHeight w:val="20"/>
        </w:trPr>
        <w:tc>
          <w:tcPr>
            <w:tcW w:w="7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9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(311,629 )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(303,027 )</w:t>
            </w:r>
          </w:p>
        </w:tc>
      </w:tr>
      <w:tr>
        <w:trPr>
          <w:trHeight w:val="169"/>
        </w:trPr>
        <w:tc>
          <w:tcPr>
            <w:tcW w:w="79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(10,339 )</w:t>
            </w:r>
          </w:p>
        </w:tc>
      </w:tr>
      <w:tr>
        <w:trPr>
          <w:trHeight w:val="169"/>
        </w:trPr>
        <w:tc>
          <w:tcPr>
            <w:tcW w:w="79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34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(20,198 )</w:t>
            </w: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(13,553 )</w:t>
            </w:r>
          </w:p>
        </w:tc>
      </w:tr>
      <w:tr>
        <w:trPr>
          <w:trHeight w:val="249"/>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200,837</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180,639</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165,381</w:t>
            </w:r>
          </w:p>
        </w:tc>
        <w:tc>
          <w:tcPr>
            <w:tcW w:w="100" w:type="dxa"/>
            <w:vAlign w:val="bottom"/>
          </w:tcPr>
          <w:p>
            <w:pPr>
              <w:spacing w:after="0"/>
              <w:rPr>
                <w:sz w:val="20"/>
                <w:szCs w:val="20"/>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8"/>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7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149,247</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940" w:type="dxa"/>
            <w:vAlign w:val="bottom"/>
          </w:tcPr>
          <w:p>
            <w:pPr>
              <w:ind w:left="200"/>
              <w:spacing w:after="0"/>
              <w:rPr>
                <w:sz w:val="20"/>
                <w:szCs w:val="20"/>
                <w:color w:val="auto"/>
              </w:rPr>
            </w:pPr>
            <w:r>
              <w:rPr>
                <w:rFonts w:ascii="Arial" w:cs="Arial" w:eastAsia="Arial" w:hAnsi="Arial"/>
                <w:sz w:val="18"/>
                <w:szCs w:val="18"/>
                <w:color w:val="auto"/>
              </w:rPr>
              <w:t>Income taxes paid, net of refunds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191,189</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182,091</w:t>
            </w:r>
          </w:p>
        </w:tc>
        <w:tc>
          <w:tcPr>
            <w:tcW w:w="1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Noncash purchases of property and equipment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108,412</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1"/>
        </w:trPr>
        <w:tc>
          <w:tcPr>
            <w:tcW w:w="9680" w:type="dxa"/>
            <w:vAlign w:val="bottom"/>
            <w:gridSpan w:val="4"/>
          </w:tcPr>
          <w:p>
            <w:pPr>
              <w:ind w:left="2080"/>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7"/>
        </w:trPr>
        <w:tc>
          <w:tcPr>
            <w:tcW w:w="7940" w:type="dxa"/>
            <w:vAlign w:val="bottom"/>
          </w:tcPr>
          <w:p>
            <w:pPr>
              <w:ind w:left="55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-5076825</wp:posOffset>
            </wp:positionV>
            <wp:extent cx="76835"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-5076825</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-3869690</wp:posOffset>
            </wp:positionV>
            <wp:extent cx="7683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-2362835</wp:posOffset>
            </wp:positionV>
            <wp:extent cx="7683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-2080260</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-1489075</wp:posOffset>
            </wp:positionV>
            <wp:extent cx="7683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-881380</wp:posOffset>
            </wp:positionV>
            <wp:extent cx="116459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64590" cy="20574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-521970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-504825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u w:val="single" w:color="auto"/>
          <w:color w:val="auto"/>
        </w:rPr>
        <w:t>UNIVERSAL HEALTH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Quarterly Report on Form 10-Q is for the quarterly period ended September 30, 2023. In this Quarterly Report, “we,” “us,” “our” “UHS” and the “Company” refer to Universal Health Services, Inc. and its subsidiaries.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condensed consolidated interim financial statements include the accounts of our majority-owned subsidiaries and partnerships and limited liability companies controlled by us, or our subsidiaries, as managing general partner or managing member. The condensed consolidated interim financial statements included herein have been prepared by us, without audit, pursuant to the rules and regulations of the Securities and Exchange Commission (“SEC”) and reflect all adjustments (consisting only of normal recurring adjustments) which, in our opinion, are necessary to fairly state results for the interim periods. Certain information and footnote disclosures normally included in audited consolidated financial statements prepared in accordance with accounting principles generally accepted in the United States of America have been condensed or omitted pursuant to such rules and regulations, although we believe that the accompanying disclosures are adequate to make the information presented not misleading. These condensed consolidated interim financial statements should be read in conjunction with the audited consolidated financial statements, significant accounting policies and the notes thereto included in our Annual Report on Form 10-K for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Many of the factors that could affect our future results are beyond our control or ability to predict, including, but not limited to:</w:t>
      </w:r>
    </w:p>
    <w:p>
      <w:pPr>
        <w:spacing w:after="0" w:line="117" w:lineRule="exact"/>
        <w:rPr>
          <w:sz w:val="20"/>
          <w:szCs w:val="20"/>
          <w:color w:val="auto"/>
        </w:rPr>
      </w:pPr>
    </w:p>
    <w:p>
      <w:pPr>
        <w:ind w:left="1020" w:right="100" w:hanging="504"/>
        <w:spacing w:after="0" w:line="219" w:lineRule="exact"/>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nationwide shortage of nurses and other clinical staff and support personnel has been a significant operating issue facing us and other healthcare providers. In some areas, the labor scarcity is putting a strain on our resources and staff, which has required us to utilize higher</w:t>
      </w:r>
      <w:r>
        <w:rPr>
          <w:rFonts w:ascii="MS PGothic" w:cs="MS PGothic" w:eastAsia="MS PGothic" w:hAnsi="MS PGothic"/>
          <w:sz w:val="18"/>
          <w:szCs w:val="18"/>
          <w:color w:val="auto"/>
        </w:rPr>
        <w:t>‑</w:t>
      </w:r>
      <w:r>
        <w:rPr>
          <w:rFonts w:ascii="Arial" w:cs="Arial" w:eastAsia="Arial" w:hAnsi="Arial"/>
          <w:sz w:val="18"/>
          <w:szCs w:val="18"/>
          <w:color w:val="auto"/>
        </w:rPr>
        <w:t>cost temporary labor and pay premiums above standard compensation for essential workers. These factors, which had a material unfavorable impact on our results of operations during 2022, and to a certain degree thus far in 2023, could continue to have an unfavorable material impact on our results of operations for the foreseeable future.</w:t>
      </w:r>
    </w:p>
    <w:p>
      <w:pPr>
        <w:spacing w:after="0" w:line="95" w:lineRule="exact"/>
        <w:rPr>
          <w:rFonts w:ascii="Arial" w:cs="Arial" w:eastAsia="Arial" w:hAnsi="Arial"/>
          <w:sz w:val="18"/>
          <w:szCs w:val="18"/>
          <w:color w:val="auto"/>
        </w:rPr>
      </w:pPr>
    </w:p>
    <w:p>
      <w:pPr>
        <w:ind w:left="1020" w:right="280" w:hanging="504"/>
        <w:spacing w:after="0" w:line="223" w:lineRule="exact"/>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impact of the COVID-19 pandemic, which began in March, 2020, has had a material effect on our operations and financial results, at various times, since that time. We cannot predict if there will be future disruptions caused by the COVID</w:t>
      </w:r>
      <w:r>
        <w:rPr>
          <w:rFonts w:ascii="MS PGothic" w:cs="MS PGothic" w:eastAsia="MS PGothic" w:hAnsi="MS PGothic"/>
          <w:sz w:val="17"/>
          <w:szCs w:val="17"/>
          <w:color w:val="auto"/>
        </w:rPr>
        <w:t>‑</w:t>
      </w:r>
      <w:r>
        <w:rPr>
          <w:rFonts w:ascii="Arial" w:cs="Arial" w:eastAsia="Arial" w:hAnsi="Arial"/>
          <w:sz w:val="17"/>
          <w:szCs w:val="17"/>
          <w:color w:val="auto"/>
        </w:rPr>
        <w:t>19 pandemic.</w:t>
      </w:r>
    </w:p>
    <w:p>
      <w:pPr>
        <w:spacing w:after="0" w:line="94" w:lineRule="exact"/>
        <w:rPr>
          <w:rFonts w:ascii="Arial" w:cs="Arial" w:eastAsia="Arial" w:hAnsi="Arial"/>
          <w:sz w:val="17"/>
          <w:szCs w:val="17"/>
          <w:color w:val="auto"/>
        </w:rPr>
      </w:pPr>
    </w:p>
    <w:p>
      <w:pPr>
        <w:ind w:left="1020" w:right="100" w:hanging="504"/>
        <w:spacing w:after="0" w:line="259"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significant portion of our revenues are derived from federal and state government programs including the Medicare and Medicaid programs. Payments from these programs are subject to statutory and regulatory changes, administrative rulings, interpretations and determinations, requirements for utilization review, and federal and state funding restrictions. Changes to these programs, if adopted, could materially affect program payments which could materially impact our results of operations.</w:t>
      </w:r>
    </w:p>
    <w:p>
      <w:pPr>
        <w:spacing w:after="0" w:line="77" w:lineRule="exact"/>
        <w:rPr>
          <w:rFonts w:ascii="Arial" w:cs="Arial" w:eastAsia="Arial" w:hAnsi="Arial"/>
          <w:sz w:val="18"/>
          <w:szCs w:val="18"/>
          <w:color w:val="auto"/>
        </w:rPr>
      </w:pPr>
    </w:p>
    <w:p>
      <w:pPr>
        <w:ind w:left="1020" w:right="80" w:hanging="504"/>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increase in interest rates has substantially increased our borrowings costs and reduced our ability to access the capital markets on favorable terms. Additional increases in interest rates could have a significant unfavorable impact on our future results of operations and the resulting effect on the capital markets could adversely affect our ability to carry out our strategy.</w:t>
      </w:r>
    </w:p>
    <w:p>
      <w:pPr>
        <w:spacing w:after="0" w:line="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Universal Health Realty Income Trust and Other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Universal Health Realty Income Trust: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September 30, 2023, we held approximately 5.7% of the outstanding shares of Universal Health Realty Income Trust (the “Trust”). We serve as Advisor to the Trust under an annually renewable advisory agreement, which is scheduled to expire on December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pursuant to the terms of which we conduct the Trust’s day-to-day affairs, provide administrative services and present investment opportunities. The advisory agreement was renewed by the Trust for 2023 at the same rate in place for 2022, 2021 and 2020, providing for an advisory fee computation at 0.70% of the Trust’s average invested real estate assets. We earned an advisory fee from the Trust, which is included in net revenues in the accompanying consolidated statements of income, of approximately $1.3 million during each of the three-month periods ended September 30, 2023 and 2022, and approximately $4.0 million and $3.8 million during the nine-month periods ended September 30, 2023 and 2022, respectively.</w:t>
      </w:r>
    </w:p>
    <w:p>
      <w:pPr>
        <w:spacing w:after="0" w:line="134" w:lineRule="exact"/>
        <w:rPr>
          <w:sz w:val="20"/>
          <w:szCs w:val="20"/>
          <w:color w:val="auto"/>
        </w:rPr>
      </w:pPr>
    </w:p>
    <w:p>
      <w:pPr>
        <w:ind w:right="520"/>
        <w:spacing w:after="0" w:line="307" w:lineRule="auto"/>
        <w:rPr>
          <w:sz w:val="20"/>
          <w:szCs w:val="20"/>
          <w:color w:val="auto"/>
        </w:rPr>
      </w:pPr>
      <w:r>
        <w:rPr>
          <w:rFonts w:ascii="Arial" w:cs="Arial" w:eastAsia="Arial" w:hAnsi="Arial"/>
          <w:sz w:val="17"/>
          <w:szCs w:val="17"/>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3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Our pre-tax share of income from the Trust was approximately $100,000 and $275,000 during the three-month periods ended September 30, 2023 and 2022, respectively, and approximately $670,000 and $882,000 during the nine-month periods ended September 30, 2023 and 2022, respectively, and is included in other (income) expense, net, on the accompanying consolidated</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 w:name="page10"/>
    <w:bookmarkEnd w:id="9"/>
    <w:p>
      <w:pPr>
        <w:ind w:right="140"/>
        <w:spacing w:after="0" w:line="296" w:lineRule="auto"/>
        <w:rPr>
          <w:sz w:val="20"/>
          <w:szCs w:val="20"/>
          <w:color w:val="auto"/>
        </w:rPr>
      </w:pPr>
      <w:r>
        <w:rPr>
          <w:rFonts w:ascii="Arial" w:cs="Arial" w:eastAsia="Arial" w:hAnsi="Arial"/>
          <w:sz w:val="16"/>
          <w:szCs w:val="16"/>
          <w:color w:val="auto"/>
        </w:rPr>
        <w:t>statements of income for each period. We received dividends from the Trust amounting to $567,000 and $559,000 during the three-month periods ended September 30, 2023 and 2022, respectively, and $1.7 million during each of the nine-month periods ended September 30, 2023 and 2022. The carrying value of our investment in the Trust was approximately $7.3 million and $8.4 million at September 30, 2023 and December 31, 2022, respectively, and is included in other assets in the accompanying condensed consolidated balance sheets. The market value of our investment in the Trust was $31.8 million at September 30, 2023 and $37.6 million at December 31, 2022, based on the closing price of the Trust’s stock on the respective dates.</w:t>
      </w:r>
    </w:p>
    <w:p>
      <w:pPr>
        <w:spacing w:after="0" w:line="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Trust commenced operations in 1986 by purchasing certain properties from us and immediately leasing the properties back to our respective subsidiaries. The base rents are paid monthly and the bonus rents, which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31, 2021, we entered into an asset purchase and sale agreement with the Trust, which was amended during the first quarter of 2022, pursuant to the terms of which:</w:t>
      </w:r>
    </w:p>
    <w:p>
      <w:pPr>
        <w:spacing w:after="0" w:line="62" w:lineRule="exact"/>
        <w:rPr>
          <w:sz w:val="20"/>
          <w:szCs w:val="20"/>
          <w:color w:val="auto"/>
        </w:rPr>
      </w:pPr>
    </w:p>
    <w:p>
      <w:pPr>
        <w:ind w:left="1020" w:right="4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wholly-owned subsidiary of ours purchased from the Trust, the real estate assets of the Inland Valley Campus of Southwest Healthcare System located in Wildomar, California, at its fair market value of $79.6 million.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wholly-owned subsidiaries of ours transferred to the Trust, the real estate assets of the following properties:</w:t>
      </w:r>
    </w:p>
    <w:p>
      <w:pPr>
        <w:spacing w:after="0" w:line="116" w:lineRule="exact"/>
        <w:rPr>
          <w:rFonts w:ascii="Arial" w:cs="Arial" w:eastAsia="Arial" w:hAnsi="Arial"/>
          <w:sz w:val="18"/>
          <w:szCs w:val="18"/>
          <w:color w:val="auto"/>
        </w:rPr>
      </w:pPr>
    </w:p>
    <w:p>
      <w:pPr>
        <w:ind w:left="1540" w:right="160" w:hanging="509"/>
        <w:spacing w:after="0" w:line="277" w:lineRule="auto"/>
        <w:rPr>
          <w:rFonts w:ascii="Arial" w:cs="Arial" w:eastAsia="Arial" w:hAnsi="Arial"/>
          <w:sz w:val="18"/>
          <w:szCs w:val="18"/>
          <w:color w:val="auto"/>
        </w:rPr>
      </w:pPr>
      <w:r>
        <w:rPr>
          <w:rFonts w:ascii="Arial" w:cs="Arial" w:eastAsia="Arial" w:hAnsi="Arial"/>
          <w:sz w:val="18"/>
          <w:szCs w:val="18"/>
          <w:color w:val="auto"/>
        </w:rPr>
        <w:t>oAiken Regional Medical Center (“Aiken”), located in Aiken, South Carolina (which includes a 211-bed acute care hospital and a 62-bed behavioral health facility), at its fair-market value of approximately $57.7 million, and;</w:t>
      </w:r>
    </w:p>
    <w:p>
      <w:pPr>
        <w:spacing w:after="0" w:line="6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Canyon Creek Behavioral Health (“Canyon Creek”), located in Temple, Texas, at its fair-market value of approximately $26.0 million.</w:t>
      </w:r>
    </w:p>
    <w:p>
      <w:pPr>
        <w:spacing w:after="0" w:line="116" w:lineRule="exact"/>
        <w:rPr>
          <w:rFonts w:ascii="Arial" w:cs="Arial" w:eastAsia="Arial" w:hAnsi="Arial"/>
          <w:sz w:val="18"/>
          <w:szCs w:val="18"/>
          <w:color w:val="auto"/>
        </w:rPr>
      </w:pPr>
    </w:p>
    <w:p>
      <w:pPr>
        <w:ind w:left="1020" w:right="60" w:hanging="504"/>
        <w:spacing w:after="0" w:line="30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connection with this transaction, since the fair-market value of Aiken and Canyon Creek, which totaled approximately $83.7 million in the aggregate, exceeded the $79.6 million fair-market value of the Inland Valley Campus of Southwest Healthcare System, we received approximately $4.1 million in cash from the Trust. This transaction generated a gain of approximately $68.4 million for the Trust, our share of which (approximately $4.0 million) is included in our consolidated statement of income for the year ended December 31, 2021.</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Also on December 31, 2021, Aiken and Canyon Creek (as lessees), entered into a master lease and individual property leases (with the Trust as lessor),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amended, for initial lease terms on each property of approximately twelve years, ending on December 31, 2033. Subject to the terms of the master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Aiken and Canyon Creek have the right to renew their leases, at the then current fair market rent (as defined in the master lease), for seven, five-year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optional renewal terms. The aggregate annual rental during 2022 pursuant to the leases for these two facilities, amounted to approximately $5.7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 million related to Aiken and $1.8 million related to Canyon Creek). There is no bonus rental component applicable to either of these leases. On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through 2033, the annual rental will increase by 2.25% on a cumulative and compounded basis.</w:t>
      </w:r>
    </w:p>
    <w:p>
      <w:pPr>
        <w:spacing w:after="0" w:line="4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condensed consolidated balance sheets as of September 30, 2023 and December 31, 2022 reflects a financial liability of $78 million and $81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7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rent payable to the Trust in connection with the leases on McAllen Medical Center, Wellington Regional Medical Center, Aiken Regional Medical Center and Canyon Creek Behavioral Health was approximately $5 million during each of the three months ended September 30, 2023 and 2022 and approximately $15 million during each of the nine months ended September 30, 2023 and 2022.</w:t>
      </w:r>
    </w:p>
    <w:p>
      <w:pPr>
        <w:spacing w:after="0" w:line="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160"/>
        <w:spacing w:after="0" w:line="263" w:lineRule="auto"/>
        <w:rPr>
          <w:sz w:val="20"/>
          <w:szCs w:val="20"/>
          <w:color w:val="auto"/>
        </w:rPr>
      </w:pPr>
      <w:r>
        <w:rPr>
          <w:rFonts w:ascii="Arial" w:cs="Arial" w:eastAsia="Arial" w:hAnsi="Arial"/>
          <w:sz w:val="18"/>
          <w:szCs w:val="18"/>
          <w:color w:val="auto"/>
        </w:rPr>
        <w:t>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$2.7 million and $2.6 million during 2023 and 2022,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certain details for each of the hospitals leased from the Trust as of September 30, 2023:</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Annual</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Hospital Name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2"/>
                <w:szCs w:val="12"/>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End of Lease Term</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Rent</w:t>
            </w:r>
          </w:p>
        </w:tc>
        <w:tc>
          <w:tcPr>
            <w:tcW w:w="2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McAllen Medical Center</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5,485,000</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8"/>
              </w:rPr>
              <w:t>December, 2026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0"/>
                <w:szCs w:val="20"/>
                <w:color w:val="auto"/>
              </w:rPr>
            </w:pPr>
            <w:r>
              <w:rPr>
                <w:rFonts w:ascii="Arial" w:cs="Arial" w:eastAsia="Arial" w:hAnsi="Arial"/>
                <w:sz w:val="18"/>
                <w:szCs w:val="18"/>
                <w:color w:val="auto"/>
              </w:rPr>
              <w:t>Wellington Regional Medical Center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6,477,000</w:t>
            </w:r>
          </w:p>
        </w:tc>
        <w:tc>
          <w:tcPr>
            <w:tcW w:w="220" w:type="dxa"/>
            <w:vAlign w:val="bottom"/>
          </w:tcPr>
          <w:p>
            <w:pPr>
              <w:spacing w:after="0"/>
              <w:rPr>
                <w:sz w:val="21"/>
                <w:szCs w:val="21"/>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w w:val="88"/>
              </w:rPr>
              <w:t>December, 2026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Aiken Regional Medical Center/Aurora Pavilion</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w w:val="88"/>
              </w:rPr>
              <w:t>December, 2033</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Behavioral Health Services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3,982,000</w:t>
            </w:r>
          </w:p>
        </w:tc>
        <w:tc>
          <w:tcPr>
            <w:tcW w:w="220" w:type="dxa"/>
            <w:vAlign w:val="bottom"/>
            <w:shd w:val="clear" w:color="auto" w:fill="CFF0FC"/>
          </w:tcPr>
          <w:p>
            <w:pPr>
              <w:spacing w:after="0"/>
              <w:rPr>
                <w:sz w:val="21"/>
                <w:szCs w:val="21"/>
                <w:color w:val="auto"/>
              </w:rPr>
            </w:pPr>
          </w:p>
        </w:tc>
        <w:tc>
          <w:tcPr>
            <w:tcW w:w="1560" w:type="dxa"/>
            <w:vAlign w:val="bottom"/>
            <w:vMerge w:val="continue"/>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0"/>
                <w:szCs w:val="20"/>
                <w:color w:val="auto"/>
              </w:rPr>
            </w:pPr>
            <w:r>
              <w:rPr>
                <w:rFonts w:ascii="Arial" w:cs="Arial" w:eastAsia="Arial" w:hAnsi="Arial"/>
                <w:sz w:val="18"/>
                <w:szCs w:val="18"/>
                <w:color w:val="auto"/>
              </w:rPr>
              <w:t>Canyon Creek Behavioral Health</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1,800,000</w:t>
            </w:r>
          </w:p>
        </w:tc>
        <w:tc>
          <w:tcPr>
            <w:tcW w:w="220" w:type="dxa"/>
            <w:vAlign w:val="bottom"/>
          </w:tcPr>
          <w:p>
            <w:pPr>
              <w:spacing w:after="0"/>
              <w:rPr>
                <w:sz w:val="21"/>
                <w:szCs w:val="21"/>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w w:val="88"/>
              </w:rPr>
              <w:t>December, 2033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6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Clive Behavioral Health Hospital</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2,701,000</w:t>
            </w:r>
          </w:p>
        </w:tc>
        <w:tc>
          <w:tcPr>
            <w:tcW w:w="220" w:type="dxa"/>
            <w:vAlign w:val="bottom"/>
            <w:shd w:val="clear" w:color="auto" w:fill="CFF0FC"/>
          </w:tcPr>
          <w:p>
            <w:pPr>
              <w:spacing w:after="0"/>
              <w:rPr>
                <w:sz w:val="22"/>
                <w:szCs w:val="22"/>
                <w:color w:val="auto"/>
              </w:rPr>
            </w:pPr>
          </w:p>
        </w:tc>
        <w:tc>
          <w:tcPr>
            <w:tcW w:w="1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8"/>
              </w:rPr>
              <w:t>December, 2040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one 5-year renewal option at existing lease rates (through 2031).</w:t>
      </w:r>
    </w:p>
    <w:p>
      <w:pPr>
        <w:spacing w:after="0" w:line="116"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The annual rental will increase by 2.5% on a cumulative and compounded basis on January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through 2026.</w:t>
      </w:r>
    </w:p>
    <w:p>
      <w:pPr>
        <w:spacing w:after="0" w:line="2" w:lineRule="exact"/>
        <w:rPr>
          <w:rFonts w:ascii="Arial" w:cs="Arial" w:eastAsia="Arial" w:hAnsi="Arial"/>
          <w:sz w:val="18"/>
          <w:szCs w:val="18"/>
          <w:color w:val="auto"/>
        </w:rPr>
      </w:pPr>
    </w:p>
    <w:p>
      <w:pPr>
        <w:ind w:left="520" w:right="200" w:hanging="512"/>
        <w:spacing w:after="0" w:line="22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seven 5-year renewal options at fair market value lease rates (2034 through 2068). On January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through 2033, the annual rent will increase by 2.25% on a cumulative and compounded basis.</w:t>
      </w:r>
    </w:p>
    <w:p>
      <w:pPr>
        <w:spacing w:after="0" w:line="95" w:lineRule="exact"/>
        <w:rPr>
          <w:rFonts w:ascii="Arial" w:cs="Arial" w:eastAsia="Arial" w:hAnsi="Arial"/>
          <w:sz w:val="18"/>
          <w:szCs w:val="18"/>
          <w:color w:val="auto"/>
        </w:rPr>
      </w:pPr>
    </w:p>
    <w:p>
      <w:pPr>
        <w:jc w:val="both"/>
        <w:ind w:left="520" w:hanging="512"/>
        <w:spacing w:after="0" w:line="301"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w:t>
      </w:r>
    </w:p>
    <w:p>
      <w:pPr>
        <w:spacing w:after="0" w:line="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certain of our subsidiaries are tenants in several medical office buildings (“MOBs”) and two free-standing emergency departments owned by the Trust or by limited liability companies in which the Trust holds 95% to 100% of the ownership interest.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w:t>
      </w:r>
    </w:p>
    <w:p>
      <w:pPr>
        <w:spacing w:after="0" w:line="7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During the first quarter of 2023, the Trust substantially completed construction on a new 86,000 rentable square feet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ground lease and a master flex lease was executed between a wholly-owned subsidiary of ours and the Trust, pursuant to the terms of which our subsidiary will master lease approximately 68% of the rentable square feet of the MOB at an initial minimum rent of $1.3 million annually plus a pro-rata share of the common area maintenance expenses. The master flex lease could be reduced during the term if certain conditions are met. The ground lease and master flex lease each commenced during the first quarter of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December, 2010, our Board of Directors approved the Company’s entering into supplemental life insurance plans and agreements on the lives of Alan B. Miller (our Executive Chairman of the Board) and his wife. As a result of these agreements, as amended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100"/>
        <w:spacing w:after="0" w:line="296" w:lineRule="auto"/>
        <w:rPr>
          <w:sz w:val="20"/>
          <w:szCs w:val="20"/>
          <w:color w:val="auto"/>
        </w:rPr>
      </w:pPr>
      <w:r>
        <w:rPr>
          <w:rFonts w:ascii="Arial" w:cs="Arial" w:eastAsia="Arial" w:hAnsi="Arial"/>
          <w:sz w:val="16"/>
          <w:szCs w:val="16"/>
          <w:color w:val="auto"/>
        </w:rPr>
        <w:t>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will pay/we paid approximately $1.0 million, net, in premium payments during 2023 and 2022.</w:t>
      </w:r>
    </w:p>
    <w:p>
      <w:pPr>
        <w:spacing w:after="0" w:line="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August, 2015, Marc D. Miller, our President and Chief Executive Officer and member of our Board of Directors, was appointed to the Board of Directors of Premier, Inc. (“Premier”), a healthcare performance improvement alliance. During 2013, we entered into a new group purchasing organization agreement (“GPO”) with Premier. In conjunction with the GPO agreement, we acquired a minority interest in Premier for a nominal amount. During the fourth quarter of 2013, in connection with the completion of an initial public offering of the stock of Premier, we received cash proceeds for the sale of a portion of our ownership interest in the GPO. Also in connection with this GPO agreement, we received shares of restricted stock of Premier which vested ratably over a seven-year period (2014 through 2020), contingent upon our continued participation and minority ownership interest in the GPO.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market value of which is included in other assets on our condensed consolidated balance sheets. Based upon the closing price of Premier’s stock on each respective date, the market value of our shares of Premier was approximately $48 million and $78 million as of September 30, 2023 and December 31, 2022, respectively. Any change in market value of our Premier shares since December 31, 2022 was recorded as an unrealized gain/loss and included in “Other (income) expense, net” in our condensed consolidated statements of income for the three and nine-month periods ended September 30, 2023. Additionally, Premier declared and paid quarterly cash dividends during each of the first three quarters of 2023 and 2022. Our share of the cash dividends amounted to approximately $470,000 for each of the three-month periods ended September 30, 2023 and 2022, respectively, and approximately $1.4 million for each of the nine-month periods ended September 30, 2023 and 2022, respectively. The dividends are included in “Other (income) expense, net” in our condensed consolidated statements of income.</w:t>
      </w:r>
    </w:p>
    <w:p>
      <w:pPr>
        <w:spacing w:after="0" w:line="8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 member of our Board of Directors and member of the Executive Committee and Finance Committee is a partner in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Noncurrent liabilities and Redeemable/Noncontrolling Interests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noncurrent liabilities include the long-term portion of our professional and general liability, workers’ compensation reserves, pension and deferred compensation liabilities, and liabilities incurred in connection with split-dollar life insurance agreements on the lives of our chief executive officer and his wife.</w:t>
      </w:r>
    </w:p>
    <w:p>
      <w:pPr>
        <w:spacing w:after="0" w:line="7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September 30, 2023, outside owners held noncontrolling, minority ownership interests of: (i) approximately 7% in an acute care facility located in Texas; (ii) 49%, 20%, 30%, 20%, 25%, 48% and 26% in seven behavioral health care facilities located in Arizona, Pennsylvania, Ohio, Washington, Missouri, Iowa and Michigan, respectively, and; (iii) approximately 5% in an acute care facility located in Nevada. The noncontrolling interest and redeemable noncontrolling interest balances of $42 million and $5 million, respectively, as of September 30, 2023, consist primarily of the third-party ownership interests in these hospitals.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two behavioral health care facilities located in Pennsylvania and Ohio, the minority ownership interests of which are reflected as redeemable noncontrolling interests on our condensed consolidated balance sheets, the outside owners have “put options” to put their entire ownership interest to us at any time. If exercised, the put option requires us to purchase the minority member’s interest at fair market value. Accordingly, the amounts recorded as redeemable noncontrolling interests on our condensed consolidated balance sheets reflect the estimated fair market value of these ownership interests.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Treasury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Outstanding Debt Securities: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As of September 30, 2023, our Credit Agreement provided for the following:</w:t>
      </w:r>
    </w:p>
    <w:p>
      <w:pPr>
        <w:spacing w:after="0" w:line="63" w:lineRule="exact"/>
        <w:rPr>
          <w:sz w:val="20"/>
          <w:szCs w:val="20"/>
          <w:color w:val="auto"/>
        </w:rPr>
      </w:pPr>
    </w:p>
    <w:p>
      <w:pPr>
        <w:ind w:left="1540" w:hanging="514"/>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$1.2 billion aggregate amount revolving credit facility that is scheduled to mature in August, 2026 (which, as of September 30, 2023, had $721 million of aggregate available borrowing capacity net of $475 million of outstanding borrowings and $4 million of letters of credit), and;</w:t>
      </w:r>
    </w:p>
    <w:p>
      <w:pPr>
        <w:spacing w:after="0" w:line="20"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tranche A term loan facility with $2.29 billion of outstanding borrowings as of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tranche A term loan facility provides for installment payments of $30.0 million per quarter during the period of December, 2023 through June,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unpaid principal balance at June 30, 2026 is payable on the August 24, 2026 scheduled maturity date of the Credit Agreement.</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w:t>
      </w:r>
    </w:p>
    <w:p>
      <w:pPr>
        <w:spacing w:after="0" w:line="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0.625%, or (2) the one, three or six month term SOFR rate plus 0.1% (at our election), plus an applicable margin based upon our consolidated leverage ratio at the end of each quarter ranging from 1.25% to 1.625%. As of September 30, 2023, the applicable margins were 0.50% for ABR-based loans and 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September 30, 2023 and December 31, 2022.</w:t>
      </w:r>
    </w:p>
    <w:p>
      <w:pPr>
        <w:spacing w:after="0" w:line="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62"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$700 million of aggregate principal amount of 1.65% senior secured notes due on September 1, 2026,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$500 million of aggregate principal amount of 2.65% senior secured notes due on January 15, 2032.</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combined aggregate principal of $2.0 billion from the following senior secured notes:</w:t>
      </w:r>
    </w:p>
    <w:p>
      <w:pPr>
        <w:spacing w:after="0" w:line="117" w:lineRule="exact"/>
        <w:rPr>
          <w:sz w:val="20"/>
          <w:szCs w:val="20"/>
          <w:color w:val="auto"/>
        </w:rPr>
      </w:pPr>
    </w:p>
    <w:p>
      <w:pPr>
        <w:ind w:left="1020" w:right="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$700 million aggregate principal amount of 1.65% senior secured notes due in September, 2026 (“2026 Notes”) which were issued on August 24, 2021.</w:t>
      </w:r>
    </w:p>
    <w:p>
      <w:pPr>
        <w:spacing w:after="0" w:line="61" w:lineRule="exact"/>
        <w:rPr>
          <w:rFonts w:ascii="Arial" w:cs="Arial" w:eastAsia="Arial" w:hAnsi="Arial"/>
          <w:sz w:val="18"/>
          <w:szCs w:val="18"/>
          <w:color w:val="auto"/>
        </w:rPr>
      </w:pPr>
    </w:p>
    <w:p>
      <w:pPr>
        <w:ind w:left="1020" w:right="78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$800 million aggregate principal amount of 2.65% senior secured notes due in October, 2030 (“2030 Notes”) which were issued on September 21, 2020.</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 million of aggregate principal amount of 2.65% senior secured notes due in January, 2032 (“2032 Notes”) which were issued on August 24, 2021.</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40"/>
        <w:spacing w:after="0" w:line="288" w:lineRule="auto"/>
        <w:rPr>
          <w:sz w:val="20"/>
          <w:szCs w:val="20"/>
          <w:color w:val="auto"/>
        </w:rPr>
      </w:pPr>
      <w:r>
        <w:rPr>
          <w:rFonts w:ascii="Arial" w:cs="Arial" w:eastAsia="Arial" w:hAnsi="Arial"/>
          <w:sz w:val="16"/>
          <w:szCs w:val="16"/>
          <w:color w:val="auto"/>
        </w:rPr>
        <w:t>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 its December, 2022 maturity date, our $20 million accounts receivable securitization program expired and was not renewed or replaced.</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2 to the Consolidated Financial Statements-Relationship with Universal Health Realty Income Trust and Other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December 31, 2021, we (through wholly-owned subsidiaries of ours) entered into an asset purchase and sale agreement with Universal</w:t>
      </w:r>
      <w:r>
        <w:rPr>
          <w:rFonts w:ascii="Arial" w:cs="Arial" w:eastAsia="Arial" w:hAnsi="Arial"/>
          <w:sz w:val="16"/>
          <w:szCs w:val="16"/>
          <w:i w:val="1"/>
          <w:iCs w:val="1"/>
          <w:color w:val="auto"/>
        </w:rPr>
        <w:t xml:space="preserve"> </w:t>
      </w:r>
      <w:r>
        <w:rPr>
          <w:rFonts w:ascii="Arial" w:cs="Arial" w:eastAsia="Arial" w:hAnsi="Arial"/>
          <w:sz w:val="16"/>
          <w:szCs w:val="16"/>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condensed consolidated balance sheets at September 30, 2023 and December 31, 2022 reflect financial liabilities, which are included in debt, of approximately $78 million and $81 million, respectively.</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2023, the carrying value and fair value of our debt were approximately $4.9 billion and $4.5 billion, respectively. At December 31, 2022, the carrying value and fair value of our debt were approximately $4.8 billion and $4.4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Exchange Contracts: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outflows of $8 million during the nine-month period ended September 30, 2023 and net cash inflows of $177 million during the nine-month period ended September 30,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Relationships: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effects of our foreign currency forward exchange contracts on our results of operations for the three and nine-month periods ended September 30, 2023 and 2022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Gain/(Loss) recognized in AOCI</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4"/>
          </w:tcPr>
          <w:p>
            <w:pPr>
              <w:jc w:val="right"/>
              <w:ind w:right="90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8"/>
                <w:szCs w:val="18"/>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5"/>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3"/>
                <w:szCs w:val="23"/>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Net Investment Hedge relationships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exchange contracts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19,619</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120,043</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(10,781 )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201,619</w:t>
            </w:r>
          </w:p>
        </w:tc>
        <w:tc>
          <w:tcPr>
            <w:tcW w:w="10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other gains or losses were recognized in income related to derivatives in Subtopic 815-20.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cash equivalents, and restricted cash as reported in the condensed consolidated statements of cash flows are presented separately on our condensed consolidated balance sheets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September 30,</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6"/>
                <w:szCs w:val="16"/>
                <w:color w:val="auto"/>
              </w:rPr>
            </w:pPr>
          </w:p>
        </w:tc>
      </w:tr>
      <w:tr>
        <w:trPr>
          <w:trHeight w:val="228"/>
        </w:trPr>
        <w:tc>
          <w:tcPr>
            <w:tcW w:w="5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80,768</w:t>
            </w: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74,571</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102,818</w:t>
            </w:r>
          </w:p>
        </w:tc>
        <w:tc>
          <w:tcPr>
            <w:tcW w:w="100" w:type="dxa"/>
            <w:vAlign w:val="bottom"/>
            <w:shd w:val="clear" w:color="auto" w:fill="CFF0FC"/>
          </w:tcPr>
          <w:p>
            <w:pPr>
              <w:spacing w:after="0"/>
              <w:rPr>
                <w:sz w:val="20"/>
                <w:szCs w:val="20"/>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Restricted cash (a)</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99,871</w:t>
            </w:r>
          </w:p>
        </w:tc>
        <w:tc>
          <w:tcPr>
            <w:tcW w:w="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90,810</w:t>
            </w: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98,019</w:t>
            </w:r>
          </w:p>
        </w:tc>
        <w:tc>
          <w:tcPr>
            <w:tcW w:w="10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180,639</w:t>
            </w:r>
          </w:p>
        </w:tc>
        <w:tc>
          <w:tcPr>
            <w:tcW w:w="6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165,381</w:t>
            </w:r>
          </w:p>
        </w:tc>
        <w:tc>
          <w:tcPr>
            <w:tcW w:w="6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Restricted cash is included in other assets on the accompanying condensed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75"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or liabilities.</w:t>
      </w:r>
    </w:p>
    <w:p>
      <w:pPr>
        <w:spacing w:after="0" w:line="116" w:lineRule="exact"/>
        <w:rPr>
          <w:rFonts w:ascii="Arial" w:cs="Arial" w:eastAsia="Arial" w:hAnsi="Arial"/>
          <w:sz w:val="18"/>
          <w:szCs w:val="18"/>
          <w:color w:val="auto"/>
        </w:rPr>
      </w:pPr>
    </w:p>
    <w:p>
      <w:pPr>
        <w:ind w:left="760" w:right="20" w:hanging="378"/>
        <w:spacing w:after="0" w:line="34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16"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assets and liabilities recorded at fair value on a recurring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gridSpan w:val="4"/>
            <w:vMerge w:val="restart"/>
          </w:tcPr>
          <w:p>
            <w:pPr>
              <w:spacing w:after="0"/>
              <w:rPr>
                <w:sz w:val="20"/>
                <w:szCs w:val="20"/>
                <w:color w:val="auto"/>
              </w:rPr>
            </w:pPr>
            <w:r>
              <w:rPr>
                <w:rFonts w:ascii="Arial" w:cs="Arial" w:eastAsia="Arial" w:hAnsi="Arial"/>
                <w:sz w:val="18"/>
                <w:szCs w:val="18"/>
                <w:color w:val="auto"/>
              </w:rPr>
              <w:t>(in thousands)</w:t>
            </w:r>
          </w:p>
        </w:tc>
        <w:tc>
          <w:tcPr>
            <w:tcW w:w="16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6"/>
                <w:szCs w:val="16"/>
                <w:color w:val="auto"/>
              </w:rPr>
            </w:pPr>
          </w:p>
        </w:tc>
        <w:tc>
          <w:tcPr>
            <w:tcW w:w="3020" w:type="dxa"/>
            <w:vAlign w:val="bottom"/>
            <w:gridSpan w:val="6"/>
          </w:tcPr>
          <w:p>
            <w:pPr>
              <w:jc w:val="right"/>
              <w:ind w:right="517"/>
              <w:spacing w:after="0"/>
              <w:rPr>
                <w:sz w:val="20"/>
                <w:szCs w:val="20"/>
                <w:color w:val="auto"/>
              </w:rPr>
            </w:pPr>
            <w:r>
              <w:rPr>
                <w:rFonts w:ascii="Arial" w:cs="Arial" w:eastAsia="Arial" w:hAnsi="Arial"/>
                <w:sz w:val="14"/>
                <w:szCs w:val="14"/>
                <w:b w:val="1"/>
                <w:bCs w:val="1"/>
                <w:color w:val="auto"/>
              </w:rPr>
              <w:t>Basis of Fair Value Measurement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gridSpan w:val="4"/>
            <w:vMerge w:val="continue"/>
          </w:tcPr>
          <w:p>
            <w:pPr>
              <w:spacing w:after="0"/>
              <w:rPr>
                <w:sz w:val="19"/>
                <w:szCs w:val="19"/>
                <w:color w:val="auto"/>
              </w:rPr>
            </w:pPr>
          </w:p>
        </w:tc>
        <w:tc>
          <w:tcPr>
            <w:tcW w:w="16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9"/>
                <w:szCs w:val="19"/>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9"/>
                <w:szCs w:val="19"/>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Money market mutual funds</w:t>
            </w:r>
          </w:p>
        </w:tc>
        <w:tc>
          <w:tcPr>
            <w:tcW w:w="1640" w:type="dxa"/>
            <w:vAlign w:val="bottom"/>
          </w:tcPr>
          <w:p>
            <w:pPr>
              <w:jc w:val="right"/>
              <w:spacing w:after="0"/>
              <w:rPr>
                <w:sz w:val="20"/>
                <w:szCs w:val="20"/>
                <w:color w:val="auto"/>
              </w:rPr>
            </w:pPr>
            <w:r>
              <w:rPr>
                <w:rFonts w:ascii="Arial" w:cs="Arial" w:eastAsia="Arial" w:hAnsi="Arial"/>
                <w:sz w:val="18"/>
                <w:szCs w:val="18"/>
                <w:color w:val="auto"/>
              </w:rPr>
              <w:t>115,601</w:t>
            </w:r>
          </w:p>
        </w:tc>
        <w:tc>
          <w:tcPr>
            <w:tcW w:w="12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48,003</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compensation assets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39,391</w:t>
            </w:r>
          </w:p>
        </w:tc>
        <w:tc>
          <w:tcPr>
            <w:tcW w:w="12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7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205,278</w:t>
            </w:r>
          </w:p>
        </w:tc>
        <w:tc>
          <w:tcPr>
            <w:tcW w:w="120" w:type="dxa"/>
            <w:vAlign w:val="bottom"/>
            <w:tcBorders>
              <w:bottom w:val="single" w:sz="8" w:color="CFF0FC"/>
            </w:tcBorders>
            <w:shd w:val="clear" w:color="auto" w:fill="CFF0FC"/>
          </w:tcPr>
          <w:p>
            <w:pPr>
              <w:spacing w:after="0"/>
              <w:rPr>
                <w:sz w:val="23"/>
                <w:szCs w:val="23"/>
                <w:color w:val="auto"/>
              </w:rPr>
            </w:pPr>
          </w:p>
        </w:tc>
        <w:tc>
          <w:tcPr>
            <w:tcW w:w="24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202,995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4"/>
          </w:tcPr>
          <w:p>
            <w:pPr>
              <w:spacing w:after="0" w:line="176" w:lineRule="exact"/>
              <w:rPr>
                <w:sz w:val="20"/>
                <w:szCs w:val="20"/>
                <w:color w:val="auto"/>
              </w:rPr>
            </w:pPr>
            <w:r>
              <w:rPr>
                <w:rFonts w:ascii="Arial" w:cs="Arial" w:eastAsia="Arial" w:hAnsi="Arial"/>
                <w:sz w:val="18"/>
                <w:szCs w:val="18"/>
                <w:color w:val="auto"/>
              </w:rPr>
              <w:t>Liabilities: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5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39,391</w:t>
            </w:r>
          </w:p>
        </w:tc>
        <w:tc>
          <w:tcPr>
            <w:tcW w:w="120" w:type="dxa"/>
            <w:vAlign w:val="bottom"/>
            <w:tcBorders>
              <w:bottom w:val="single" w:sz="8" w:color="CFF0FC"/>
            </w:tcBorders>
            <w:shd w:val="clear" w:color="auto" w:fill="CFF0FC"/>
          </w:tcPr>
          <w:p>
            <w:pPr>
              <w:spacing w:after="0"/>
              <w:rPr>
                <w:sz w:val="21"/>
                <w:szCs w:val="21"/>
                <w:color w:val="auto"/>
              </w:rPr>
            </w:pPr>
          </w:p>
        </w:tc>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39,391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gridSpan w:val="4"/>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39,391</w:t>
            </w: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3720" w:type="dxa"/>
            <w:vAlign w:val="bottom"/>
            <w:gridSpan w:val="4"/>
            <w:vMerge w:val="restart"/>
          </w:tcPr>
          <w:p>
            <w:pPr>
              <w:spacing w:after="0"/>
              <w:rPr>
                <w:sz w:val="20"/>
                <w:szCs w:val="20"/>
                <w:color w:val="auto"/>
              </w:rPr>
            </w:pPr>
            <w:r>
              <w:rPr>
                <w:rFonts w:ascii="Arial" w:cs="Arial" w:eastAsia="Arial" w:hAnsi="Arial"/>
                <w:sz w:val="18"/>
                <w:szCs w:val="18"/>
                <w:color w:val="auto"/>
              </w:rPr>
              <w:t>(in thousands)</w:t>
            </w:r>
          </w:p>
        </w:tc>
        <w:tc>
          <w:tcPr>
            <w:tcW w:w="16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24"/>
                <w:szCs w:val="24"/>
                <w:color w:val="auto"/>
              </w:rPr>
            </w:pPr>
          </w:p>
        </w:tc>
        <w:tc>
          <w:tcPr>
            <w:tcW w:w="3020" w:type="dxa"/>
            <w:vAlign w:val="bottom"/>
            <w:gridSpan w:val="6"/>
          </w:tcPr>
          <w:p>
            <w:pPr>
              <w:jc w:val="right"/>
              <w:ind w:right="517"/>
              <w:spacing w:after="0"/>
              <w:rPr>
                <w:sz w:val="20"/>
                <w:szCs w:val="20"/>
                <w:color w:val="auto"/>
              </w:rPr>
            </w:pPr>
            <w:r>
              <w:rPr>
                <w:rFonts w:ascii="Arial" w:cs="Arial" w:eastAsia="Arial" w:hAnsi="Arial"/>
                <w:sz w:val="14"/>
                <w:szCs w:val="14"/>
                <w:b w:val="1"/>
                <w:bCs w:val="1"/>
                <w:color w:val="auto"/>
              </w:rPr>
              <w:t>Basis of Fair Value Measurement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gridSpan w:val="4"/>
            <w:vMerge w:val="continue"/>
          </w:tcPr>
          <w:p>
            <w:pPr>
              <w:spacing w:after="0"/>
              <w:rPr>
                <w:sz w:val="19"/>
                <w:szCs w:val="19"/>
                <w:color w:val="auto"/>
              </w:rPr>
            </w:pPr>
          </w:p>
        </w:tc>
        <w:tc>
          <w:tcPr>
            <w:tcW w:w="16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9"/>
                <w:szCs w:val="19"/>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9"/>
                <w:szCs w:val="19"/>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Money market mutual funds</w:t>
            </w:r>
          </w:p>
        </w:tc>
        <w:tc>
          <w:tcPr>
            <w:tcW w:w="1640" w:type="dxa"/>
            <w:vAlign w:val="bottom"/>
          </w:tcPr>
          <w:p>
            <w:pPr>
              <w:jc w:val="right"/>
              <w:spacing w:after="0"/>
              <w:rPr>
                <w:sz w:val="20"/>
                <w:szCs w:val="20"/>
                <w:color w:val="auto"/>
              </w:rPr>
            </w:pPr>
            <w:r>
              <w:rPr>
                <w:rFonts w:ascii="Arial" w:cs="Arial" w:eastAsia="Arial" w:hAnsi="Arial"/>
                <w:sz w:val="18"/>
                <w:szCs w:val="18"/>
                <w:color w:val="auto"/>
              </w:rPr>
              <w:t>113,649</w:t>
            </w:r>
          </w:p>
        </w:tc>
        <w:tc>
          <w:tcPr>
            <w:tcW w:w="12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78,099</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compensation assets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38,032</w:t>
            </w:r>
          </w:p>
        </w:tc>
        <w:tc>
          <w:tcPr>
            <w:tcW w:w="12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7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235,122</w:t>
            </w:r>
          </w:p>
        </w:tc>
        <w:tc>
          <w:tcPr>
            <w:tcW w:w="120" w:type="dxa"/>
            <w:vAlign w:val="bottom"/>
            <w:tcBorders>
              <w:bottom w:val="single" w:sz="8" w:color="CFF0FC"/>
            </w:tcBorders>
            <w:shd w:val="clear" w:color="auto" w:fill="CFF0FC"/>
          </w:tcPr>
          <w:p>
            <w:pPr>
              <w:spacing w:after="0"/>
              <w:rPr>
                <w:sz w:val="23"/>
                <w:szCs w:val="23"/>
                <w:color w:val="auto"/>
              </w:rPr>
            </w:pPr>
          </w:p>
        </w:tc>
        <w:tc>
          <w:tcPr>
            <w:tcW w:w="24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229,780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4"/>
          </w:tcPr>
          <w:p>
            <w:pPr>
              <w:spacing w:after="0" w:line="176" w:lineRule="exact"/>
              <w:rPr>
                <w:sz w:val="20"/>
                <w:szCs w:val="20"/>
                <w:color w:val="auto"/>
              </w:rPr>
            </w:pPr>
            <w:r>
              <w:rPr>
                <w:rFonts w:ascii="Arial" w:cs="Arial" w:eastAsia="Arial" w:hAnsi="Arial"/>
                <w:sz w:val="18"/>
                <w:szCs w:val="18"/>
                <w:color w:val="auto"/>
              </w:rPr>
              <w:t>Liabilities: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5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38,032</w:t>
            </w:r>
          </w:p>
        </w:tc>
        <w:tc>
          <w:tcPr>
            <w:tcW w:w="120" w:type="dxa"/>
            <w:vAlign w:val="bottom"/>
            <w:tcBorders>
              <w:bottom w:val="single" w:sz="8" w:color="CFF0FC"/>
            </w:tcBorders>
            <w:shd w:val="clear" w:color="auto" w:fill="CFF0FC"/>
          </w:tcPr>
          <w:p>
            <w:pPr>
              <w:spacing w:after="0"/>
              <w:rPr>
                <w:sz w:val="21"/>
                <w:szCs w:val="21"/>
                <w:color w:val="auto"/>
              </w:rPr>
            </w:pPr>
          </w:p>
        </w:tc>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38,032</w:t>
            </w: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-2593975</wp:posOffset>
            </wp:positionV>
            <wp:extent cx="372491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24910" cy="17970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-2259965</wp:posOffset>
            </wp:positionV>
            <wp:extent cx="68580" cy="342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-2259965</wp:posOffset>
            </wp:positionV>
            <wp:extent cx="68580" cy="342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-2259965</wp:posOffset>
            </wp:positionV>
            <wp:extent cx="76835" cy="958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958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958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9588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-521970</wp:posOffset>
            </wp:positionV>
            <wp:extent cx="372491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24910" cy="17970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-187960</wp:posOffset>
            </wp:positionV>
            <wp:extent cx="7683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-187960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fair value of our money market mutual funds, certificates of deposit and equity securities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interest rate swaps 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based on quotes from our counter parties. The fair value of our foreign currency exchange contracts is determined using quoted forward exchange rates and spot rates at the reporting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and General Liability, Workers’ Compensation Liability</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vast majority of our subsidiaries are self-insured for professional and general liability exposure up to: (i) $20 million for professional liability and $3 million for general liability per occurrence in 2023, 2022 and 2021; (ii) $10 million and $3 million per occurrence in 2020; (iii) $5 million and $3 million per occurrence, respectively, during 2019, 2018 and 2017, and; (iv) $10 million and $3 million per occurrence, respectively, prior to 2017.</w:t>
      </w:r>
    </w:p>
    <w:p>
      <w:pPr>
        <w:spacing w:after="0" w:line="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approximately $165 million in 2023; $162 million in 2022; $155 million in 2021 and $250 million during each of 2014 through 2020. 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£16 million of professional liability coverage, and £25 million of general liability coverage.</w:t>
      </w:r>
    </w:p>
    <w:p>
      <w:pPr>
        <w:spacing w:after="0" w:line="8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September 30, 2023, the total net accrual for our professional and general liability claims was $429 million, of which $55 million was included in current liabilities. As of December 31, 2022, the total net accrual for our professional and general liability claims was $372 million, of which $74 million was included in current liabilities.</w:t>
      </w:r>
    </w:p>
    <w:p>
      <w:pPr>
        <w:spacing w:after="0" w:line="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 result of unfavorable trends experienced during the last three years, our results of operations included pre-tax increases to our reserves for self-insured professional and general liability claims amounting to approximately $25 million during the first nine months of 2023 ($20 million and $5 million recorded during the second and third quarters of 2023, respectively), $16 million during the full year of 2022 and $52 million during the full year of 2021.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 While we continuously monitor these factors, our ultimate liability for professional and general liability claims could change materially from our current estimates due to inherent uncertainties involved in making this estimate. Given our significant self-insured exposure for professional and general liability claims, there can be no assurance that a sharp increase in the number and/or severity of claims asserted against us will not have a material adverse effect on our future results of operations.</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September 30, 2023, the total accrual for our workers’ compensation liability claims was $127 million, $55 million of which was included in current liabilities. As of December 31, 2022, the total accrual for our workers’ compensation liability claims was $125 million, $55 million of which was included in current liabilities. As a result of favorable trends recently experienced, included in our results of operations during the first nine months of 2023, was a pre-tax decrease to our reserves for self-insured workers' compensation liability claims of approximately $10 million (recorded during the second quarter of 2023).</w:t>
      </w:r>
    </w:p>
    <w:p>
      <w:pPr>
        <w:spacing w:after="0" w:line="8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Insurance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commercial property insurance policies for our properties providing property damage and time element coverage up to a $1 billion policy limit for certain perils. These policies also include coverage for catastrophic losses including, but not limited to, $250 million in the annual aggregate of windstorm damage subject to a per occurrence/per location deductible of $5 million as of June 1, 2023.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 (i) $100 million limitation for our facilities located in California, New Madrid Seismic Zone, Pacific Northwest Seismic Zone, Alaska and various counties in Nevada; (ii) $100 million limitation for our facilities located in fault zones within the United States; (iii) $40 million limitation for our facilities located in Puerto Rico, and; (iv) $250 million limitation for many of our facilities located in other states. Our commercially insured flood coverage has a limit of $100 million annually. There is also a $10 million sublimit for one of our facilities located in Houston, Texas, and a $1 million sublimit for our facilities located in Puerto Rico. Property insurance for our behavioral health facilities located in the U.K. are provided on an all risk basis up to a £1.5 billion policy limit, with coverage caps per location, that includes coverage for real and personal property as well as business interruption losses.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Commitment to Develop, Lease and Operate an Acute Care Hospital in Washington, D.C.</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$152 million of which was incurred as of September 30, 2023, which will be entirely funded by the District. Construction of the District Facilities is expected to be completed during 2025.</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spacing w:after="0" w:line="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Additionally, we have committed to expend no less than $75 million,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Legislation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Certain legal matters are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Knight v. Miller, et. al.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July 2021, a shareholder derivative lawsuit was filed by plaintiff, Robin Knight, in the Chancery Court in Delaware against the members of the Board of Directors of the Company as well as certain officers (C.A. No.: 2021-0581-SG). The Company was named as a nominal defendant. The lawsuit alleges that in March 2020 stock options were awarded with exercise prices that did not reflect the Company’s fundamentals and business prospects, and in anticipation of future market rebound resulting in excessive gains. The lawsuit makes claims of breaches of fiduciary duties, waste of corporate assets, and unjust enrichment. The lawsuit seeks monetary damages allegedly incurred by the Company, disgorgement of the March 2020 stock awards as well as any proceeds derived therefrom and unspecified equitable relief. Defendants deny the allegations. We filed a motion to dismiss the complaint and the court granted part and denied part of our motion. During the third quarter of 2022, we reached a preliminary settlement, which would not have had a material impact on our consolidated financial statements. The settlement required court approval which the court declined to provide. Our Board of Directors has authorized the formation of a Special Litigation Committee to review the matter and determine whether it is in the best interests of the Company to pursue this claim. The court has stayed the litigation until March 31, 2024 while the Special Litigation Committee conducts their review. We are uncertain as to potential liability or financial exposure, if any, which may be associated with this matter.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Disproportionate Share Hospital Payment Matter:</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late September, 2015, many hospitals in Pennsylvania, including certain of our behavioral health care hospitals located in the state, received letters from the Pennsylvania Department of Human Services (the “Department”) demanding repayment of allegedly excess Medicaid Disproportionate Share Hospital payments (“DSH”), primarily consisting of managed care payments characterized as DSH payments, for the federal fiscal year (“FFY”) 2011 amounting to approximately $4 million in the aggregate. Since that time, certain of our behavioral health care hospitals in Pennsylvania have received similar requests for repayment for alleged DSH overpayments for FFYs 2012 through 2015. For FFY 2012, the claimed overpayment amounts to approximately $4 million. For FY 2013, FY 2014 and FY 2015 the initial claimed overpayments and attempted recoupment by the Department were approximately $7 million, $8 million and $7 million, respectively. The Department has agreed to a change in methodology which, upon confirmation of the underlying data being accepted by the Department, could reduce the initial claimed overpayments for FY 2013, FY 2014 and FY 2015 to approximately $2 million, $2 million and $3 million, respectively. We filed administrative appeals for all of our facilities contesting the recoupment efforts for FFYs 2011 through 2015 as we believe the Department’s calculation methodology is inaccurate and conflicts with applicable federal and state laws and regulations. The Department has agreed to postpone the recoupment of the state’s share for FY 2011 to 2013 until all hospital appeals are resolved but started recoupment of the federal share. For FY 2014 and FY 2015, the Department has initiated the recoupment of the alleged overpayments. Starting in FY 2016, the first full fiscal year after the January 1, 2015 effective date of Medicaid expansion in Pennsylvania, the Department no longer characterized managed care payments received by the hospitals as DSH payments. We can provide no assurance that we will ultimately be successful in our legal and administrative appeals related to the Department’s repayment demands. If our legal and administrative appeals are unsuccessful, our future consolidated results of operations and financial condition could be adversely impacted by these repayments.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 (vii) there is a wide range of potential outcomes. It is possible that the outcome of these matters could have a material adverse impact on our future results of operations, financial position, cash flows and, potentially, our reputation.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Reporting</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reportable operating segments consist of acute care hospital services and behavioral health care services. The “Other” segment column below includes centralized services including, but not limited to, information technology, purchasing, reimbursement, accounting and finance, taxation, legal, advertising and design and construction. The chief operating decision making group for our acute care services and behavioral health care services is comprised of our Chief Executive Officer and the Presidents of each operating segment. The Presidents for each operating segment also manage the profitability of each respective segment’s various facilities. The operating segments are managed separately because each operating segment represents a business unit that offers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spacing w:after="0" w:line="275" w:lineRule="auto"/>
        <w:rPr>
          <w:sz w:val="20"/>
          <w:szCs w:val="20"/>
          <w:color w:val="auto"/>
        </w:rPr>
      </w:pPr>
      <w:r>
        <w:rPr>
          <w:rFonts w:ascii="Arial" w:cs="Arial" w:eastAsia="Arial" w:hAnsi="Arial"/>
          <w:sz w:val="17"/>
          <w:szCs w:val="17"/>
          <w:color w:val="auto"/>
        </w:rPr>
        <w:t>different types of healthcare services or operates in different healthcare environments. The accounting policies of the operating segments are the same as those described in the summary of significant accounting policies included in our Annual Report on Form 10-K for the year ended December 31, 2022. The corporate overhead allocations, as reflected below, are utilized for internal reporting purposes and are comprised of each period’s projected corporate-level operating expenses (excluding interest expense). The overhead expenses are captured and allocated directly to each segment, to the extent possible, based upon each segment’s respective percentage of total operating expenses.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3"/>
                <w:szCs w:val="13"/>
                <w:b w:val="1"/>
                <w:bCs w:val="1"/>
                <w:color w:val="auto"/>
                <w:w w:val="92"/>
              </w:rPr>
              <w:t>Three months ended September 30, 2023</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96"/>
              </w:rPr>
              <w:t>Acute Care</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6"/>
              </w:rPr>
              <w:t>Behavioral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3"/>
                <w:szCs w:val="13"/>
                <w:b w:val="1"/>
                <w:bCs w:val="1"/>
                <w:color w:val="auto"/>
                <w:w w:val="97"/>
              </w:rPr>
              <w:t>Hospital</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3"/>
                <w:szCs w:val="13"/>
                <w:b w:val="1"/>
                <w:bCs w:val="1"/>
                <w:color w:val="auto"/>
              </w:rPr>
              <w:t>Health</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r>
      <w:tr>
        <w:trPr>
          <w:trHeight w:val="174"/>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5"/>
              </w:rPr>
              <w:t>Services</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3"/>
              </w:rPr>
              <w:t>Services (a)</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5"/>
                <w:szCs w:val="15"/>
                <w:color w:val="auto"/>
              </w:rPr>
            </w:pPr>
          </w:p>
        </w:tc>
      </w:tr>
      <w:tr>
        <w:trPr>
          <w:trHeight w:val="169"/>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3"/>
                <w:szCs w:val="13"/>
                <w:color w:val="auto"/>
                <w:w w:val="94"/>
              </w:rPr>
              <w:t>(Dollar amounts in thousands)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inpatient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10,916,060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2,703,478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13,619,538</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Gross outpatient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7,480,353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259,060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7,739,413</w:t>
            </w:r>
          </w:p>
        </w:tc>
        <w:tc>
          <w:tcPr>
            <w:tcW w:w="100" w:type="dxa"/>
            <w:vAlign w:val="bottom"/>
          </w:tcPr>
          <w:p>
            <w:pPr>
              <w:spacing w:after="0"/>
              <w:rPr>
                <w:sz w:val="19"/>
                <w:szCs w:val="19"/>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net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2,017,288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1,542,695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3,562,774</w:t>
            </w:r>
          </w:p>
        </w:tc>
        <w:tc>
          <w:tcPr>
            <w:tcW w:w="100" w:type="dxa"/>
            <w:vAlign w:val="bottom"/>
            <w:shd w:val="clear" w:color="auto" w:fill="CFF0FC"/>
          </w:tcPr>
          <w:p>
            <w:pPr>
              <w:spacing w:after="0"/>
              <w:rPr>
                <w:sz w:val="20"/>
                <w:szCs w:val="20"/>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7"/>
                <w:szCs w:val="17"/>
                <w:color w:val="auto"/>
              </w:rPr>
              <w:t>Income/(loss) before allocation of corporate overhead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7"/>
                <w:szCs w:val="17"/>
                <w:color w:val="auto"/>
              </w:rPr>
              <w:t>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132,406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262,168</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(174,067 )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220,507</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Allocation of corporate overhead</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(66,355 )</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(46,677 )</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113,032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FF0FC"/>
          </w:tcPr>
          <w:p>
            <w:pPr>
              <w:spacing w:after="0"/>
              <w:rPr>
                <w:sz w:val="20"/>
                <w:szCs w:val="20"/>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7"/>
                <w:szCs w:val="17"/>
                <w:color w:val="auto"/>
              </w:rPr>
              <w:t>Income/(loss) after allocation of corporate overhead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7"/>
                <w:szCs w:val="17"/>
                <w:color w:val="auto"/>
              </w:rPr>
              <w:t>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66,051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215,491</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(61,035 )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220,507</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assets as of September 30, 2023</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6,252,434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7,372,995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248,041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13,873,470</w:t>
            </w:r>
          </w:p>
        </w:tc>
        <w:tc>
          <w:tcPr>
            <w:tcW w:w="100" w:type="dxa"/>
            <w:vAlign w:val="bottom"/>
            <w:shd w:val="clear" w:color="auto" w:fill="CFF0FC"/>
          </w:tcPr>
          <w:p>
            <w:pPr>
              <w:spacing w:after="0"/>
              <w:rPr>
                <w:sz w:val="20"/>
                <w:szCs w:val="20"/>
                <w:color w:val="auto"/>
              </w:rPr>
            </w:pPr>
          </w:p>
        </w:tc>
      </w:tr>
      <w:tr>
        <w:trPr>
          <w:trHeight w:val="445"/>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2"/>
              </w:rPr>
              <w:t>Nine months ended September 30, 2023</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96"/>
              </w:rPr>
              <w:t>Acute Care</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6"/>
              </w:rPr>
              <w:t>Behavioral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3"/>
                <w:szCs w:val="13"/>
                <w:b w:val="1"/>
                <w:bCs w:val="1"/>
                <w:color w:val="auto"/>
                <w:w w:val="97"/>
              </w:rPr>
              <w:t>Hospital</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3"/>
                <w:szCs w:val="13"/>
                <w:b w:val="1"/>
                <w:bCs w:val="1"/>
                <w:color w:val="auto"/>
              </w:rPr>
              <w:t>Health</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r>
      <w:tr>
        <w:trPr>
          <w:trHeight w:val="174"/>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5"/>
              </w:rPr>
              <w:t>Services</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3"/>
              </w:rPr>
              <w:t>Services (a)</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5"/>
                <w:szCs w:val="15"/>
                <w:color w:val="auto"/>
              </w:rPr>
            </w:pPr>
          </w:p>
        </w:tc>
      </w:tr>
      <w:tr>
        <w:trPr>
          <w:trHeight w:val="165"/>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3"/>
                <w:szCs w:val="13"/>
                <w:color w:val="auto"/>
                <w:w w:val="94"/>
              </w:rPr>
              <w:t>(Dollar amounts in thousands)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7"/>
                <w:szCs w:val="17"/>
                <w:color w:val="auto"/>
              </w:rPr>
              <w:t>Gross inpatient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33,278,396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8,001,838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41,280,234</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outpatient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22,292,249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812,467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23,104,716</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5,993,899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4,575,378</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9,153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10,578,430</w:t>
            </w:r>
          </w:p>
        </w:tc>
        <w:tc>
          <w:tcPr>
            <w:tcW w:w="100" w:type="dxa"/>
            <w:vAlign w:val="bottom"/>
          </w:tcPr>
          <w:p>
            <w:pPr>
              <w:spacing w:after="0"/>
              <w:rPr>
                <w:sz w:val="19"/>
                <w:szCs w:val="19"/>
                <w:color w:val="auto"/>
              </w:rPr>
            </w:pPr>
          </w:p>
        </w:tc>
      </w:tr>
      <w:tr>
        <w:trPr>
          <w:trHeight w:val="205"/>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Income/(loss) before allocation of corporate overhead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396,229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792,217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(529,143 )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659,303</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Allocation of corporate overhead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(199,943 )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(139,998 )</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339,941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9"/>
                <w:szCs w:val="19"/>
                <w:color w:val="auto"/>
              </w:rPr>
            </w:pPr>
          </w:p>
        </w:tc>
      </w:tr>
      <w:tr>
        <w:trPr>
          <w:trHeight w:val="205"/>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Income/(loss) after allocation of corporate overhead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before 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196,286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652,219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(189,202 )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659,303</w:t>
            </w:r>
          </w:p>
        </w:tc>
        <w:tc>
          <w:tcPr>
            <w:tcW w:w="100" w:type="dxa"/>
            <w:vAlign w:val="bottom"/>
            <w:shd w:val="clear" w:color="auto" w:fill="CFF0FC"/>
          </w:tcPr>
          <w:p>
            <w:pPr>
              <w:spacing w:after="0"/>
              <w:rPr>
                <w:sz w:val="20"/>
                <w:szCs w:val="20"/>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7"/>
                <w:szCs w:val="17"/>
                <w:color w:val="auto"/>
              </w:rPr>
              <w:t>Total assets as of September 30, 2023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6,252,434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7,372,995</w:t>
            </w:r>
          </w:p>
        </w:tc>
        <w:tc>
          <w:tcPr>
            <w:tcW w:w="2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248,041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13,873,470</w:t>
            </w:r>
          </w:p>
        </w:tc>
        <w:tc>
          <w:tcPr>
            <w:tcW w:w="100" w:type="dxa"/>
            <w:vAlign w:val="bottom"/>
          </w:tcPr>
          <w:p>
            <w:pPr>
              <w:spacing w:after="0"/>
              <w:rPr>
                <w:sz w:val="18"/>
                <w:szCs w:val="18"/>
                <w:color w:val="auto"/>
              </w:rPr>
            </w:pPr>
          </w:p>
        </w:tc>
      </w:tr>
      <w:tr>
        <w:trPr>
          <w:trHeight w:val="458"/>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3"/>
                <w:szCs w:val="13"/>
                <w:b w:val="1"/>
                <w:bCs w:val="1"/>
                <w:color w:val="auto"/>
                <w:w w:val="92"/>
              </w:rPr>
              <w:t>Three months ended September 30, 2022</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96"/>
              </w:rPr>
              <w:t>Acute Care</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6"/>
              </w:rPr>
              <w:t>Behavioral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3"/>
                <w:szCs w:val="13"/>
                <w:b w:val="1"/>
                <w:bCs w:val="1"/>
                <w:color w:val="auto"/>
                <w:w w:val="97"/>
              </w:rPr>
              <w:t>Hospital</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3"/>
                <w:szCs w:val="13"/>
                <w:b w:val="1"/>
                <w:bCs w:val="1"/>
                <w:color w:val="auto"/>
              </w:rPr>
              <w:t>Health</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r>
      <w:tr>
        <w:trPr>
          <w:trHeight w:val="174"/>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5"/>
              </w:rPr>
              <w:t>Services</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3"/>
              </w:rPr>
              <w:t>Services (a)</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5"/>
                <w:szCs w:val="15"/>
                <w:color w:val="auto"/>
              </w:rPr>
            </w:pPr>
          </w:p>
        </w:tc>
      </w:tr>
      <w:tr>
        <w:trPr>
          <w:trHeight w:val="169"/>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3"/>
                <w:szCs w:val="13"/>
                <w:color w:val="auto"/>
                <w:w w:val="94"/>
              </w:rPr>
              <w:t>(Dollar amounts in thousands)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inpatient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9,875,794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2,582,448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12,458,242</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Gross outpatient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6,379,324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248,167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6,627,491</w:t>
            </w:r>
          </w:p>
        </w:tc>
        <w:tc>
          <w:tcPr>
            <w:tcW w:w="100" w:type="dxa"/>
            <w:vAlign w:val="bottom"/>
          </w:tcPr>
          <w:p>
            <w:pPr>
              <w:spacing w:after="0"/>
              <w:rPr>
                <w:sz w:val="19"/>
                <w:szCs w:val="19"/>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net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1,919,678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1,434,828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(18,479 )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3,336,027</w:t>
            </w:r>
          </w:p>
        </w:tc>
        <w:tc>
          <w:tcPr>
            <w:tcW w:w="100" w:type="dxa"/>
            <w:vAlign w:val="bottom"/>
            <w:shd w:val="clear" w:color="auto" w:fill="CFF0FC"/>
          </w:tcPr>
          <w:p>
            <w:pPr>
              <w:spacing w:after="0"/>
              <w:rPr>
                <w:sz w:val="20"/>
                <w:szCs w:val="20"/>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7"/>
                <w:szCs w:val="17"/>
                <w:color w:val="auto"/>
              </w:rPr>
              <w:t>Income/(loss) before allocation of corporate overhead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7"/>
                <w:szCs w:val="17"/>
                <w:color w:val="auto"/>
              </w:rPr>
              <w:t>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129,241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237,949</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(132,978 )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234,212</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Allocation of corporate overhead</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(63,242 )</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(44,882 )</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108,124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FF0FC"/>
          </w:tcPr>
          <w:p>
            <w:pPr>
              <w:spacing w:after="0"/>
              <w:rPr>
                <w:sz w:val="20"/>
                <w:szCs w:val="20"/>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7"/>
                <w:szCs w:val="17"/>
                <w:color w:val="auto"/>
              </w:rPr>
              <w:t>Income/(loss) after allocation of corporate overhead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7"/>
                <w:szCs w:val="17"/>
                <w:color w:val="auto"/>
              </w:rPr>
              <w:t>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65,999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193,067</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(24,854 )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234,212</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assets as of September 30, 2022</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6,039,787</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7,336,437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13,378,900</w:t>
            </w:r>
          </w:p>
        </w:tc>
        <w:tc>
          <w:tcPr>
            <w:tcW w:w="100" w:type="dxa"/>
            <w:vAlign w:val="bottom"/>
            <w:shd w:val="clear" w:color="auto" w:fill="CFF0FC"/>
          </w:tcPr>
          <w:p>
            <w:pPr>
              <w:spacing w:after="0"/>
              <w:rPr>
                <w:sz w:val="20"/>
                <w:szCs w:val="20"/>
                <w:color w:val="auto"/>
              </w:rPr>
            </w:pPr>
          </w:p>
        </w:tc>
      </w:tr>
      <w:tr>
        <w:trPr>
          <w:trHeight w:val="445"/>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2"/>
              </w:rPr>
              <w:t>Nine months ended September 30, 2022</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96"/>
              </w:rPr>
              <w:t>Acute Care</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6"/>
              </w:rPr>
              <w:t>Behavioral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3"/>
                <w:szCs w:val="13"/>
                <w:b w:val="1"/>
                <w:bCs w:val="1"/>
                <w:color w:val="auto"/>
                <w:w w:val="97"/>
              </w:rPr>
              <w:t>Hospital</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3"/>
                <w:szCs w:val="13"/>
                <w:b w:val="1"/>
                <w:bCs w:val="1"/>
                <w:color w:val="auto"/>
              </w:rPr>
              <w:t>Health</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r>
      <w:tr>
        <w:trPr>
          <w:trHeight w:val="174"/>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5"/>
              </w:rPr>
              <w:t>Services</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3"/>
              </w:rPr>
              <w:t>Services (a)</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5"/>
                <w:szCs w:val="15"/>
                <w:color w:val="auto"/>
              </w:rPr>
            </w:pPr>
          </w:p>
        </w:tc>
      </w:tr>
      <w:tr>
        <w:trPr>
          <w:trHeight w:val="165"/>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3"/>
                <w:szCs w:val="13"/>
                <w:color w:val="auto"/>
                <w:w w:val="94"/>
              </w:rPr>
              <w:t>(Dollar amounts in thousands)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7"/>
                <w:szCs w:val="17"/>
                <w:color w:val="auto"/>
              </w:rPr>
              <w:t>Gross inpatient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29,821,756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7,580,475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37,402,231</w:t>
            </w:r>
          </w:p>
        </w:tc>
        <w:tc>
          <w:tcPr>
            <w:tcW w:w="100" w:type="dxa"/>
            <w:vAlign w:val="bottom"/>
          </w:tcPr>
          <w:p>
            <w:pPr>
              <w:spacing w:after="0"/>
              <w:rPr>
                <w:sz w:val="19"/>
                <w:szCs w:val="19"/>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outpatient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18,360,902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773,769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19,134,671</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5,707,510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4,235,215</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9,665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9,952,390</w:t>
            </w:r>
          </w:p>
        </w:tc>
        <w:tc>
          <w:tcPr>
            <w:tcW w:w="100" w:type="dxa"/>
            <w:vAlign w:val="bottom"/>
          </w:tcPr>
          <w:p>
            <w:pPr>
              <w:spacing w:after="0"/>
              <w:rPr>
                <w:sz w:val="19"/>
                <w:szCs w:val="19"/>
                <w:color w:val="auto"/>
              </w:rPr>
            </w:pPr>
          </w:p>
        </w:tc>
      </w:tr>
      <w:tr>
        <w:trPr>
          <w:trHeight w:val="205"/>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Income/(loss) before allocation of corporate overhead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372,981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693,694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(422,750 )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643,925</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Allocation of corporate overhead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(188,739 )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(134,946 )</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323,685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9"/>
                <w:szCs w:val="19"/>
                <w:color w:val="auto"/>
              </w:rPr>
            </w:pPr>
          </w:p>
        </w:tc>
      </w:tr>
      <w:tr>
        <w:trPr>
          <w:trHeight w:val="205"/>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Income/(loss) after allocation of corporate overhead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before 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184,242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558,748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(99,065 )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643,925</w:t>
            </w:r>
          </w:p>
        </w:tc>
        <w:tc>
          <w:tcPr>
            <w:tcW w:w="100" w:type="dxa"/>
            <w:vAlign w:val="bottom"/>
            <w:shd w:val="clear" w:color="auto" w:fill="CFF0FC"/>
          </w:tcPr>
          <w:p>
            <w:pPr>
              <w:spacing w:after="0"/>
              <w:rPr>
                <w:sz w:val="20"/>
                <w:szCs w:val="20"/>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7"/>
                <w:szCs w:val="17"/>
                <w:color w:val="auto"/>
              </w:rPr>
              <w:t>Total assets as of September 30, 2022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6,039,787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7,336,437</w:t>
            </w:r>
          </w:p>
        </w:tc>
        <w:tc>
          <w:tcPr>
            <w:tcW w:w="2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2,676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13,378,900</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left="760" w:right="100" w:hanging="378"/>
        <w:spacing w:after="0" w:line="29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net revenues generated from our behavioral health care facilities located in the U.K. amounting to approximately $203 million and $167 million for the three-month periods ended September 30, 2023 and 2022, respectively, and approximately $561 million and $516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0" w:name="page21"/>
    <w:bookmarkEnd w:id="20"/>
    <w:p>
      <w:pPr>
        <w:ind w:left="760" w:right="900" w:firstLine="40"/>
        <w:spacing w:after="0" w:line="292" w:lineRule="auto"/>
        <w:rPr>
          <w:sz w:val="20"/>
          <w:szCs w:val="20"/>
          <w:color w:val="auto"/>
        </w:rPr>
      </w:pPr>
      <w:r>
        <w:rPr>
          <w:rFonts w:ascii="Arial" w:cs="Arial" w:eastAsia="Arial" w:hAnsi="Arial"/>
          <w:sz w:val="16"/>
          <w:szCs w:val="16"/>
          <w:color w:val="auto"/>
        </w:rPr>
        <w:t>million for the nine-month periods ended September 30, 2023 and 2022, respectively. Total assets at our U.K. behavioral health care facilities were approximately $1.260 billion and $1.119 billion as of September 30, 2023 and 2022,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Data (“EPS”) and Stock Based Compensation</w:t>
      </w:r>
    </w:p>
    <w:p>
      <w:pPr>
        <w:spacing w:after="0" w:line="121"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Basic earnings per share are based on the weighted average number of common shares outstanding during the period. Diluted earnings per share are based on the weighted average number of common shares outstanding during the period adjusted to give effect to common stock equivalents.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earnings per share for the periods indicated (in thousands, except per share data):</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UHS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166,989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501,417</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500,789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Less: Net income attributable to unvested restricted share</w:t>
            </w:r>
          </w:p>
        </w:tc>
        <w:tc>
          <w:tcPr>
            <w:tcW w:w="2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(52 )</w:t>
            </w:r>
          </w:p>
        </w:tc>
        <w:tc>
          <w:tcPr>
            <w:tcW w:w="34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(179 )</w:t>
            </w:r>
          </w:p>
        </w:tc>
        <w:tc>
          <w:tcPr>
            <w:tcW w:w="24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(242 )</w:t>
            </w:r>
          </w:p>
        </w:tc>
        <w:tc>
          <w:tcPr>
            <w:tcW w:w="360" w:type="dxa"/>
            <w:vAlign w:val="bottom"/>
          </w:tcPr>
          <w:p>
            <w:pPr>
              <w:spacing w:after="0"/>
              <w:rPr>
                <w:sz w:val="18"/>
                <w:szCs w:val="18"/>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grants</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UHS – basic and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166,937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182,635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501,175</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500,197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 basic</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Net effect of dilutive stock options and grants based on the</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treasury stock method</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w:t>
            </w:r>
          </w:p>
        </w:tc>
        <w:tc>
          <w:tcPr>
            <w:tcW w:w="2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69,624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73,060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70,650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equivalents - diluted</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Earnings per basic share attributable to UHS: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per diluted share attributable to UHS: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-1275080</wp:posOffset>
            </wp:positionV>
            <wp:extent cx="242316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23160" cy="17970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-384810</wp:posOffset>
            </wp:positionV>
            <wp:extent cx="242316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3160" cy="20574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“Net effect of dilutive stock options and grants based on the treasury stock method”, for all periods presented above, excludes certain outstanding stock options applicable to each period since the effect would have been anti-dilutive. The excluded weighted-average stock options totaled 5.0 million for the three months ended September 30, 2023 and 5.1 million for the nine months ended September 30, 2023. The excluded weighted-average stock options totaled 6.7 million for the three months ended September 30, 2022 and 6.0 million for the nine months ended September 30, 2022. All classes of our common stock have the same dividend rights.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During the three-month periods ended September 30, 2023 and 2022, pre-tax compensation costs of $16.2 million and $15.8 million, respectively, was recognized related to outstanding stock options. During the nine-month periods ended September 30, 2023 and 2022, pre-tax compensation costs of $48.3 million and $48.6 million, respectively, was recognized related to outstanding stock options. In addition, during the three-month periods ended September 30, 2023 and 2022, pre-tax compensation cost of approximately $6.1 million and $4.9 million, respectively, was recognized related to restricted stock awards, restricted stock units and performance based restricted stock units. During the nine-month periods ended September 30, 2023 and 2022, pre-tax compensation cost of approximately $16.4 million and $13.0 million, respectively, was recognized related to restricted stock awards, restricted stock units and performance based restricted stock units. As of September 30, 2023 there was approximately $180.9 million of unrecognized compensation cost related to unvested options, restricted stock awards, restricted stock units and performance based restricted stock units which is expected to be recognized over the remaining weighted average vesting period of 2.6 years. There were 1,899,756 stock options granted during the first nine months of 2023 with a weighted-average grant date fair value of $41.86 per option. There were an aggregate of 287,757 restricted units granted during the first nine months of 2023, including 93,606 performance based restricted stock units, with a weighted-average grant date fair value of $118.14 per share.</w:t>
      </w:r>
    </w:p>
    <w:p>
      <w:pPr>
        <w:spacing w:after="0" w:line="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expense associated with stock-based compensation arrangements is a non-cash charge. In the Condensed Consolidated Statements of Cash Flows, stock-based compensation expense is an adjustment to reconcile net income to cash provided by operating activities and aggregated to $65.7 million and $62.7 million during the nine-month periods ended September 30, 2023 and 2022.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Dispositions and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 ended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we spent $4 million on the acquisition of businesses and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we received $24 million from the sales of assets and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 ended September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nine months of 2022, we spent $19 million on the acquisition of businesses and property. In addition, we spent $51 million to acquire the 20% noncontrolling ownership interest in a hospital majority owned by us, located in Washington D.C.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2022, we received $12 million from the sales of assets and businesses.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declared and paid dividends of $13.8 million, or $.20 per share, during the third quarter of 2023 and $14.6 million, or $.20 per share, during the third quarter of 2022. We declared and paid dividends of $42.2 million, or $.60 per share, during the nine-month period ended September 30, 2023 and $44.2 million, or $.60 per share, during the nine-month period ended September 30, 2022. Included in the amounts above were dividend equivalents applicable to unvested restricted stock units which were accrued during 2023 and 2022 and will be, or were, paid upon vesting of the restricted stock unit.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effective income tax rates were 23.8% and 24.5% during the three-month periods ended September 30, 2023, and 2022, respectively, and 24.2% and 24.4% during the nine-month periods ended September 30, 2023, and 2022, respectively. The decrease in the effective tax rates during the three and nine-month periods ended September 30, 2023, as compared to the comparable periods of 2022, was primarily due to the increases in net income attributable to noncontrolling interests during the three and nine-month periods ended September 30, 2023, as compared to the comparable periods of 2022.</w:t>
      </w:r>
    </w:p>
    <w:p>
      <w:pPr>
        <w:spacing w:after="0" w:line="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global intangible low-taxed income (“GILTI”) provisions from the TCJA-17 require the inclusion of the earnings of certain foreign subsidiaries in excess of an acceptable rate of return on certain assets of the respective subsidiaries in our U.S. tax return for tax years beginning after December 31, 2017. An accounting policy election was made during 2018 to treat taxes related to GILTI as a period cost when the tax is incurred. We recorded a GILTI tax provision of zero for the nine months ended September 30, 2023 and 2022.</w:t>
      </w:r>
    </w:p>
    <w:p>
      <w:pPr>
        <w:spacing w:after="0" w:line="7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of January 1, 2023, our unrecognized tax benefits were approximately $2 million. The amount, if recognized, that would favorably affect the effective tax rate is approximately $2 million. During the nine months ended September 30, 2023, changes to the estimated liabilities for uncertain tax positions (including accrued interest) relating to tax positions taken during prior and current periods did not have a material impact on our financial statements.</w:t>
      </w:r>
    </w:p>
    <w:p>
      <w:pPr>
        <w:spacing w:after="0" w:line="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recognize accrued interest and penalties associated with uncertain tax positions as part of the tax provision. As of September 30, 2023, we have less than $1 million of accrued interest and penalties. The U.S. federal statute of limitations remains open for 2019 and subsequent years. Foreign and U.S. state and local jurisdictions have statutes of limitations generally ranging from 3 to 4 years. The statute of limitations on certain jurisdictions could expire within the next twelve months. It is reasonably possible that the amount of uncertain tax benefits will change during the next 12 months, however, it is anticipated that any such change, if it were to occur, would not have a material impact on our results of operations.</w:t>
      </w:r>
    </w:p>
    <w:p>
      <w:pPr>
        <w:spacing w:after="0" w:line="6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operate in multiple jurisdictions with varying tax laws. We are subject to audits by any of these taxing authorities. Our tax returns have been examined by the Internal Revenue Service (“IRS”) through the year ended December 31, 2006. We believe that adequate accruals have been provided for federal, foreign and state taxes.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Revenue</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6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Arial" w:cs="Arial" w:eastAsia="Arial" w:hAnsi="Arial"/>
          <w:sz w:val="18"/>
          <w:szCs w:val="18"/>
          <w:i w:val="1"/>
          <w:iCs w:val="1"/>
          <w:color w:val="auto"/>
        </w:rPr>
        <w:t>.</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our revenue by major source for the three and nine-month periods ended September 30, 2023 and 2022 (in thousands):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0"/>
          </w:tcPr>
          <w:p>
            <w:pPr>
              <w:ind w:left="100"/>
              <w:spacing w:after="0"/>
              <w:rPr>
                <w:sz w:val="20"/>
                <w:szCs w:val="20"/>
                <w:color w:val="auto"/>
              </w:rPr>
            </w:pPr>
            <w:r>
              <w:rPr>
                <w:rFonts w:ascii="Arial" w:cs="Arial" w:eastAsia="Arial" w:hAnsi="Arial"/>
                <w:sz w:val="16"/>
                <w:szCs w:val="16"/>
                <w:b w:val="1"/>
                <w:bCs w:val="1"/>
                <w:color w:val="auto"/>
                <w:w w:val="99"/>
              </w:rPr>
              <w:t>For the three months ended September 30, 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w w:val="96"/>
              </w:rPr>
              <w:t>Behavioral Health</w:t>
            </w:r>
          </w:p>
        </w:tc>
        <w:tc>
          <w:tcPr>
            <w:tcW w:w="3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Medicare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298,121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15 %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81,689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379,810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Medicare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324,486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419,580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405,302</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569,026</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Care (HMO and PPOs)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651,816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32 %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1,034,962</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UK Revenue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202,994</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Other patient revenue and adjustments,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129,492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238,168</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Other non-patient revenue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312,932</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6"/>
                <w:szCs w:val="16"/>
                <w:color w:val="auto"/>
              </w:rPr>
              <w:t>Total Net Revenue</w:t>
            </w: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2,017,288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100 %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1,542,695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100 %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2,791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3,562,774</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0"/>
          </w:tcPr>
          <w:p>
            <w:pPr>
              <w:ind w:left="140"/>
              <w:spacing w:after="0"/>
              <w:rPr>
                <w:sz w:val="20"/>
                <w:szCs w:val="20"/>
                <w:color w:val="auto"/>
              </w:rPr>
            </w:pPr>
            <w:r>
              <w:rPr>
                <w:rFonts w:ascii="Arial" w:cs="Arial" w:eastAsia="Arial" w:hAnsi="Arial"/>
                <w:sz w:val="16"/>
                <w:szCs w:val="16"/>
                <w:b w:val="1"/>
                <w:bCs w:val="1"/>
                <w:color w:val="auto"/>
                <w:w w:val="99"/>
              </w:rPr>
              <w:t>For the nine months ended September 30, 2023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w w:val="96"/>
              </w:rPr>
              <w:t>Behavioral Health</w:t>
            </w:r>
          </w:p>
        </w:tc>
        <w:tc>
          <w:tcPr>
            <w:tcW w:w="3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Medicare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961,640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233,930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1,195,570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Medicare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1,013,493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255,782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1,269,275</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445,678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625,956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1,071,634</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545,173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1,184,315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1,729,488</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Care (HMO and PPOs)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2,009,110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1,160,820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3,169,930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UK Revenue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560,897</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Other patient revenue and adjustments,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303,923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691,250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Other non-patient revenue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9,153</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890,386</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6"/>
                <w:szCs w:val="16"/>
                <w:color w:val="auto"/>
              </w:rPr>
              <w:t>Total Net Revenue</w:t>
            </w: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5,993,899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100 %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4,575,378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100 %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9,153</w:t>
            </w:r>
          </w:p>
        </w:tc>
        <w:tc>
          <w:tcPr>
            <w:tcW w:w="4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10,578,430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6"/>
                <w:szCs w:val="16"/>
                <w:b w:val="1"/>
                <w:bCs w:val="1"/>
                <w:color w:val="auto"/>
                <w:w w:val="92"/>
              </w:rPr>
              <w:t>For the three months ended September 30, 2022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w w:val="96"/>
              </w:rPr>
              <w:t>Behavioral Health</w:t>
            </w:r>
          </w:p>
        </w:tc>
        <w:tc>
          <w:tcPr>
            <w:tcW w:w="3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Medicare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314,785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86,125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400,910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Medicare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305,239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383,793</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396,312</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373,456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587,179</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Care (HMO and PPOs)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33 %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363,442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995,112</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UK Revenue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166,843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166,843</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Other patient revenue and adjustments,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154,396</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Other non-patient revenue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(18,479 )</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251,482</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6"/>
                <w:szCs w:val="16"/>
                <w:color w:val="auto"/>
              </w:rPr>
              <w:t>Total Net Revenue</w:t>
            </w: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1,919,678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100 %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1,434,828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100 %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(18,479 )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3,336,027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0"/>
          </w:tcPr>
          <w:p>
            <w:pPr>
              <w:ind w:left="140"/>
              <w:spacing w:after="0"/>
              <w:rPr>
                <w:sz w:val="20"/>
                <w:szCs w:val="20"/>
                <w:color w:val="auto"/>
              </w:rPr>
            </w:pPr>
            <w:r>
              <w:rPr>
                <w:rFonts w:ascii="Arial" w:cs="Arial" w:eastAsia="Arial" w:hAnsi="Arial"/>
                <w:sz w:val="16"/>
                <w:szCs w:val="16"/>
                <w:b w:val="1"/>
                <w:bCs w:val="1"/>
                <w:color w:val="auto"/>
                <w:w w:val="99"/>
              </w:rPr>
              <w:t>For the nine months ended September 30, 2022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w w:val="96"/>
              </w:rPr>
              <w:t>Behavioral Health</w:t>
            </w:r>
          </w:p>
        </w:tc>
        <w:tc>
          <w:tcPr>
            <w:tcW w:w="3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Medicare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970,060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17 %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248,987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1,219,047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Medicare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944,072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213,281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1,157,353</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540,590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554,970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1,095,560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Medicaid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1,071,792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1,619,244</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Managed Care (HMO and PPOs)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1,898,040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33 %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1,104,658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26 %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3,002,698</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UK Revenue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516,166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516,166</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color w:val="auto"/>
              </w:rPr>
              <w:t>Other patient revenue and adjustments,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9 %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567,357</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Other non-patient revenue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774,965</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6"/>
                <w:szCs w:val="16"/>
                <w:color w:val="auto"/>
              </w:rPr>
              <w:t>Total Net Revenue</w:t>
            </w: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5,707,510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100 %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4,235,215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100 %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9,665</w:t>
            </w:r>
          </w:p>
        </w:tc>
        <w:tc>
          <w:tcPr>
            <w:tcW w:w="4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9,952,390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 Accounting</w:t>
      </w:r>
    </w:p>
    <w:p>
      <w:pPr>
        <w:spacing w:after="0" w:line="12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spacing w:after="0" w:line="8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Five of our hospital facilities are held under operating leases with Universal Health Realty Income Trust with two leases expiring in 2026, two expiring in 2033 and one expiring in 2040 (see Note 2 for additional disclosure). We are also the lessee of the real property of certain facilities from unrelated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for the nine-month period ended September 30, 2023 and 2022 are as follows (in thousands):</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5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7560" w:type="dxa"/>
            <w:vAlign w:val="bottom"/>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7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96,922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93,153</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108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2,910</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50,940</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145,446</w:t>
            </w:r>
          </w:p>
        </w:tc>
        <w:tc>
          <w:tcPr>
            <w:tcW w:w="100" w:type="dxa"/>
            <w:vAlign w:val="bottom"/>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 Accounting Standards</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From time to time, new accounting guidance is issued by the FASB or other standard setting bodies that is adopted by the Company as of the effective date or, in some cases where early adoption is permitted, in advance of the effective date. The Company has assessed the recently issued guidance that is not yet effective and believes the new guidance will not have a material impact on our results of operations, cash flows or financial position.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principal business is owning and operating, through our subsidiaries, acute care hospitals and outpatient facilities and behavioral health care facilities.</w:t>
      </w:r>
    </w:p>
    <w:p>
      <w:pPr>
        <w:spacing w:after="0" w:line="1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2023, we owned and/or operated 358 inpatient facilities and 43 outpatient and other facilities including the following located in 39 states, Washington, D.C., the United Kingdom and Puerto Rico: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Acute care facilities located in the U.S.:</w:t>
      </w:r>
    </w:p>
    <w:p>
      <w:pPr>
        <w:spacing w:after="0" w:line="63"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inpatient acute care hospitals;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 free-standing emergency departments, and;</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 outpatient centers &amp; 1 surgical hospital.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Behavioral health care facilities (331 inpatient facilities and 10 outpatient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Located in the U.S.:</w:t>
      </w:r>
    </w:p>
    <w:p>
      <w:pPr>
        <w:spacing w:after="0" w:line="63"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186 inpatient behavioral health care facilities, and;</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 outpatient behavioral health care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Located in the U.K.:</w:t>
      </w:r>
    </w:p>
    <w:p>
      <w:pPr>
        <w:spacing w:after="0" w:line="63" w:lineRule="exact"/>
        <w:rPr>
          <w:sz w:val="20"/>
          <w:szCs w:val="20"/>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142 inpatient behavioral health care facilities, and;</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 outpatient behavioral health care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Located in Puerto Rico:</w:t>
      </w:r>
    </w:p>
    <w:p>
      <w:pPr>
        <w:spacing w:after="0" w:line="63"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inpatient behavioral health care facilities.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a percentage of our consolidated net revenues, net revenues from our acute care hospitals, outpatient facilities and commercial health insurer accounted for 57% and 58% during the three-month periods ended September 30, 2023 and 2022, respectively, and 57% during each of the nine-month periods ended September 30, 2023 and 2022. Net revenues from our behavioral health care facilities and commercial health insurer accounted for 43% of our consolidated net revenues during each of the three and nine-month periods ended September 30, 2023 and 2022.</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behavioral health care facilities located in the U.K. generated net revenues of approximately $203 million and $167 million during the three-month periods ended September 30, 2023 and 2022, respectively, and $561 million and $516 million during the nine-month periods ended September 30, 2023 and 2022, respectively. Total assets at our U.K. behavioral health care facilities were approximately $1.260 billion as of September 30, 2023 and $1.235 billion as of December 31, 2022.</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and Risk Factors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You should carefully review the information contained in this Quarterly Report and should particularly consider any risk factors that we set forth in our Annual Report on Form 10-K for the year ended December 31, 2022,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7.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Operations-Forward Looking Statements and Risk Factors </w:t>
      </w:r>
      <w:r>
        <w:rPr>
          <w:rFonts w:ascii="Arial" w:cs="Arial" w:eastAsia="Arial" w:hAnsi="Arial"/>
          <w:sz w:val="16"/>
          <w:szCs w:val="16"/>
          <w:color w:val="auto"/>
        </w:rPr>
        <w:t>in our Annual Report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10-K for the year ended December 31, 2022 and in </w:t>
      </w:r>
      <w:r>
        <w:rPr>
          <w:rFonts w:ascii="Arial" w:cs="Arial" w:eastAsia="Arial" w:hAnsi="Arial"/>
          <w:sz w:val="16"/>
          <w:szCs w:val="16"/>
          <w:i w:val="1"/>
          <w:iCs w:val="1"/>
          <w:color w:val="auto"/>
        </w:rPr>
        <w:t>Item 2. Management’s Discussion and Analysis of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i w:val="1"/>
          <w:iCs w:val="1"/>
          <w:color w:val="auto"/>
        </w:rPr>
        <w:t xml:space="preserve">and Results of Operations-Forward Looking Statements and Risk Factors, </w:t>
      </w:r>
      <w:r>
        <w:rPr>
          <w:rFonts w:ascii="Arial" w:cs="Arial" w:eastAsia="Arial" w:hAnsi="Arial"/>
          <w:sz w:val="18"/>
          <w:szCs w:val="18"/>
          <w:color w:val="auto"/>
        </w:rPr>
        <w:t>as included herein. Those factors may cause our actual results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of our forward-looking statements.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Such factors include, among other things, the following:</w:t>
      </w:r>
    </w:p>
    <w:p>
      <w:pPr>
        <w:spacing w:after="0" w:line="62" w:lineRule="exact"/>
        <w:rPr>
          <w:sz w:val="20"/>
          <w:szCs w:val="20"/>
          <w:color w:val="auto"/>
        </w:rPr>
      </w:pPr>
    </w:p>
    <w:p>
      <w:pPr>
        <w:ind w:left="1020" w:hanging="504"/>
        <w:spacing w:after="0" w:line="217" w:lineRule="exact"/>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nationwide shortage of nurses and other clinical staff and support personnel has been a significant operating issue facing us and other healthcare providers. Like others in the healthcare industry, we continue to experience a shortage of nurses and other clinical staff and support personnel at our acute care and behavioral health care hospitals in many geographic areas. In some areas, the labor scarcity is putting a strain on our resources and staff, which has required us to utilize higher</w:t>
      </w:r>
      <w:r>
        <w:rPr>
          <w:rFonts w:ascii="MS PGothic" w:cs="MS PGothic" w:eastAsia="MS PGothic" w:hAnsi="MS PGothic"/>
          <w:sz w:val="16"/>
          <w:szCs w:val="16"/>
          <w:color w:val="auto"/>
        </w:rPr>
        <w:t>‑</w:t>
      </w:r>
      <w:r>
        <w:rPr>
          <w:rFonts w:ascii="Arial" w:cs="Arial" w:eastAsia="Arial" w:hAnsi="Arial"/>
          <w:sz w:val="16"/>
          <w:szCs w:val="16"/>
          <w:color w:val="auto"/>
        </w:rPr>
        <w:t>cost temporary labor and pay premiums above standard compensation for essential workers. This staffing shortage has required us to hire expensive temporary personnel and/or enhance wages and benefits to recruit and retain nurses and other clinical staff and support personnel. At certain facilities, particularly within our behavioral health care segment, we have been unable to fill all vacant positions and, consequently, have been required to limit patient volumes. These factors, which had a material unfavorable impact on our results of operations during 2022, and to a certain degree thus far in 2023, could continue to have an unfavorable material impact on our results of operations for the foreseeable future;</w:t>
      </w:r>
    </w:p>
    <w:p>
      <w:pPr>
        <w:spacing w:after="0" w:line="97" w:lineRule="exact"/>
        <w:rPr>
          <w:rFonts w:ascii="Arial" w:cs="Arial" w:eastAsia="Arial" w:hAnsi="Arial"/>
          <w:sz w:val="16"/>
          <w:szCs w:val="16"/>
          <w:color w:val="auto"/>
        </w:rPr>
      </w:pPr>
    </w:p>
    <w:p>
      <w:pPr>
        <w:ind w:left="1020" w:right="120" w:hanging="504"/>
        <w:spacing w:after="0" w:line="30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our acute care segment, we have experienced a significant increase in hospital based physician related expenses (especially in the areas of emergency room care and anesthesiology) which has had a material unfavorable impact on our results of operations during 2023. Although we have implemented various initiatives to mitigate the increased expense, to the degree possible, increases in these physician related expenses could continue to have an unfavorable material impact on our results of operations for the foreseeable future;</w:t>
      </w:r>
    </w:p>
    <w:p>
      <w:pPr>
        <w:spacing w:after="0" w:line="47" w:lineRule="exact"/>
        <w:rPr>
          <w:rFonts w:ascii="Arial" w:cs="Arial" w:eastAsia="Arial" w:hAnsi="Arial"/>
          <w:sz w:val="16"/>
          <w:szCs w:val="16"/>
          <w:color w:val="auto"/>
        </w:rPr>
      </w:pPr>
    </w:p>
    <w:p>
      <w:pPr>
        <w:ind w:left="1020" w:right="60" w:hanging="504"/>
        <w:spacing w:after="0" w:line="28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2021, the rate of inflation in the United States began to increase and has since risen to levels not experienced in over 40 years. We are experiencing inflationary pressures, primarily in personnel costs, and we anticipate continuing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In addition, although we have been requesting and negotiating increased rates from commercial payers to defray our increased cost of providing patient care, commercial payers may be unwilling or unable to increase reimbursement rates commensurate with the inflationary impacts on our costs. The rapid increase in interest rates have increased our interest expense significantly increasing our expenses and reducing our free cash flow and our ability to access the capital markets on favorable terms. As such, the effects of inflation and increased borrowing rates may adversely impact our results of operations, financial condition and cash flows;</w:t>
      </w:r>
    </w:p>
    <w:p>
      <w:pPr>
        <w:spacing w:after="0" w:line="62" w:lineRule="exact"/>
        <w:rPr>
          <w:rFonts w:ascii="Arial" w:cs="Arial" w:eastAsia="Arial" w:hAnsi="Arial"/>
          <w:sz w:val="16"/>
          <w:szCs w:val="16"/>
          <w:color w:val="auto"/>
        </w:rPr>
      </w:pPr>
    </w:p>
    <w:p>
      <w:pPr>
        <w:ind w:left="1020" w:right="200" w:hanging="504"/>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September 30, 2023, a continuing resolution was passed by the federal government which provided for temporary funding of the federal government for 45 days; scheduled to expire on November 17, 2023. We cannot predict whether or not there will be future legislation averting a federal government shutdown, however, our operating cash flows and results of operations could be materially unfavorably impacted by a federal government shutdown;  </w:t>
      </w:r>
    </w:p>
    <w:p>
      <w:pPr>
        <w:spacing w:after="0" w:line="77" w:lineRule="exact"/>
        <w:rPr>
          <w:rFonts w:ascii="Arial" w:cs="Arial" w:eastAsia="Arial" w:hAnsi="Arial"/>
          <w:sz w:val="18"/>
          <w:szCs w:val="18"/>
          <w:color w:val="auto"/>
        </w:rPr>
      </w:pPr>
    </w:p>
    <w:p>
      <w:pPr>
        <w:ind w:left="1020" w:hanging="504"/>
        <w:spacing w:after="0" w:line="26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January 2020, the Centers for Disease Control and Prevention confirmed the spread of COVID-19 to the United States and, in March 2020, the World Health Organization declared the COVID-19 outbreak a pandemic. Although the federal government had previously declared COVID-19 a national emergency, that declaration expired on May 11, 2023 at which time the favorable payment provisions available to us during the declared national emergency ended. Many of the federal and state legislative and regulatory measures allowing for flexibility in delivery of care and various financial supports for healthcare providers were available only for the duration of the public health emergency (“PHE”). Most states have ended their state-level emergency declarations. The end of the PHE status will result in the conclusion of those policies over various designated timeframes. We cannot predict whether the loss of any such favorable conditions available to providers during the declared PHE will ultimately have a negative financial impact on us. The Coronavirus Aid, Relief, and Economic Security Act (the “CARES Act”), a stimulus package signed into law on March 27, 2020, authorized $100 billion in grant funding to hospitals and other healthcare providers to be distributed through the Public Health and Social Services Emergency Fund (the “PHSSEF”). We received payments from the targeted distributions of the PHSSEF, as disclosed herein. The CARES Act also makes other forms of financial assistance available to healthcare providers, including through Medicare and Medicaid payment adjustments and an expansion of the Medicare Accelerated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504" w:right="20"/>
        <w:spacing w:after="0" w:line="286" w:lineRule="auto"/>
        <w:rPr>
          <w:sz w:val="20"/>
          <w:szCs w:val="20"/>
          <w:color w:val="auto"/>
        </w:rPr>
      </w:pPr>
      <w:r>
        <w:rPr>
          <w:rFonts w:ascii="Arial" w:cs="Arial" w:eastAsia="Arial" w:hAnsi="Arial"/>
          <w:sz w:val="16"/>
          <w:szCs w:val="16"/>
          <w:color w:val="auto"/>
        </w:rPr>
        <w:t>Advance Payment Program, which made available accelerated payments of Medicare funds in order to increase cash flow to providers. We received accelerated payments under this program during 2020, and returned early all of those funds during the first quarter of 2021, as disclosed herein. Providers receiving PHSSEF payments were required to sign terms and conditions regarding utilization of the payments. Any provider receiving funds in excess of $10,000 in the aggregate will be required to report data elements to HHS detailing utilization of the payments, and we will be required to file such reports. We, and other providers, will report healthcare related expenses attributable to COVID-19 that have not been reimbursed by another source, which may include general and administrative or healthcare related operating expenses. Funds may also be applied to lost revenues, represented as a negative change in year-over-year net patient care operating income. On December 29, 2022, the Consolidated Appropriations Act, 2023, was signed into law and phases out the enhanced federal medical assistance percentage rate states have received during the COVID-19 PHE and fully eliminates the increase on December 31, 2023. States were also permitted to begin Medicaid eligibility redeterminations on March 31, 2023, which is anticipated to result in a large decrease in Medicaid enrollment. The impact of the COVID-19 pandemic, which began in March, 2020, has had a material effect on our operations and financial results, at various times, since that time. We cannot predict if there will be future disruptions caused by the COVID-19 pandemic;</w:t>
      </w:r>
    </w:p>
    <w:p>
      <w:pPr>
        <w:spacing w:after="0" w:line="66" w:lineRule="exact"/>
        <w:rPr>
          <w:sz w:val="20"/>
          <w:szCs w:val="20"/>
          <w:color w:val="auto"/>
        </w:rPr>
      </w:pPr>
    </w:p>
    <w:p>
      <w:pPr>
        <w:ind w:left="504" w:hanging="504"/>
        <w:spacing w:after="0"/>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the existing laws and government regulations, and/or changes in laws and government regulations;</w:t>
      </w:r>
    </w:p>
    <w:p>
      <w:pPr>
        <w:spacing w:after="0" w:line="116" w:lineRule="exact"/>
        <w:rPr>
          <w:rFonts w:ascii="Arial" w:cs="Arial" w:eastAsia="Arial" w:hAnsi="Arial"/>
          <w:sz w:val="18"/>
          <w:szCs w:val="18"/>
          <w:color w:val="auto"/>
        </w:rPr>
      </w:pPr>
    </w:p>
    <w:p>
      <w:pPr>
        <w:ind w:left="504" w:right="120" w:hanging="504"/>
        <w:spacing w:after="0" w:line="288" w:lineRule="auto"/>
        <w:tabs>
          <w:tab w:leader="none" w:pos="5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Legislation as part of the Tax Cuts and Jobs Act. President Biden has undertaken and is expected to undertake additional executive actions that will strengthen the Legislation and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CMS to negotiate prices for certain single-source drugs reimbursed under Medicare Part B and Part D. The American Rescue Plan Act’s expansion of subsidies to purchase coverage through a Legislation exchange, which the IRA continued through 2025, is anticipated to increase exchange enrollment.</w:t>
      </w:r>
    </w:p>
    <w:p>
      <w:pPr>
        <w:spacing w:after="0" w:line="62" w:lineRule="exact"/>
        <w:rPr>
          <w:rFonts w:ascii="Arial" w:cs="Arial" w:eastAsia="Arial" w:hAnsi="Arial"/>
          <w:sz w:val="16"/>
          <w:szCs w:val="16"/>
          <w:color w:val="auto"/>
        </w:rPr>
      </w:pPr>
    </w:p>
    <w:p>
      <w:pPr>
        <w:ind w:left="504" w:hanging="504"/>
        <w:spacing w:after="0" w:line="268" w:lineRule="auto"/>
        <w:tabs>
          <w:tab w:leader="none" w:pos="5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there have been numerous political and legal efforts to expand, repeal, replace or modify the Patient Protection and Affordable Care Act, as amended by the Health and Education Reconciliation Act (collectively, the "Legislation"), since its enactment, some of which have been successful, in part, in modifying the Legislation, as well as court challenges to the constitutionality of the Legislation. The U.S. Supreme Court rejected the latest such case on June 17, 2021, when the Court held in </w:t>
      </w:r>
      <w:r>
        <w:rPr>
          <w:rFonts w:ascii="Arial" w:cs="Arial" w:eastAsia="Arial" w:hAnsi="Arial"/>
          <w:sz w:val="17"/>
          <w:szCs w:val="17"/>
          <w:i w:val="1"/>
          <w:iCs w:val="1"/>
          <w:color w:val="auto"/>
        </w:rPr>
        <w:t>California v. Texas</w:t>
      </w:r>
      <w:r>
        <w:rPr>
          <w:rFonts w:ascii="Arial" w:cs="Arial" w:eastAsia="Arial" w:hAnsi="Arial"/>
          <w:sz w:val="17"/>
          <w:szCs w:val="17"/>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Arial" w:cs="Arial" w:eastAsia="Arial" w:hAnsi="Arial"/>
          <w:sz w:val="17"/>
          <w:szCs w:val="17"/>
          <w:i w:val="1"/>
          <w:iCs w:val="1"/>
          <w:color w:val="auto"/>
        </w:rPr>
        <w:t>Braidwood Management v. Becerra</w:t>
      </w:r>
      <w:r>
        <w:rPr>
          <w:rFonts w:ascii="Arial" w:cs="Arial" w:eastAsia="Arial" w:hAnsi="Arial"/>
          <w:sz w:val="17"/>
          <w:szCs w:val="17"/>
          <w:color w:val="auto"/>
        </w:rPr>
        <w:t xml:space="preserve">, ruled that a requirement that certain health plans cover services without cost sharing violates the Appointments Clause of the U.S. Constitution and that the coverage of certain HIV prevention medication violates the Religious Freedom Restoration Act. The government has appealed the decision to the U.S. Circuit Court of Appeals for the Fifth Circuit. Any future efforts to challenge, replace or replace the Legislation or expand or substantially amend its provision is unknown. See below in </w:t>
      </w:r>
      <w:r>
        <w:rPr>
          <w:rFonts w:ascii="Arial" w:cs="Arial" w:eastAsia="Arial" w:hAnsi="Arial"/>
          <w:sz w:val="17"/>
          <w:szCs w:val="17"/>
          <w:i w:val="1"/>
          <w:iCs w:val="1"/>
          <w:color w:val="auto"/>
        </w:rPr>
        <w:t xml:space="preserve">Sources of Revenues and Health Care Reform </w:t>
      </w:r>
      <w:r>
        <w:rPr>
          <w:rFonts w:ascii="Arial" w:cs="Arial" w:eastAsia="Arial" w:hAnsi="Arial"/>
          <w:sz w:val="17"/>
          <w:szCs w:val="17"/>
          <w:color w:val="auto"/>
        </w:rPr>
        <w:t>for additional disclosure;</w:t>
      </w:r>
    </w:p>
    <w:p>
      <w:pPr>
        <w:spacing w:after="0" w:line="77" w:lineRule="exact"/>
        <w:rPr>
          <w:rFonts w:ascii="Arial" w:cs="Arial" w:eastAsia="Arial" w:hAnsi="Arial"/>
          <w:sz w:val="17"/>
          <w:szCs w:val="17"/>
          <w:color w:val="auto"/>
        </w:rPr>
      </w:pPr>
    </w:p>
    <w:p>
      <w:pPr>
        <w:ind w:left="504" w:right="20" w:hanging="504"/>
        <w:spacing w:after="0" w:line="288" w:lineRule="auto"/>
        <w:tabs>
          <w:tab w:leader="none" w:pos="5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discounted cash rates, for all items and services, including individual items and services and service packages, that could be provided by a hospital to a patient. Failure to comply with these requirements may result in daily monetary penalties. On November 2, 2021, CMS released a final rule amending several hospital price transparency policies and increasing the amount of penalties for noncompliance through the use of a scaling factor based on hospital bed count. On April 26, 2023, CMS announced updated enforcement processes that requires a shortened timeline for coming into compliance when a violation has been identified and the automatic imposition of a civil monetary penalties in certain circumstances of noncompliance;</w:t>
      </w:r>
    </w:p>
    <w:p>
      <w:pPr>
        <w:spacing w:after="0" w:line="57" w:lineRule="exact"/>
        <w:rPr>
          <w:rFonts w:ascii="Arial" w:cs="Arial" w:eastAsia="Arial" w:hAnsi="Arial"/>
          <w:sz w:val="16"/>
          <w:szCs w:val="16"/>
          <w:color w:val="auto"/>
        </w:rPr>
      </w:pPr>
    </w:p>
    <w:p>
      <w:pPr>
        <w:ind w:left="504" w:right="400" w:hanging="504"/>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w:t>
      </w:r>
    </w:p>
    <w:p>
      <w:pPr>
        <w:spacing w:after="0" w:line="183"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449" w:right="339" w:bottom="1440" w:gutter="0" w:footer="0" w:header="0"/>
        </w:sectPr>
      </w:pPr>
    </w:p>
    <w:bookmarkStart w:id="28" w:name="page29"/>
    <w:bookmarkEnd w:id="28"/>
    <w:p>
      <w:pPr>
        <w:ind w:left="504"/>
        <w:spacing w:after="0" w:line="286" w:lineRule="auto"/>
        <w:rPr>
          <w:sz w:val="20"/>
          <w:szCs w:val="20"/>
          <w:color w:val="auto"/>
        </w:rPr>
      </w:pPr>
      <w:r>
        <w:rPr>
          <w:rFonts w:ascii="Arial" w:cs="Arial" w:eastAsia="Arial" w:hAnsi="Arial"/>
          <w:sz w:val="16"/>
          <w:szCs w:val="16"/>
          <w:color w:val="auto"/>
        </w:rPr>
        <w:t>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interim final rules, which begin to implement the legislation. The rules are expected to limit our ability to receive payment for services at usually higher out-of-network rates in certain circumstances and prohibit out-of-network payments in other circumstances.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On September 22, 2022, the Texas Medical Association filed a lawsuit challenging the IDR process provided in the updated final rule and alleging that the final rule unlawfully elevates the QPA above other factors the IDR entity must consider. On February 6, 2023, a federal judge vacated parts of the rule, including provisions related to considerations of the QPA. The government's appeal of the district court's order is pending in the U.S. Court of Appeals for the Fifth Circuit;</w:t>
      </w:r>
    </w:p>
    <w:p>
      <w:pPr>
        <w:spacing w:after="0" w:line="66" w:lineRule="exact"/>
        <w:rPr>
          <w:sz w:val="20"/>
          <w:szCs w:val="20"/>
          <w:color w:val="auto"/>
        </w:rPr>
      </w:pPr>
    </w:p>
    <w:p>
      <w:pPr>
        <w:ind w:left="504" w:right="320" w:hanging="504"/>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unfavorable changes in the levels and terms of reimbursement for our charges by third party payers or government based payers, including Medicare or Medicaid in the United States, and government based payers in the United Kingdom;</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enter into managed care provider agreements on acceptable terms and the ability of our competitors to do the same;</w:t>
      </w:r>
    </w:p>
    <w:p>
      <w:pPr>
        <w:spacing w:after="0" w:line="128" w:lineRule="exact"/>
        <w:rPr>
          <w:rFonts w:ascii="Arial" w:cs="Arial" w:eastAsia="Arial" w:hAnsi="Arial"/>
          <w:sz w:val="17"/>
          <w:szCs w:val="17"/>
          <w:color w:val="auto"/>
        </w:rPr>
      </w:pPr>
    </w:p>
    <w:p>
      <w:pPr>
        <w:ind w:left="504" w:right="100" w:hanging="504"/>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outcome of known and unknown litigation, government investigations, false claims act allegations, and liabilities and other claims asserted against us and other matters as disclosed in </w:t>
      </w:r>
      <w:r>
        <w:rPr>
          <w:rFonts w:ascii="Arial" w:cs="Arial" w:eastAsia="Arial" w:hAnsi="Arial"/>
          <w:sz w:val="18"/>
          <w:szCs w:val="18"/>
          <w:i w:val="1"/>
          <w:iCs w:val="1"/>
          <w:color w:val="auto"/>
        </w:rPr>
        <w:t>Note 6 to the Consolidated Financial Statements - Commitments and Contingencies</w:t>
      </w:r>
      <w:r>
        <w:rPr>
          <w:rFonts w:ascii="Arial" w:cs="Arial" w:eastAsia="Arial" w:hAnsi="Arial"/>
          <w:sz w:val="18"/>
          <w:szCs w:val="18"/>
          <w:color w:val="auto"/>
        </w:rPr>
        <w:t xml:space="preserve"> and the effects of adverse publicity relating to such matters</w:t>
      </w:r>
      <w:r>
        <w:rPr>
          <w:rFonts w:ascii="Arial" w:cs="Arial" w:eastAsia="Arial" w:hAnsi="Arial"/>
          <w:sz w:val="18"/>
          <w:szCs w:val="18"/>
          <w:i w:val="1"/>
          <w:iCs w:val="1"/>
          <w:color w:val="auto"/>
        </w:rPr>
        <w:t>;</w:t>
      </w:r>
    </w:p>
    <w:p>
      <w:pPr>
        <w:spacing w:after="0" w:line="74"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other healthcare providers (including physician owned facilities) in certain markets;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and pharmaceutical improvements that increase the cost of providing, or reduce the demand for healthcare;</w:t>
      </w:r>
    </w:p>
    <w:p>
      <w:pPr>
        <w:spacing w:after="0" w:line="116" w:lineRule="exact"/>
        <w:rPr>
          <w:rFonts w:ascii="Arial" w:cs="Arial" w:eastAsia="Arial" w:hAnsi="Arial"/>
          <w:sz w:val="18"/>
          <w:szCs w:val="18"/>
          <w:color w:val="auto"/>
        </w:rPr>
      </w:pPr>
    </w:p>
    <w:p>
      <w:pPr>
        <w:ind w:left="504" w:right="360" w:hanging="504"/>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nurses, physicians and other healthcare professionals and the impact on our labor and related expenses resulting from a shortage of nurses, physicians and other healthcare professionals;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16" w:lineRule="exact"/>
        <w:rPr>
          <w:rFonts w:ascii="Arial" w:cs="Arial" w:eastAsia="Arial" w:hAnsi="Arial"/>
          <w:sz w:val="18"/>
          <w:szCs w:val="18"/>
          <w:color w:val="auto"/>
        </w:rPr>
      </w:pPr>
    </w:p>
    <w:p>
      <w:pPr>
        <w:ind w:left="504" w:right="260" w:hanging="504"/>
        <w:spacing w:after="0" w:line="270"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spacing w:after="0" w:line="70" w:lineRule="exact"/>
        <w:rPr>
          <w:rFonts w:ascii="Arial" w:cs="Arial" w:eastAsia="Arial" w:hAnsi="Arial"/>
          <w:sz w:val="17"/>
          <w:szCs w:val="17"/>
          <w:color w:val="auto"/>
        </w:rPr>
      </w:pPr>
    </w:p>
    <w:p>
      <w:pPr>
        <w:ind w:left="504" w:right="240" w:hanging="504"/>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74"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severe weather conditions, including the effects of hurricanes and climate change;</w:t>
      </w:r>
    </w:p>
    <w:p>
      <w:pPr>
        <w:spacing w:after="0" w:line="116" w:lineRule="exact"/>
        <w:rPr>
          <w:rFonts w:ascii="Arial" w:cs="Arial" w:eastAsia="Arial" w:hAnsi="Arial"/>
          <w:sz w:val="18"/>
          <w:szCs w:val="18"/>
          <w:color w:val="auto"/>
        </w:rPr>
      </w:pPr>
    </w:p>
    <w:p>
      <w:pPr>
        <w:ind w:left="504" w:right="120" w:hanging="504"/>
        <w:spacing w:after="0" w:line="255"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as discussed below in </w:t>
      </w:r>
      <w:r>
        <w:rPr>
          <w:rFonts w:ascii="Arial" w:cs="Arial" w:eastAsia="Arial" w:hAnsi="Arial"/>
          <w:sz w:val="18"/>
          <w:szCs w:val="18"/>
          <w:i w:val="1"/>
          <w:iCs w:val="1"/>
          <w:color w:val="auto"/>
        </w:rPr>
        <w:t>Sources of Revenue,</w:t>
      </w:r>
      <w:r>
        <w:rPr>
          <w:rFonts w:ascii="Arial" w:cs="Arial" w:eastAsia="Arial" w:hAnsi="Arial"/>
          <w:sz w:val="18"/>
          <w:szCs w:val="18"/>
          <w:color w:val="auto"/>
        </w:rPr>
        <w:t xml:space="preserve"> we receive revenues from various state and county-based programs, including Medicaid in all the states in which we operate. We receive annual Medicaid revenues of approximately $100 million, or greater, from each of Texas, California, Nevada, Illinois, Washington, D.C., Pennsylvania, Kentucky, Florida and Massachusetts. We also receive Medicaid disproportionate share hospital ("DSH") payments in certain states including Texas and South Carolina. We are therefore particularly sensitive to potential reductions in Medicaid and other state-based revenue programs as well as regulatory, economic, environmental and competitive changes in those states;</w:t>
      </w:r>
    </w:p>
    <w:p>
      <w:pPr>
        <w:spacing w:after="0" w:line="82"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obtain capital on acceptable terms, including borrowed funds, to fund the future growth of our business;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inpatient acute care and behavioral health care facilities may experience decreasing admission and length of stay trends;</w:t>
      </w:r>
    </w:p>
    <w:p>
      <w:pPr>
        <w:spacing w:after="0" w:line="225"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449" w:right="359" w:bottom="1440" w:gutter="0" w:footer="0" w:header="0"/>
        </w:sectPr>
      </w:pPr>
    </w:p>
    <w:bookmarkStart w:id="29" w:name="page30"/>
    <w:bookmarkEnd w:id="29"/>
    <w:p>
      <w:pPr>
        <w:ind w:left="1020" w:right="200" w:hanging="504"/>
        <w:spacing w:after="0" w:line="307"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39" w:lineRule="exact"/>
        <w:rPr>
          <w:rFonts w:ascii="Arial" w:cs="Arial" w:eastAsia="Arial" w:hAnsi="Arial"/>
          <w:sz w:val="17"/>
          <w:szCs w:val="17"/>
          <w:color w:val="auto"/>
        </w:rPr>
      </w:pPr>
    </w:p>
    <w:p>
      <w:pPr>
        <w:ind w:left="1020" w:right="40" w:hanging="504"/>
        <w:spacing w:after="0" w:line="286"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The Bipartisan Budget Act of 2015, enacted on November 2, 2015, continued the 2% reductions to Medicare reimbursement imposed under the 2011 Act. Recent legislation suspended payment reductions through December 31, 2021 in exchange for extended cuts through 2030. Subsequent legislation extended the payment reduction suspension through March 31, 2022, with a 1% payment reduction from then until June 30, 2022 and the full 2% payment reduction thereafter. The most recent legislation extended these reductions through 2032. We cannot predict whether Congress will restructure the implemented Medicare payment reductions or what other federal budget deficit reduction initiatives may be proposed by Congress going forward. See below in </w:t>
      </w:r>
      <w:r>
        <w:rPr>
          <w:rFonts w:ascii="Arial" w:cs="Arial" w:eastAsia="Arial" w:hAnsi="Arial"/>
          <w:sz w:val="16"/>
          <w:szCs w:val="16"/>
          <w:i w:val="1"/>
          <w:iCs w:val="1"/>
          <w:color w:val="auto"/>
        </w:rPr>
        <w:t>2019 Novel Coronavirus Disease Medicare and Medicaid Payment Related Legislation –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Sequestration Relief</w:t>
      </w:r>
      <w:r>
        <w:rPr>
          <w:rFonts w:ascii="Arial" w:cs="Arial" w:eastAsia="Arial" w:hAnsi="Arial"/>
          <w:sz w:val="16"/>
          <w:szCs w:val="16"/>
          <w:color w:val="auto"/>
        </w:rPr>
        <w:t>, for additional disclosure related to the favorable effect the legislative extensions have had on our results of operations;</w:t>
      </w:r>
    </w:p>
    <w:p>
      <w:pPr>
        <w:spacing w:after="0" w:line="58" w:lineRule="exact"/>
        <w:rPr>
          <w:rFonts w:ascii="Arial" w:cs="Arial" w:eastAsia="Arial" w:hAnsi="Arial"/>
          <w:sz w:val="16"/>
          <w:szCs w:val="16"/>
          <w:color w:val="auto"/>
        </w:rPr>
      </w:pPr>
    </w:p>
    <w:p>
      <w:pPr>
        <w:ind w:left="1020" w:right="18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uninsured and self-pay patients treated at our acute care facilities unfavorably impact our ability to satisfactorily and timely collect our self-pay patient accounts;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business strategies or development plans;</w:t>
      </w:r>
    </w:p>
    <w:p>
      <w:pPr>
        <w:spacing w:after="0" w:line="116" w:lineRule="exact"/>
        <w:rPr>
          <w:rFonts w:ascii="Arial" w:cs="Arial" w:eastAsia="Arial" w:hAnsi="Arial"/>
          <w:sz w:val="18"/>
          <w:szCs w:val="18"/>
          <w:color w:val="auto"/>
        </w:rPr>
      </w:pPr>
    </w:p>
    <w:p>
      <w:pPr>
        <w:ind w:left="1020" w:hanging="504"/>
        <w:spacing w:after="0" w:line="27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w:t>
      </w:r>
    </w:p>
    <w:p>
      <w:pPr>
        <w:spacing w:after="0" w:line="68" w:lineRule="exact"/>
        <w:rPr>
          <w:rFonts w:ascii="Arial" w:cs="Arial" w:eastAsia="Arial" w:hAnsi="Arial"/>
          <w:sz w:val="17"/>
          <w:szCs w:val="17"/>
          <w:color w:val="auto"/>
        </w:rPr>
      </w:pPr>
    </w:p>
    <w:p>
      <w:pPr>
        <w:ind w:left="1020" w:right="6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shift of care from inpatient to lower cost outpatient settings and controls designed to reduce inpatient services on our revenue, and;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referenced herein or in our other filings with the Securities and Exchange Commission.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critical accounting policies or estimates from those disclosed in our 2022 Annual Report on Form 10-K.</w:t>
      </w:r>
    </w:p>
    <w:p>
      <w:pPr>
        <w:spacing w:after="0" w:line="136"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b w:val="1"/>
          <w:bCs w:val="1"/>
          <w:color w:val="auto"/>
        </w:rPr>
        <w:t xml:space="preserve">Recent Accounting Standards: </w:t>
      </w:r>
      <w:r>
        <w:rPr>
          <w:rFonts w:ascii="Arial" w:cs="Arial" w:eastAsia="Arial" w:hAnsi="Arial"/>
          <w:sz w:val="18"/>
          <w:szCs w:val="18"/>
          <w:color w:val="auto"/>
        </w:rPr>
        <w:t>For a summary of accounting standards, please see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14 to the Condensed Consolidated Financial Statements</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Clinical Staffing, Physician Related Expenses, Effects of Inflation and COVID-19:</w:t>
      </w:r>
    </w:p>
    <w:p>
      <w:pPr>
        <w:spacing w:after="0" w:line="117"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The healthcare industry is labor intensive and salaries, wages and benefits are subject to inflationary pressures, as are supplies expense and other operating expenses. In addition, the nationwide shortage of nurses and other clinical staff and support personnel experienced by healthcare providers in the past has been a significant operating issue facing us and other healthcare providers. In some areas, the labor scarcity has strained our resources and staff, which has required us to utilize higher</w:t>
      </w:r>
      <w:r>
        <w:rPr>
          <w:rFonts w:ascii="MS PGothic" w:cs="MS PGothic" w:eastAsia="MS PGothic" w:hAnsi="MS PGothic"/>
          <w:sz w:val="18"/>
          <w:szCs w:val="18"/>
          <w:color w:val="auto"/>
        </w:rPr>
        <w:t>‑</w:t>
      </w:r>
      <w:r>
        <w:rPr>
          <w:rFonts w:ascii="Arial" w:cs="Arial" w:eastAsia="Arial" w:hAnsi="Arial"/>
          <w:sz w:val="18"/>
          <w:szCs w:val="18"/>
          <w:color w:val="auto"/>
        </w:rPr>
        <w:t>cost temporary labor and pay premiums above standard compensation for essential workers. In the past, the staffing shortage has, at times, required us to hire expensive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360"/>
        <w:spacing w:after="0" w:line="271" w:lineRule="auto"/>
        <w:rPr>
          <w:sz w:val="20"/>
          <w:szCs w:val="20"/>
          <w:color w:val="auto"/>
        </w:rPr>
      </w:pPr>
      <w:r>
        <w:rPr>
          <w:rFonts w:ascii="Arial" w:cs="Arial" w:eastAsia="Arial" w:hAnsi="Arial"/>
          <w:sz w:val="17"/>
          <w:szCs w:val="17"/>
          <w:color w:val="auto"/>
        </w:rPr>
        <w:t>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The staffing shortage has required us to enhance wages and benefits to recruit and retain nurses and other clinical staff and support personnel or required us to hire expensive temporary personnel. We have also experienced general inflationary cost increases related to medical supplies as well as certain of our other operating expenses. Many of these factors, which had a material unfavorable impact on our results of operations during 2022, have been moderating to a certain degree during 2023. However, these factors could continue to have an unfavorable material impact on our results of operations for the foreseeable future.</w:t>
      </w:r>
    </w:p>
    <w:p>
      <w:pPr>
        <w:spacing w:after="0" w:line="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our acute care segment, we have experienced a significant increase in hospital-based physician related expenses (especially in the areas of emergency room care and anesthesiology) which has had a material unfavorable impact on our results of operations during 2023. Although we have implemented various initiatives to mitigate the increased expense, to the degree possible, increases in these physician related expenses could continue to have an unfavorable material impact on our results of operations for the foreseeable future.</w:t>
      </w:r>
    </w:p>
    <w:p>
      <w:pPr>
        <w:spacing w:after="0" w:line="7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Although our ability to pass on increased costs associated with providing healthcare to Medicare and Medicaid patients is limited due to various federal, state and local laws which, in certain circumstances, limit our ability to increase prices,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impact of the COVID-19 pandemic, which began in March, 2020, has had a material effect on our operations and financial results, at various times, since that time. We cannot predict if there will be future disruptions caused by COVID-19.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results for the three-month periods ended September 30, 2023 and 2022:</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results of operations and is used in the discussion below for the three-month periods ended September 30, 2023 and 2022 (dollar amounts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5"/>
          </w:tcPr>
          <w:p>
            <w:pPr>
              <w:jc w:val="right"/>
              <w:ind w:right="1170"/>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jc w:val="right"/>
              <w:ind w:right="1210"/>
              <w:spacing w:after="0"/>
              <w:rPr>
                <w:sz w:val="20"/>
                <w:szCs w:val="20"/>
                <w:color w:val="auto"/>
              </w:rPr>
            </w:pPr>
            <w:r>
              <w:rPr>
                <w:rFonts w:ascii="Arial" w:cs="Arial" w:eastAsia="Arial" w:hAnsi="Arial"/>
                <w:sz w:val="14"/>
                <w:szCs w:val="14"/>
                <w:b w:val="1"/>
                <w:bCs w:val="1"/>
                <w:color w:val="auto"/>
              </w:rPr>
              <w:t>September 30, 2023</w:t>
            </w:r>
          </w:p>
        </w:tc>
        <w:tc>
          <w:tcPr>
            <w:tcW w:w="270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Revenues</w:t>
            </w:r>
          </w:p>
        </w:tc>
        <w:tc>
          <w:tcPr>
            <w:tcW w:w="1380" w:type="dxa"/>
            <w:vAlign w:val="bottom"/>
            <w:gridSpan w:val="2"/>
            <w:vMerge w:val="continue"/>
          </w:tcPr>
          <w:p>
            <w:pPr>
              <w:spacing w:after="0"/>
              <w:rPr>
                <w:sz w:val="16"/>
                <w:szCs w:val="16"/>
                <w:color w:val="auto"/>
              </w:rPr>
            </w:pPr>
          </w:p>
        </w:tc>
        <w:tc>
          <w:tcPr>
            <w:tcW w:w="13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3,562,774</w:t>
            </w:r>
          </w:p>
        </w:tc>
        <w:tc>
          <w:tcPr>
            <w:tcW w:w="2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3,336,027</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rPr>
                <w:sz w:val="20"/>
                <w:szCs w:val="20"/>
                <w:color w:val="auto"/>
              </w:rPr>
            </w:pPr>
            <w:r>
              <w:rPr>
                <w:rFonts w:ascii="Arial" w:cs="Arial" w:eastAsia="Arial" w:hAnsi="Arial"/>
                <w:sz w:val="18"/>
                <w:szCs w:val="18"/>
                <w:color w:val="auto"/>
              </w:rPr>
              <w:t>Operating charges: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1,784,870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50.1 %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1,677,431</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941,219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26.4 %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837,241</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color w:val="auto"/>
              </w:rPr>
              <w:t>Supplies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378,667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10.6 %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366,337</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137,195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145,874</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56"/>
        </w:trPr>
        <w:tc>
          <w:tcPr>
            <w:tcW w:w="5340" w:type="dxa"/>
            <w:vAlign w:val="bottom"/>
          </w:tcPr>
          <w:p>
            <w:pPr>
              <w:ind w:left="200"/>
              <w:spacing w:after="0"/>
              <w:rPr>
                <w:sz w:val="20"/>
                <w:szCs w:val="20"/>
                <w:color w:val="auto"/>
              </w:rPr>
            </w:pPr>
            <w:r>
              <w:rPr>
                <w:rFonts w:ascii="Arial" w:cs="Arial" w:eastAsia="Arial" w:hAnsi="Arial"/>
                <w:sz w:val="18"/>
                <w:szCs w:val="18"/>
                <w:color w:val="auto"/>
              </w:rPr>
              <w:t>Lease and rental expense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35,466</w:t>
            </w:r>
          </w:p>
        </w:tc>
        <w:tc>
          <w:tcPr>
            <w:tcW w:w="2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33,264</w:t>
            </w: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8"/>
                <w:szCs w:val="18"/>
                <w:color w:val="auto"/>
              </w:rPr>
              <w:t>Subtotal-operating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3,277,417</w:t>
            </w:r>
          </w:p>
        </w:tc>
        <w:tc>
          <w:tcPr>
            <w:tcW w:w="2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color w:val="auto"/>
                <w:highlight w:val="white"/>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3,060,147</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285,357</w:t>
            </w:r>
          </w:p>
        </w:tc>
        <w:tc>
          <w:tcPr>
            <w:tcW w:w="2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275,880</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3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53,378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35,653</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6"/>
        </w:trPr>
        <w:tc>
          <w:tcPr>
            <w:tcW w:w="53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11,472</w:t>
            </w:r>
          </w:p>
        </w:tc>
        <w:tc>
          <w:tcPr>
            <w:tcW w:w="2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6,015</w:t>
            </w: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220,507</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color w:val="auto"/>
                <w:highlight w:val="white"/>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234,212</w:t>
            </w: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55"/>
        </w:trPr>
        <w:tc>
          <w:tcPr>
            <w:tcW w:w="53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w:t>
            </w:r>
          </w:p>
        </w:tc>
        <w:tc>
          <w:tcPr>
            <w:tcW w:w="2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57,401</w:t>
            </w: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168,008</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color w:val="auto"/>
                <w:highlight w:val="white"/>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176,811</w:t>
            </w: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55"/>
        </w:trPr>
        <w:tc>
          <w:tcPr>
            <w:tcW w:w="5340" w:type="dxa"/>
            <w:vAlign w:val="bottom"/>
          </w:tcPr>
          <w:p>
            <w:pPr>
              <w:ind w:left="20"/>
              <w:spacing w:after="0"/>
              <w:rPr>
                <w:sz w:val="20"/>
                <w:szCs w:val="20"/>
                <w:color w:val="auto"/>
              </w:rPr>
            </w:pPr>
            <w:r>
              <w:rPr>
                <w:rFonts w:ascii="Arial" w:cs="Arial" w:eastAsia="Arial" w:hAnsi="Arial"/>
                <w:sz w:val="18"/>
                <w:szCs w:val="18"/>
                <w:color w:val="auto"/>
              </w:rPr>
              <w:t>Less: Income (loss) attributable to noncontrolling interests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(6,003 )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UHS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166,989</w:t>
            </w:r>
          </w:p>
        </w:tc>
        <w:tc>
          <w:tcPr>
            <w:tcW w:w="240" w:type="dxa"/>
            <w:vAlign w:val="bottom"/>
          </w:tcPr>
          <w:p>
            <w:pPr>
              <w:spacing w:after="0"/>
              <w:rPr>
                <w:sz w:val="20"/>
                <w:szCs w:val="20"/>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180" w:type="dxa"/>
            <w:vAlign w:val="bottom"/>
          </w:tcPr>
          <w:p>
            <w:pPr>
              <w:jc w:val="right"/>
              <w:spacing w:after="0"/>
              <w:rPr>
                <w:sz w:val="20"/>
                <w:szCs w:val="20"/>
                <w:color w:val="auto"/>
              </w:rPr>
            </w:pPr>
            <w:r>
              <w:rPr>
                <w:rFonts w:ascii="Arial" w:cs="Arial" w:eastAsia="Arial" w:hAnsi="Arial"/>
                <w:sz w:val="18"/>
                <w:szCs w:val="18"/>
                <w:color w:val="auto"/>
              </w:rPr>
              <w:t>182,814</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4794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9759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975995"/>
                    </a:xfrm>
                    <a:prstGeom prst="rect">
                      <a:avLst/>
                    </a:prstGeom>
                    <a:noFill/>
                  </pic:spPr>
                </pic:pic>
              </a:graphicData>
            </a:graphic>
          </wp:anchor>
        </w:drawing>
      </w:r>
    </w:p>
    <w:p>
      <w:pPr>
        <w:spacing w:after="0" w:line="7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Net revenues increased by 6.8%, or $227 million, to $3.563 billion during the three-month period ended September 30, 2023, as compared to $3.336 billion during the third quarter of 2022. The net increase was primarily attributable to: (i) a $244 million, or 7.5%, increase in net revenues generated from our acute care hospital services and behavioral health services operated during both periods (which we refer to as “Same Facility”), and; (ii) $17 million of other combined net decreases including $44 million of decreased revenues at Desert Springs Hospital Medical Center ("Desert Springs") located in Las Vegas, Nevada, which discontinued all inpatient operations during the first quarter of 2023.</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31" w:name="page32"/>
    <w:bookmarkEnd w:id="31"/>
    <w:p>
      <w:pPr>
        <w:ind w:right="480"/>
        <w:spacing w:after="0" w:line="307" w:lineRule="auto"/>
        <w:rPr>
          <w:sz w:val="20"/>
          <w:szCs w:val="20"/>
          <w:color w:val="auto"/>
        </w:rPr>
      </w:pPr>
      <w:r>
        <w:rPr>
          <w:rFonts w:ascii="Arial" w:cs="Arial" w:eastAsia="Arial" w:hAnsi="Arial"/>
          <w:sz w:val="17"/>
          <w:szCs w:val="17"/>
          <w:color w:val="auto"/>
        </w:rPr>
        <w:t>Income before income taxes (before income attributable to noncontrolling interests) decreased by $14 million, or 6%, to $221 million during the three-month period ended September 30, 2023 as compared to $234 million during the third quarter of 2022. The net decrease was due to:</w:t>
      </w:r>
    </w:p>
    <w:p>
      <w:pPr>
        <w:spacing w:after="0" w:line="39"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increase of $3 million at our acute care facilities, as discussed below in </w:t>
      </w:r>
      <w:r>
        <w:rPr>
          <w:rFonts w:ascii="Arial" w:cs="Arial" w:eastAsia="Arial" w:hAnsi="Arial"/>
          <w:sz w:val="18"/>
          <w:szCs w:val="18"/>
          <w:i w:val="1"/>
          <w:iCs w:val="1"/>
          <w:color w:val="auto"/>
        </w:rPr>
        <w:t>Acute Care Hospital Services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increase of $24 million at our behavioral health care facilities, as discussed below in </w:t>
      </w:r>
      <w:r>
        <w:rPr>
          <w:rFonts w:ascii="Arial" w:cs="Arial" w:eastAsia="Arial" w:hAnsi="Arial"/>
          <w:sz w:val="18"/>
          <w:szCs w:val="18"/>
          <w:i w:val="1"/>
          <w:iCs w:val="1"/>
          <w:color w:val="auto"/>
        </w:rPr>
        <w:t>Behavioral Health Services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760" w:right="640" w:hanging="378"/>
        <w:spacing w:after="0" w:line="307"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decrease of $18 million due to an increase in interest expense due to increases in our weighted average cost of borrowings and aggregate average borrowings outstanding, as discussed below in </w:t>
      </w:r>
      <w:r>
        <w:rPr>
          <w:rFonts w:ascii="Arial" w:cs="Arial" w:eastAsia="Arial" w:hAnsi="Arial"/>
          <w:sz w:val="17"/>
          <w:szCs w:val="17"/>
          <w:i w:val="1"/>
          <w:iCs w:val="1"/>
          <w:color w:val="auto"/>
        </w:rPr>
        <w:t>Other Operating Results-Interest Expense</w:t>
      </w:r>
      <w:r>
        <w:rPr>
          <w:rFonts w:ascii="Arial" w:cs="Arial" w:eastAsia="Arial" w:hAnsi="Arial"/>
          <w:sz w:val="17"/>
          <w:szCs w:val="17"/>
          <w:color w:val="auto"/>
        </w:rPr>
        <w:t>, and;</w:t>
      </w:r>
    </w:p>
    <w:p>
      <w:pPr>
        <w:spacing w:after="0" w:line="39" w:lineRule="exact"/>
        <w:rPr>
          <w:rFonts w:ascii="Arial" w:cs="Arial" w:eastAsia="Arial" w:hAnsi="Arial"/>
          <w:sz w:val="17"/>
          <w:szCs w:val="17"/>
          <w:color w:val="auto"/>
        </w:rPr>
      </w:pPr>
    </w:p>
    <w:p>
      <w:pPr>
        <w:ind w:left="760" w:righ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$23 million of other combined net decreases, including a $10 million increase in the unrealized loss in the market value of certain equity securities.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income attributable to UHS decreased by $16 million, or 9%, to $167 million during the three-month period ended September 30, 2023 as compared to $183 million during the third quarter of 2022. This decrease was attributable to:</w:t>
      </w:r>
    </w:p>
    <w:p>
      <w:pPr>
        <w:spacing w:after="0" w:line="62"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 million decrease in income before income taxes, as discussed above;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$7 million due to an unfavorable change in income/loss attributable to noncontrolling interests, and;</w:t>
      </w:r>
    </w:p>
    <w:p>
      <w:pPr>
        <w:spacing w:after="0" w:line="116"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$5 million resulting from an decrease in the provision for income taxes due primarily to the income tax expense recorded in connection with the $21 million decrease in pre-tax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results for the nine-month periods ended September 30, 2023 and 2022:</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our results of operations and is used in the discussion below for the nine-month periods ended September 30, 2023 and 2022 (dollar amounts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3"/>
          </w:tcPr>
          <w:p>
            <w:pPr>
              <w:ind w:left="64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4"/>
          </w:tcPr>
          <w:p>
            <w:pPr>
              <w:jc w:val="right"/>
              <w:ind w:right="9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3"/>
          </w:tcPr>
          <w:p>
            <w:pPr>
              <w:ind w:left="640"/>
              <w:spacing w:after="0"/>
              <w:rPr>
                <w:sz w:val="20"/>
                <w:szCs w:val="20"/>
                <w:color w:val="auto"/>
              </w:rPr>
            </w:pPr>
            <w:r>
              <w:rPr>
                <w:rFonts w:ascii="Arial" w:cs="Arial" w:eastAsia="Arial" w:hAnsi="Arial"/>
                <w:sz w:val="14"/>
                <w:szCs w:val="14"/>
                <w:b w:val="1"/>
                <w:bCs w:val="1"/>
                <w:color w:val="auto"/>
              </w:rPr>
              <w:t>September 30, 2023</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4"/>
          </w:tcPr>
          <w:p>
            <w:pPr>
              <w:jc w:val="right"/>
              <w:ind w:right="97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4"/>
                <w:szCs w:val="14"/>
                <w:b w:val="1"/>
                <w:bCs w:val="1"/>
                <w:color w:val="auto"/>
                <w:w w:val="96"/>
              </w:rPr>
              <w:t>% of Net</w:t>
            </w: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top w:val="single" w:sz="8" w:color="auto"/>
            </w:tcBorders>
          </w:tcPr>
          <w:p>
            <w:pPr>
              <w:jc w:val="right"/>
              <w:ind w:right="352"/>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w w:val="84"/>
              </w:rPr>
              <w:t>Revenues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10,578,430</w:t>
            </w: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9,952,390</w:t>
            </w:r>
          </w:p>
        </w:tc>
        <w:tc>
          <w:tcPr>
            <w:tcW w:w="2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20" w:type="dxa"/>
            <w:vAlign w:val="bottom"/>
          </w:tcPr>
          <w:p>
            <w:pPr>
              <w:ind w:left="20"/>
              <w:spacing w:after="0"/>
              <w:rPr>
                <w:sz w:val="20"/>
                <w:szCs w:val="20"/>
                <w:color w:val="auto"/>
              </w:rPr>
            </w:pPr>
            <w:r>
              <w:rPr>
                <w:rFonts w:ascii="Arial" w:cs="Arial" w:eastAsia="Arial" w:hAnsi="Arial"/>
                <w:sz w:val="18"/>
                <w:szCs w:val="18"/>
                <w:color w:val="auto"/>
              </w:rPr>
              <w:t>Operating charges: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Salaries, wages and benefits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5,308,476</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50.2 %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5,061,173</w:t>
            </w:r>
          </w:p>
        </w:tc>
        <w:tc>
          <w:tcPr>
            <w:tcW w:w="2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2,758,484</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2,526,060</w:t>
            </w:r>
          </w:p>
        </w:tc>
        <w:tc>
          <w:tcPr>
            <w:tcW w:w="2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Supplies expense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1,138,950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1,092,403</w:t>
            </w:r>
          </w:p>
        </w:tc>
        <w:tc>
          <w:tcPr>
            <w:tcW w:w="2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422,560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433,508</w:t>
            </w:r>
          </w:p>
        </w:tc>
        <w:tc>
          <w:tcPr>
            <w:tcW w:w="2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56"/>
        </w:trPr>
        <w:tc>
          <w:tcPr>
            <w:tcW w:w="5020" w:type="dxa"/>
            <w:vAlign w:val="bottom"/>
          </w:tcPr>
          <w:p>
            <w:pPr>
              <w:ind w:left="200"/>
              <w:spacing w:after="0"/>
              <w:rPr>
                <w:sz w:val="20"/>
                <w:szCs w:val="20"/>
                <w:color w:val="auto"/>
              </w:rPr>
            </w:pPr>
            <w:r>
              <w:rPr>
                <w:rFonts w:ascii="Arial" w:cs="Arial" w:eastAsia="Arial" w:hAnsi="Arial"/>
                <w:sz w:val="18"/>
                <w:szCs w:val="18"/>
                <w:color w:val="auto"/>
              </w:rPr>
              <w:t>Lease and rental expense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105,775</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97,075</w:t>
            </w:r>
          </w:p>
        </w:tc>
        <w:tc>
          <w:tcPr>
            <w:tcW w:w="2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Subtotal-operating expenses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9,734,245</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9,210,219</w:t>
            </w:r>
          </w:p>
        </w:tc>
        <w:tc>
          <w:tcPr>
            <w:tcW w:w="2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92.5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844,185</w:t>
            </w: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742,171</w:t>
            </w:r>
          </w:p>
        </w:tc>
        <w:tc>
          <w:tcPr>
            <w:tcW w:w="2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153,085</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83,002</w:t>
            </w:r>
          </w:p>
        </w:tc>
        <w:tc>
          <w:tcPr>
            <w:tcW w:w="2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56"/>
        </w:trPr>
        <w:tc>
          <w:tcPr>
            <w:tcW w:w="50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31,797</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15,244</w:t>
            </w:r>
          </w:p>
        </w:tc>
        <w:tc>
          <w:tcPr>
            <w:tcW w:w="2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659,303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color w:val="auto"/>
                <w:highlight w:val="white"/>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643,925</w:t>
            </w:r>
          </w:p>
        </w:tc>
        <w:tc>
          <w:tcPr>
            <w:tcW w:w="2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55"/>
        </w:trPr>
        <w:tc>
          <w:tcPr>
            <w:tcW w:w="5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159,618</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157,312</w:t>
            </w:r>
          </w:p>
        </w:tc>
        <w:tc>
          <w:tcPr>
            <w:tcW w:w="2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499,685</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color w:val="auto"/>
                <w:highlight w:val="white"/>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486,613</w:t>
            </w:r>
          </w:p>
        </w:tc>
        <w:tc>
          <w:tcPr>
            <w:tcW w:w="2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55"/>
        </w:trPr>
        <w:tc>
          <w:tcPr>
            <w:tcW w:w="5020" w:type="dxa"/>
            <w:vAlign w:val="bottom"/>
          </w:tcPr>
          <w:p>
            <w:pPr>
              <w:ind w:left="20"/>
              <w:spacing w:after="0"/>
              <w:rPr>
                <w:sz w:val="20"/>
                <w:szCs w:val="20"/>
                <w:color w:val="auto"/>
              </w:rPr>
            </w:pPr>
            <w:r>
              <w:rPr>
                <w:rFonts w:ascii="Arial" w:cs="Arial" w:eastAsia="Arial" w:hAnsi="Arial"/>
                <w:sz w:val="18"/>
                <w:szCs w:val="18"/>
                <w:color w:val="auto"/>
              </w:rPr>
              <w:t>Less: Income (loss) attributable to noncontrolling interests</w:t>
            </w:r>
          </w:p>
        </w:tc>
        <w:tc>
          <w:tcPr>
            <w:tcW w:w="2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(1,732 )</w:t>
            </w:r>
          </w:p>
        </w:tc>
        <w:tc>
          <w:tcPr>
            <w:tcW w:w="10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(14,176 )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Net income attributable to UHS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501,417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3"/>
          </w:tcPr>
          <w:p>
            <w:pPr>
              <w:jc w:val="right"/>
              <w:ind w:right="5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040" w:type="dxa"/>
            <w:vAlign w:val="bottom"/>
          </w:tcPr>
          <w:p>
            <w:pPr>
              <w:jc w:val="right"/>
              <w:spacing w:after="0"/>
              <w:rPr>
                <w:sz w:val="20"/>
                <w:szCs w:val="20"/>
                <w:color w:val="auto"/>
              </w:rPr>
            </w:pPr>
            <w:r>
              <w:rPr>
                <w:rFonts w:ascii="Arial" w:cs="Arial" w:eastAsia="Arial" w:hAnsi="Arial"/>
                <w:sz w:val="18"/>
                <w:szCs w:val="18"/>
                <w:color w:val="auto"/>
              </w:rPr>
              <w:t>500,789</w:t>
            </w:r>
          </w:p>
        </w:tc>
        <w:tc>
          <w:tcPr>
            <w:tcW w:w="2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4794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9759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975995"/>
                    </a:xfrm>
                    <a:prstGeom prst="rect">
                      <a:avLst/>
                    </a:prstGeom>
                    <a:noFill/>
                  </pic:spPr>
                </pic:pic>
              </a:graphicData>
            </a:graphic>
          </wp:anchor>
        </w:drawing>
      </w:r>
    </w:p>
    <w:p>
      <w:pPr>
        <w:spacing w:after="0" w:line="7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Net revenues increased by 6.3%, or $626 million, to $10.578 billion during the nine-month period ended September 30, 2023, as compared to $9.952 billion during the first nine months of 2022. The net increase was primarily attributable to: (i) a $720 million or 7.5% increase in net revenues generated from our acute care hospital services and behavioral health services, on a same facility basis, and; (ii) $94 million of other combined net decreases including $121 million of decreased revenues at Desert Springs which discontinued all inpatient operations during the first quarter of 2023.</w:t>
      </w:r>
    </w:p>
    <w:p>
      <w:pPr>
        <w:spacing w:after="0" w:line="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Income before income taxes increased by $15 million, or 2%, to $659 million during the nine-month period ended September 30, 2023 as compared to $644 million during the first nine months of 2022. The net increase was due to:</w:t>
      </w:r>
    </w:p>
    <w:p>
      <w:pPr>
        <w:spacing w:after="0" w:line="62"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 increase of $23 million at our acute care facilities, as discussed below in </w:t>
      </w:r>
      <w:r>
        <w:rPr>
          <w:rFonts w:ascii="Arial" w:cs="Arial" w:eastAsia="Arial" w:hAnsi="Arial"/>
          <w:sz w:val="18"/>
          <w:szCs w:val="18"/>
          <w:i w:val="1"/>
          <w:iCs w:val="1"/>
          <w:color w:val="auto"/>
        </w:rPr>
        <w:t>Acute Care Hospital Services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 increase of $99 million at our behavioral health care facilities, as discussed below in </w:t>
      </w:r>
      <w:r>
        <w:rPr>
          <w:rFonts w:ascii="Arial" w:cs="Arial" w:eastAsia="Arial" w:hAnsi="Arial"/>
          <w:sz w:val="18"/>
          <w:szCs w:val="18"/>
          <w:i w:val="1"/>
          <w:iCs w:val="1"/>
          <w:color w:val="auto"/>
        </w:rPr>
        <w:t>Behavioral Health Services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760" w:right="640" w:hanging="378"/>
        <w:spacing w:after="0" w:line="307"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decrease of $70 million due to an increase in interest expense due to increases in our weighted average cost of borrowings and aggregate average borrowings outstanding, as discussed below in </w:t>
      </w:r>
      <w:r>
        <w:rPr>
          <w:rFonts w:ascii="Arial" w:cs="Arial" w:eastAsia="Arial" w:hAnsi="Arial"/>
          <w:sz w:val="17"/>
          <w:szCs w:val="17"/>
          <w:i w:val="1"/>
          <w:iCs w:val="1"/>
          <w:color w:val="auto"/>
        </w:rPr>
        <w:t>Other Operating Results-Interest Expense</w:t>
      </w:r>
      <w:r>
        <w:rPr>
          <w:rFonts w:ascii="Arial" w:cs="Arial" w:eastAsia="Arial" w:hAnsi="Arial"/>
          <w:sz w:val="17"/>
          <w:szCs w:val="17"/>
          <w:color w:val="auto"/>
        </w:rPr>
        <w:t>, and;</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32" w:name="page33"/>
    <w:bookmarkEnd w:id="32"/>
    <w:p>
      <w:pPr>
        <w:ind w:left="760" w:right="6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$37 million of other combined net decreases, including a $14 million increase in the unrealized loss in the market value of certain equity securities.</w:t>
      </w:r>
    </w:p>
    <w:p>
      <w:pPr>
        <w:spacing w:after="0" w:line="62"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color w:val="auto"/>
        </w:rPr>
        <w:t>Net income attributable to UHS increased less than $1 million amounting to $501 million during each of the nine-month periods ended September 30, 2023 and 2022. Reflected below are the changes experienced during the first nine months of 2023 as compared to the comparable prior year period:</w:t>
      </w:r>
    </w:p>
    <w:p>
      <w:pPr>
        <w:spacing w:after="0" w:line="39"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$15 million increase in income before income taxes, as discussed above;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$12 million due to a decrease in the loss attributable to noncontrolling interests, and;</w:t>
      </w:r>
    </w:p>
    <w:p>
      <w:pPr>
        <w:spacing w:after="0" w:line="116"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$2 million resulting from an increase in the provision for income taxes due primarily to the income tax expense recorded in connection with the $3 million increase in pre-tax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Adjustments to self-insured professional and general liability and workers' compensation liability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and general liability:</w:t>
      </w:r>
    </w:p>
    <w:p>
      <w:pPr>
        <w:spacing w:after="0" w:line="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w:t>
      </w:r>
    </w:p>
    <w:p>
      <w:pPr>
        <w:spacing w:after="0" w:line="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unfavorable trends experienced during 2023 and 2022, included in our results of operations during the first nine months of 2023, was a $25 million increase to our reserves for self-insured professional and general liability claims ($20 million and $5 million recorded during the second and third quarters of 2023, respectively), of which approximately $18 million is included in our same facility basis acute care hospitals services’ results and approximately $7 million is included in our behavioral health services’ results.</w:t>
      </w:r>
    </w:p>
    <w:p>
      <w:pPr>
        <w:spacing w:after="0" w:line="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Included in our results of operations during the first nine months of 2022, was a $16 million increase to our reserves for self-insured professional and general liability claims (recorded during the second quarter of 2022), of which approximately $10 million is included in our same facility basis acute care hospitals services’ results and approximately $6 million is included in our behavioral health services’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Workers' compensation liability:</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a result of favorable trends experienced recently, our results of operations during the nine-month period ended September 30, 2023 included a decrease to our reserves for self-insured workers' compensation liability claims amounting to approximately $10 million, of which approximately $4 million is included in our same facility basis acute care hospitals services’ results, and approximately $5 million is included in our behavioral health services’ results.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Acute Care Hospital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Facility Basis Acute Care Hospital Services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Our Same Facility basis results reflected on the table below also exclude from net revenues and other operating expenses, provider tax assessments incurred in each period as discussed below </w:t>
      </w:r>
      <w:r>
        <w:rPr>
          <w:rFonts w:ascii="Arial" w:cs="Arial" w:eastAsia="Arial" w:hAnsi="Arial"/>
          <w:sz w:val="18"/>
          <w:szCs w:val="18"/>
          <w:i w:val="1"/>
          <w:iCs w:val="1"/>
          <w:color w:val="auto"/>
        </w:rPr>
        <w:t>Sources of Revenue-Various State Medicaid Supplemental Payment Programs.</w:t>
      </w:r>
      <w:r>
        <w:rPr>
          <w:rFonts w:ascii="Arial" w:cs="Arial" w:eastAsia="Arial" w:hAnsi="Arial"/>
          <w:sz w:val="18"/>
          <w:szCs w:val="18"/>
          <w:color w:val="auto"/>
        </w:rPr>
        <w:t xml:space="preserve"> However, these provider tax assessments are included in net revenues and other operating expenses as reflected in the table below under </w:t>
      </w:r>
      <w:r>
        <w:rPr>
          <w:rFonts w:ascii="Arial" w:cs="Arial" w:eastAsia="Arial" w:hAnsi="Arial"/>
          <w:sz w:val="18"/>
          <w:szCs w:val="18"/>
          <w:i w:val="1"/>
          <w:iCs w:val="1"/>
          <w:color w:val="auto"/>
        </w:rPr>
        <w:t>All Acute Care Hospital Services</w:t>
      </w:r>
      <w:r>
        <w:rPr>
          <w:rFonts w:ascii="Arial" w:cs="Arial" w:eastAsia="Arial" w:hAnsi="Arial"/>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results of operations for our acute care facilities on a Same Facility basis and is used in the discussion below for the three and nine-month periods ended September 30, 2023 and 2022 (dollar amounts in thousands):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5"/>
                <w:szCs w:val="15"/>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19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1"/>
              </w:rPr>
              <w:t>September 30, 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b w:val="1"/>
                <w:bCs w:val="1"/>
                <w:color w:val="auto"/>
              </w:rPr>
              <w:t>% of Net</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 of Net</w:t>
            </w:r>
          </w:p>
        </w:tc>
        <w:tc>
          <w:tcPr>
            <w:tcW w:w="120" w:type="dxa"/>
            <w:vAlign w:val="bottom"/>
          </w:tcPr>
          <w:p>
            <w:pPr>
              <w:spacing w:after="0"/>
              <w:rPr>
                <w:sz w:val="13"/>
                <w:szCs w:val="13"/>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vMerge w:val="restart"/>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 Net</w:t>
            </w:r>
          </w:p>
        </w:tc>
        <w:tc>
          <w:tcPr>
            <w:tcW w:w="120" w:type="dxa"/>
            <w:vAlign w:val="bottom"/>
          </w:tcPr>
          <w:p>
            <w:pPr>
              <w:spacing w:after="0"/>
              <w:rPr>
                <w:sz w:val="13"/>
                <w:szCs w:val="13"/>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Revenues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Revenues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Revenues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Revenues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1,965,856</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100.0 %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1,828,370</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100.0 %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5,808,205</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100.0 %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5,432,868</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9"/>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charges: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00"/>
              <w:spacing w:after="0"/>
              <w:rPr>
                <w:sz w:val="20"/>
                <w:szCs w:val="20"/>
                <w:color w:val="auto"/>
              </w:rPr>
            </w:pPr>
            <w:r>
              <w:rPr>
                <w:rFonts w:ascii="Arial" w:cs="Arial" w:eastAsia="Arial" w:hAnsi="Arial"/>
                <w:sz w:val="16"/>
                <w:szCs w:val="16"/>
                <w:color w:val="auto"/>
              </w:rPr>
              <w:t>Salaries, wages and benefits</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854,215</w:t>
            </w: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43.5 %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801,252</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43.8 %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2,493,271</w:t>
            </w: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42.9 %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2,412,699</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44.4 %</w:t>
            </w:r>
          </w:p>
        </w:tc>
        <w:tc>
          <w:tcPr>
            <w:tcW w:w="0" w:type="dxa"/>
            <w:vAlign w:val="bottom"/>
          </w:tcPr>
          <w:p>
            <w:pPr>
              <w:spacing w:after="0"/>
              <w:rPr>
                <w:sz w:val="1"/>
                <w:szCs w:val="1"/>
                <w:color w:val="auto"/>
              </w:rPr>
            </w:pPr>
          </w:p>
        </w:tc>
      </w:tr>
      <w:tr>
        <w:trPr>
          <w:trHeight w:val="229"/>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543,707</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27.7 %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478,221</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26.2 %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1,584,820</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27.3 %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1,382,250</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200"/>
              <w:spacing w:after="0"/>
              <w:rPr>
                <w:sz w:val="20"/>
                <w:szCs w:val="20"/>
                <w:color w:val="auto"/>
              </w:rPr>
            </w:pPr>
            <w:r>
              <w:rPr>
                <w:rFonts w:ascii="Arial" w:cs="Arial" w:eastAsia="Arial" w:hAnsi="Arial"/>
                <w:sz w:val="16"/>
                <w:szCs w:val="16"/>
                <w:color w:val="auto"/>
              </w:rPr>
              <w:t>Supplies expense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324,226</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16.5 %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302,162</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16.5 %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964,228</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16.6 %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904,547</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229"/>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86,583</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4.4 %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92,830</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5.1 %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265,021</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274,574</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6"/>
                <w:szCs w:val="16"/>
                <w:color w:val="auto"/>
              </w:rPr>
              <w:t>Lease and rental expense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24,404</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1.2 %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21,847</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71,635</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62,756</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Subtotal-operating expenses</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1,833,135</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93.2 %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1,696,312</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92.8 %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5,378,975</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92.6 %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5,036,826</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92.7 %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132,721</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color w:val="auto"/>
                <w:highlight w:val="white"/>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132,058</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color w:val="auto"/>
                <w:highlight w:val="white"/>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429,230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color w:val="auto"/>
                <w:highlight w:val="white"/>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396,042</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29"/>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(778 )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(0.0 )%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(1,858 )</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(1,045 )</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(0.1 )%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5,168</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806</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134,544</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131,440</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7.2 %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425,920</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393,886</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7.3 %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-589915</wp:posOffset>
            </wp:positionV>
            <wp:extent cx="7683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-589915</wp:posOffset>
            </wp:positionV>
            <wp:extent cx="7683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-589915</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-589915</wp:posOffset>
            </wp:positionV>
            <wp:extent cx="6858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Three-month periods ended September 30, 2023 and 2022:</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the three-month period ended September 30, 2023, as compared to the comparable prior year quarter, net revenues from our acute care hospital services, on a Same Facility basis, increased by $137 million or 7.5%. Income before income taxes (and before income attributable to noncontrolling interests) increased by $3 million, or 2%, amounting to $135 million, or 6.8% of net revenues during the third quarter of 2023, as compared to $131 million, or 7.2% of net revenues during the third quarter of 2022.</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three-month period ended September 30, 2023, net revenue per adjusted admission increased by 0.4% while net revenue per adjusted patient day increased 3.3%, as compared to the comparable quarter of 2022. During the third quarter of 2023, as compared to the comparable quarter of 2022, our acute care hospital services' net revenues were unfavorably impacted by a greater percentage of lower acuity procedures as well as an increase in denied claims and challenges to patient status classifications by certain of our commercial payers. During the three-month period ended September 30, 2023, as compared to the comparable prior year quarter, inpatient admissions to our acute care hospitals increased by 6.2% while adjusted admissions (adjusted for outpatient activity) increased by 6.8%. Patient days at these facilities increased by 3.2% and adjusted patient days increased by 3.8% during the three-month period ended September 30, 2023, as compared to the comparable prior year quarter. The average length of inpatient stay at these facilities was 4.8 days and 4.9 days during the three-month periods ended September 30, 2023 and 2022, respectively. The occupancy rate, based on the average available beds at these facilities, was 64% and 62% during the three-month periods ended September 30, 2023 and 2022, respectively.</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a Same Facility basis during the three-month period ended September 30, 2023, as compared to the comparable quarter of 2022, salaries, wages and benefits expense increased by $53 million, or 6.6%. As a percentage of net revenues, salaries, wages and benefits expense decreased to 43.5% during the third quarter of 2023 as compared to 43.8% during the third quarter of 2022.</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Other operating expenses increased $65 million, or 13.7%, during the third quarter of 2023, as compared to the comparable quarter of 2022. Excluding the operating expenses incurred by our commercial health insurer, which increased by $1 million during the third quarter of 2023, as compared to the third quarter of 2022, other operating expenses increased by $64 million, or 17.3%, as compared to last year's third quarter. The increase during the third quarter of 2023, as compared to the comparable quarter of 2022, was due primarily to a $29 million, or 24.3%, increase in physician-related expenses (as discussed above in </w:t>
      </w:r>
      <w:r>
        <w:rPr>
          <w:rFonts w:ascii="Arial" w:cs="Arial" w:eastAsia="Arial" w:hAnsi="Arial"/>
          <w:sz w:val="18"/>
          <w:szCs w:val="18"/>
          <w:i w:val="1"/>
          <w:iCs w:val="1"/>
          <w:color w:val="auto"/>
        </w:rPr>
        <w:t>Results of Operations - Clinical Staffing, Physician Related Expenses, Effects of Inflation and COVID-19),</w:t>
      </w:r>
      <w:r>
        <w:rPr>
          <w:rFonts w:ascii="Arial" w:cs="Arial" w:eastAsia="Arial" w:hAnsi="Arial"/>
          <w:sz w:val="18"/>
          <w:szCs w:val="18"/>
          <w:color w:val="auto"/>
        </w:rPr>
        <w:t xml:space="preserve"> as well as the expenses related to the increase in patient volumes.</w:t>
      </w:r>
    </w:p>
    <w:p>
      <w:pPr>
        <w:spacing w:after="0" w:line="8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Supplies expense increased $22 million, or 7.3%, during the third quarter of 2023, as compared to the third quarter of 2022. The increase was due, in part, to the increase in patient volumes experienced during the third quarter of 2023, as compared to the comparable quarter of 2022. As a percentage of net revenues, supplies expense remained unchanged at 16.5% during each of the three-month periods ended September 30, 2023 and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Nine-month periods ended September 30, 2023 and 2022:</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nine-month period ended September 30, 2023, as compared to the comparable prior year period, net revenues from our acute care hospital services, on a Same Facility basis, increased by $375 million or 6.9%. Income before income taxes increased by $32 million, or 8%, amounting to $426 million, or 7.3% of net revenues during the first nine months of 2023, as compared to $394 million, or 7.3% of net revenues during the comparable period of 2022.</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nine-month period ended September 30, 2023, net revenue per adjusted admission decreased by 2.0% while net revenue per adjusted patient day increased by 1.3%, as compared to the comparable period of 2022. During the first nine months of 2023, as compared to the comparable period of 2022, the net revenue per adjusted admission, and per adjusted patient day, were pressured by the following: (i) a greater percentage of lower acuity procedures; (ii) an increase in denied claims and challenges to patient status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classifications by certain of our commercial payers, and; (iii) a decrease in the number of patients with a COVID-19 diagnosis treated at our acute care hospitals and less incremental government reimbursement associated with COVID-19 patients.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the nine-month period ended September 30, 2023, as compared to the comparable prior year period, inpatient admissions to our acute care hospitals increased by 6.8% while adjusted admissions increased by 8.3%. Patient days at these facilities increased by 3.2% and adjusted patient days increased by 4.8% during the nine-month period ended September 30, 2023, as compared to the comparable prior year period. The average length of inpatient stay at these facilities was 4.9 days and 5.1 days during the nine-month periods ended September 30, 2023 and 2022, respectively. The occupancy rate, based on the average available beds at these facilities, was 66% and 64% during the nine-month periods ended September 30, 2023 and 2022, respectively.</w:t>
      </w:r>
    </w:p>
    <w:p>
      <w:pPr>
        <w:spacing w:after="0" w:line="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a Same Facility basis during the nine-month period ended September 30, 2023, as compared to the comparable period of 2022, salaries, wages and benefits expense increased by $81 million, or 3.3%. As a percentage of net revenues, salaries, wages and benefits expense decreased to 42.9% during the first nine months of 2023 as compared to 44.4% during the first nine months of 2022.</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Other operating expenses increased $203 million, or 14.7%, during the first nine months of 2023, as compared to the comparable period of 2022. Operating expenses incurred by our commercial health insurer, consisting primarily of medical costs, increased approximately $33 million during the first nine months of 2023 as compared to the comparable period of 2022. Excluding the operating expenses incurred by our commercial health insurer, other operating expenses increased $169 million, or 15.7% during the first nine months of 2023 as compared to the comparable period of 2022. The increase during the first nine months of 2023, as compared to the comparable period of 2022, was due primarily to a $91 million, or 26.1%, increase in physician-related expenses (as discussed above in </w:t>
      </w:r>
      <w:r>
        <w:rPr>
          <w:rFonts w:ascii="Arial" w:cs="Arial" w:eastAsia="Arial" w:hAnsi="Arial"/>
          <w:sz w:val="18"/>
          <w:szCs w:val="18"/>
          <w:i w:val="1"/>
          <w:iCs w:val="1"/>
          <w:color w:val="auto"/>
        </w:rPr>
        <w:t>Results of Operations - Clinical Staffing, Physician Related Expenses, Effects of Inflation and COVID-19),</w:t>
      </w:r>
      <w:r>
        <w:rPr>
          <w:rFonts w:ascii="Arial" w:cs="Arial" w:eastAsia="Arial" w:hAnsi="Arial"/>
          <w:sz w:val="18"/>
          <w:szCs w:val="18"/>
          <w:color w:val="auto"/>
        </w:rPr>
        <w:t xml:space="preserve"> as well as the expenses related to the increase in patient volumes.</w:t>
      </w:r>
    </w:p>
    <w:p>
      <w:pPr>
        <w:spacing w:after="0" w:line="8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Supplies expense increased $60 million, or 6.6%, during the first nine months of 2023, as compared to the comparable period of 2022. The increase was due, in part, to the increase in patient volumes experienced during the first nine months of 2023, as compared to the comparable period of 2022. As a percentage of net revenues, supplies expense remained unchanged at 16.6% during each of the nine-month periods ended September 30, 2023 and 2022.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Acute Care Hospitals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following table summarizes the results of operations for all our acute care operations during the three and nine-month periods ended September 30, 2023 and 2022.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if applicable, the results of recently acquired/opened facilities and businesses as well as the operating results for Desert Springs which discontinued all inpatient operations during the first quarter of 2023. Dollar amounts below are reflected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2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 2022</w:t>
            </w:r>
          </w:p>
        </w:tc>
      </w:tr>
      <w:tr>
        <w:trPr>
          <w:trHeight w:val="160"/>
        </w:trPr>
        <w:tc>
          <w:tcPr>
            <w:tcW w:w="2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8"/>
              <w:spacing w:after="0" w:line="159" w:lineRule="exact"/>
              <w:rPr>
                <w:sz w:val="20"/>
                <w:szCs w:val="20"/>
                <w:color w:val="auto"/>
              </w:rPr>
            </w:pPr>
            <w:r>
              <w:rPr>
                <w:rFonts w:ascii="Arial" w:cs="Arial" w:eastAsia="Arial" w:hAnsi="Arial"/>
                <w:sz w:val="14"/>
                <w:szCs w:val="14"/>
                <w:b w:val="1"/>
                <w:bCs w:val="1"/>
                <w:color w:val="auto"/>
              </w:rPr>
              <w:t>% of Net</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08"/>
              <w:spacing w:after="0" w:line="159" w:lineRule="exact"/>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88"/>
              <w:spacing w:after="0" w:line="159" w:lineRule="exact"/>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08"/>
              <w:spacing w:after="0" w:line="15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120" w:type="dxa"/>
            <w:vAlign w:val="bottom"/>
            <w:gridSpan w:val="2"/>
          </w:tcPr>
          <w:p>
            <w:pPr>
              <w:spacing w:after="0"/>
              <w:rPr>
                <w:sz w:val="16"/>
                <w:szCs w:val="16"/>
                <w:color w:val="auto"/>
              </w:rPr>
            </w:pPr>
          </w:p>
        </w:tc>
      </w:tr>
      <w:tr>
        <w:trPr>
          <w:trHeight w:val="223"/>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2,017,288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1,919,678</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5,993,899</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5,707,510</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9"/>
                <w:szCs w:val="19"/>
                <w:color w:val="auto"/>
              </w:rPr>
            </w:pPr>
          </w:p>
        </w:tc>
      </w:tr>
      <w:tr>
        <w:trPr>
          <w:trHeight w:val="220"/>
        </w:trPr>
        <w:tc>
          <w:tcPr>
            <w:tcW w:w="2480" w:type="dxa"/>
            <w:vAlign w:val="bottom"/>
          </w:tcPr>
          <w:p>
            <w:pPr>
              <w:ind w:left="20"/>
              <w:spacing w:after="0"/>
              <w:rPr>
                <w:sz w:val="20"/>
                <w:szCs w:val="20"/>
                <w:color w:val="auto"/>
              </w:rPr>
            </w:pPr>
            <w:r>
              <w:rPr>
                <w:rFonts w:ascii="Arial" w:cs="Arial" w:eastAsia="Arial" w:hAnsi="Arial"/>
                <w:sz w:val="16"/>
                <w:szCs w:val="16"/>
                <w:color w:val="auto"/>
              </w:rPr>
              <w:t>Operating charges: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Salaries, wages and benefits</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854,587</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42.4 %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824,942</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43.0 %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2,534,878</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42.3 %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2,497,888</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43.8 %</w:t>
            </w:r>
          </w:p>
        </w:tc>
        <w:tc>
          <w:tcPr>
            <w:tcW w:w="20" w:type="dxa"/>
            <w:vAlign w:val="bottom"/>
          </w:tcPr>
          <w:p>
            <w:pPr>
              <w:spacing w:after="0"/>
              <w:rPr>
                <w:sz w:val="21"/>
                <w:szCs w:val="21"/>
                <w:color w:val="auto"/>
              </w:rPr>
            </w:pPr>
          </w:p>
        </w:tc>
      </w:tr>
      <w:tr>
        <w:trPr>
          <w:trHeight w:val="229"/>
        </w:trPr>
        <w:tc>
          <w:tcPr>
            <w:tcW w:w="248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596,834</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29.6 %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535,463</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27.9 %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1,731,750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28.9 %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1,550,044</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27.2 %</w:t>
            </w:r>
          </w:p>
        </w:tc>
      </w:tr>
      <w:tr>
        <w:trPr>
          <w:trHeight w:val="229"/>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Supplies expense</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323,475</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16.0 %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311,404</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979,185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935,559</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16.4 %</w:t>
            </w:r>
          </w:p>
        </w:tc>
        <w:tc>
          <w:tcPr>
            <w:tcW w:w="20" w:type="dxa"/>
            <w:vAlign w:val="bottom"/>
          </w:tcPr>
          <w:p>
            <w:pPr>
              <w:spacing w:after="0"/>
              <w:rPr>
                <w:sz w:val="19"/>
                <w:szCs w:val="19"/>
                <w:color w:val="auto"/>
              </w:rPr>
            </w:pPr>
          </w:p>
        </w:tc>
      </w:tr>
      <w:tr>
        <w:trPr>
          <w:trHeight w:val="229"/>
        </w:trPr>
        <w:tc>
          <w:tcPr>
            <w:tcW w:w="24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86,535</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4.3 %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96,020</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274,165</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4.6 %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285,558</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5.0 %</w:t>
            </w:r>
          </w:p>
        </w:tc>
      </w:tr>
      <w:tr>
        <w:trPr>
          <w:trHeight w:val="216"/>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and rental expense</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24,440</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21,990</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72,629</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63,324</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20" w:type="dxa"/>
            <w:vAlign w:val="bottom"/>
          </w:tcPr>
          <w:p>
            <w:pPr>
              <w:spacing w:after="0"/>
              <w:rPr>
                <w:sz w:val="18"/>
                <w:szCs w:val="18"/>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Subtotal-operating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1,885,871</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93.5 </w:t>
            </w:r>
            <w:r>
              <w:rPr>
                <w:rFonts w:ascii="Arial" w:cs="Arial" w:eastAsia="Arial" w:hAnsi="Arial"/>
                <w:sz w:val="14"/>
                <w:szCs w:val="14"/>
                <w:color w:val="auto"/>
                <w:highlight w:val="white"/>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1,789,819</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 xml:space="preserve">93.2 </w:t>
            </w:r>
            <w:r>
              <w:rPr>
                <w:rFonts w:ascii="Arial" w:cs="Arial" w:eastAsia="Arial" w:hAnsi="Arial"/>
                <w:sz w:val="14"/>
                <w:szCs w:val="14"/>
                <w:color w:val="auto"/>
                <w:highlight w:val="white"/>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5,592,607</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93.3 </w:t>
            </w:r>
            <w:r>
              <w:rPr>
                <w:rFonts w:ascii="Arial" w:cs="Arial" w:eastAsia="Arial" w:hAnsi="Arial"/>
                <w:sz w:val="14"/>
                <w:szCs w:val="14"/>
                <w:color w:val="auto"/>
                <w:highlight w:val="white"/>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5,332,373</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 xml:space="preserve">93.4 </w:t>
            </w:r>
            <w:r>
              <w:rPr>
                <w:rFonts w:ascii="Arial" w:cs="Arial" w:eastAsia="Arial" w:hAnsi="Arial"/>
                <w:sz w:val="14"/>
                <w:szCs w:val="14"/>
                <w:color w:val="auto"/>
                <w:highlight w:val="white"/>
              </w:rPr>
              <w:t>%</w:t>
            </w:r>
          </w:p>
        </w:tc>
      </w:tr>
      <w:tr>
        <w:trPr>
          <w:trHeight w:val="20"/>
        </w:trPr>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131,417</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6.5 %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129,859</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6.8 %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401,292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6.7 %</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375,137</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6.6 %</w:t>
            </w:r>
          </w:p>
        </w:tc>
        <w:tc>
          <w:tcPr>
            <w:tcW w:w="20" w:type="dxa"/>
            <w:vAlign w:val="bottom"/>
          </w:tcPr>
          <w:p>
            <w:pPr>
              <w:spacing w:after="0"/>
              <w:rPr>
                <w:sz w:val="19"/>
                <w:szCs w:val="19"/>
                <w:color w:val="auto"/>
              </w:rPr>
            </w:pPr>
          </w:p>
        </w:tc>
      </w:tr>
      <w:tr>
        <w:trPr>
          <w:trHeight w:val="229"/>
        </w:trPr>
        <w:tc>
          <w:tcPr>
            <w:tcW w:w="24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(778 )</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(1,858 )</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1,350</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0.0 %</w:t>
            </w:r>
          </w:p>
        </w:tc>
      </w:tr>
      <w:tr>
        <w:trPr>
          <w:trHeight w:val="216"/>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(211 )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(0.0 )%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0.0 %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6,921</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8"/>
                <w:szCs w:val="18"/>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132,406</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color w:val="auto"/>
                <w:highlight w:val="white"/>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129,241</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396,229</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372,981</w:t>
            </w: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color w:val="auto"/>
                <w:highlight w:val="white"/>
              </w:rPr>
              <w:t>%</w:t>
            </w:r>
          </w:p>
        </w:tc>
      </w:tr>
      <w:tr>
        <w:trPr>
          <w:trHeight w:val="20"/>
        </w:trPr>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-735965</wp:posOffset>
            </wp:positionV>
            <wp:extent cx="7683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-735965</wp:posOffset>
            </wp:positionV>
            <wp:extent cx="76835"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-735965</wp:posOffset>
            </wp:positionV>
            <wp:extent cx="6858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-735965</wp:posOffset>
            </wp:positionV>
            <wp:extent cx="6858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-153670</wp:posOffset>
            </wp:positionV>
            <wp:extent cx="7683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-153670</wp:posOffset>
            </wp:positionV>
            <wp:extent cx="7683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-153670</wp:posOffset>
            </wp:positionV>
            <wp:extent cx="6858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-153670</wp:posOffset>
            </wp:positionV>
            <wp:extent cx="6858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Three-month periods ended September 30, 2023 and 2022:</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During the three-month period ended September 30, 2023, as compared to the comparable prior year quarter, net revenues from our acute care hospital services increased by $98 million, or 5.1%, due to: (i) the $137 million, or 7.5% increase in Same Facility revenues, as discussed above, and; (ii) $39 million of other combined net decreases consisting primarily of decreased revenues at Desert Springs.</w:t>
      </w:r>
    </w:p>
    <w:p>
      <w:pPr>
        <w:spacing w:after="0" w:line="7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Income before income taxes increased by $3 million, or 2%, to $132 million, or 6.6% of net revenues during the third quarter of 2023, as compared to $129 million, or 6.7% of net revenues during the third quarter of 2022. The $3 million increase in income before income taxes from our acute care hospital services resulted from the increase in income before income taxes from our acute care hospital services, on a Same Facility basis, as discussed above.</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5" w:name="page36"/>
    <w:bookmarkEnd w:id="35"/>
    <w:p>
      <w:pPr>
        <w:jc w:val="both"/>
        <w:ind w:right="120"/>
        <w:spacing w:after="0" w:line="286" w:lineRule="auto"/>
        <w:rPr>
          <w:sz w:val="20"/>
          <w:szCs w:val="20"/>
          <w:color w:val="auto"/>
        </w:rPr>
      </w:pPr>
      <w:r>
        <w:rPr>
          <w:rFonts w:ascii="Arial" w:cs="Arial" w:eastAsia="Arial" w:hAnsi="Arial"/>
          <w:sz w:val="17"/>
          <w:szCs w:val="17"/>
          <w:color w:val="auto"/>
        </w:rPr>
        <w:t>During the three-month period ended September 30, 2023, as compared to the comparable quarter of 2022, salaries, wages and benefits expense increased by $30 million, or 3.6%. The increase was due primarily to the above-mentioned $53 million increase related to our acute care hospital services, on a Same Facility basis, partially offset by the decreased salaries, wages and benefits expense incurred at Desert Springs.</w:t>
      </w:r>
    </w:p>
    <w:p>
      <w:pPr>
        <w:spacing w:after="0" w:line="56"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Other operating expenses increased $61 million, or 11.5%, during the third quarter of 2023, as compared to the comparable quarter of 2022. The increase was due primarily to the $65 million above-mentioned increase related to our acute care hospital services, on a Same Facility basis.</w:t>
      </w:r>
    </w:p>
    <w:p>
      <w:pPr>
        <w:spacing w:after="0" w:line="3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Supplies expense increased by $12 million, or 3.9%, during the third quarter of 2023, as compared to the comparable quarter of 2022. The increase was due primarily to the above-mentioned $22 million increase related to our acute care hospital services, on a Same Facility basis, partially offset by decreased supplies expense incurred at Desert Springs.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Nine-month periods ended September 30, 2023 and 2022:</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nine-month period ended September 30, 2023, as compared to the comparable prior year period, net revenues from our acute care hospital services increased by $286 million, or 5.0%, due to: (i) the $375 million, or 6.9% increase in Same Facility revenues, as discussed above, and; (ii) $89 million of other combined net decreases consisting primarily of decreased revenues at Desert Springs and decreased provider tax assessments, partially offset by the revenues generated at a 170-bed acute care hospital located in Reno, Nevada, that opened in early April, 2022 (this facility was reflected in our acute care hospital services' operating results effective May 1st of each year).</w:t>
      </w:r>
    </w:p>
    <w:p>
      <w:pPr>
        <w:spacing w:after="0" w:line="6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Income before income taxes increased by $23 million, or 6%, to $396 million, or 6.6% of net revenues during the first nine months of 2023, as compared to $373 million, or 6.5% of net revenues during the comparable period of 2022. The $23 million increase in income before income taxes from our acute care hospital services resulted from the $32 million, or 8%, increase in income before income taxes at our acute care hospital services, on a Same Facility basis, as discussed above, and $9 million of other combined net decreases related primarily to the increased losses incurred at Desert Springs.</w:t>
      </w:r>
    </w:p>
    <w:p>
      <w:pPr>
        <w:spacing w:after="0" w:line="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nine-month period ended September 30, 2023, as compared to the comparable period of 2022, salaries, wages and benefits expense increased by $37 million, or 1.5%. The increase was due primarily to the above-mentioned $81 million increase related to our acute care hospital services, on a Same Facility basis, partially offset by a combined net decrease of $44 million resulting primarily from decreased salaries, wages and benefits expense related to Desert Springs.</w:t>
      </w:r>
    </w:p>
    <w:p>
      <w:pPr>
        <w:spacing w:after="0" w:line="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Other operating expenses increased $182 million, or 11.7%, during the first nine months of 2023, as compared to the comparable period of 2022. The increase was due primarily to the $203 million above-mentioned increase related to our acute care hospital services, on a Same Facility basis, partially offset by combined a decrease of $21 million resulting primarily from decreased operating expenses related to Desert Springs and decreased provider tax assessments.</w:t>
      </w:r>
    </w:p>
    <w:p>
      <w:pPr>
        <w:spacing w:after="0" w:line="7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Supplies expense increased by $44 million, or 4.7%, during the first nine months of 2023, as compared to the comparable period of 2022. The increase was due primarily to the above-mentioned $60 million increase related to our acute care hospital services, on a Same Facility basis, partially offset by a combined net decrease of $16 million resulting primarily from decreased supplies expense related to Desert Springs.</w:t>
      </w:r>
    </w:p>
    <w:p>
      <w:pPr>
        <w:spacing w:after="0" w:line="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Results of Operations - Clinical Staffing, Physician Related Expenses, Effects of Inflation and COVID-19</w:t>
      </w:r>
      <w:r>
        <w:rPr>
          <w:rFonts w:ascii="Arial" w:cs="Arial" w:eastAsia="Arial" w:hAnsi="Arial"/>
          <w:sz w:val="18"/>
          <w:szCs w:val="18"/>
          <w:color w:val="auto"/>
        </w:rPr>
        <w:t xml:space="preserve"> above for additional disclosure regarding the factors impacting our operating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Charity Care and Uninsured Discounts: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the amounts recorded at our acute care hospitals for charity care and uninsured discounts, based on charges at established rates, for the three and nine-month periods ended September 30, 2023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Uncompensated care: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1"/>
                <w:szCs w:val="21"/>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1"/>
                <w:szCs w:val="21"/>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8"/>
                <w:szCs w:val="18"/>
                <w:color w:val="auto"/>
              </w:rPr>
              <w:t>Charity care</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34 %</w:t>
            </w: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192</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31 %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31 %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6"/>
        </w:trPr>
        <w:tc>
          <w:tcPr>
            <w:tcW w:w="1740" w:type="dxa"/>
            <w:vAlign w:val="bottom"/>
          </w:tcPr>
          <w:p>
            <w:pPr>
              <w:ind w:left="20"/>
              <w:spacing w:after="0"/>
              <w:rPr>
                <w:sz w:val="20"/>
                <w:szCs w:val="20"/>
                <w:color w:val="auto"/>
              </w:rPr>
            </w:pPr>
            <w:r>
              <w:rPr>
                <w:rFonts w:ascii="Arial" w:cs="Arial" w:eastAsia="Arial" w:hAnsi="Arial"/>
                <w:sz w:val="18"/>
                <w:szCs w:val="18"/>
                <w:color w:val="auto"/>
              </w:rPr>
              <w:t>Uninsured discounts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66 %</w:t>
            </w:r>
          </w:p>
        </w:tc>
        <w:tc>
          <w:tcPr>
            <w:tcW w:w="6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429</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40" w:type="dxa"/>
            <w:vAlign w:val="bottom"/>
            <w:vMerge w:val="continue"/>
          </w:tcPr>
          <w:p>
            <w:pPr>
              <w:spacing w:after="0"/>
              <w:rPr>
                <w:sz w:val="18"/>
                <w:szCs w:val="18"/>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240" w:type="dxa"/>
            <w:vAlign w:val="bottom"/>
            <w:vMerge w:val="restart"/>
          </w:tcPr>
          <w:p>
            <w:pPr>
              <w:spacing w:after="0"/>
              <w:rPr>
                <w:sz w:val="18"/>
                <w:szCs w:val="18"/>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100 %</w:t>
            </w:r>
          </w:p>
        </w:tc>
        <w:tc>
          <w:tcPr>
            <w:tcW w:w="640" w:type="dxa"/>
            <w:vAlign w:val="bottom"/>
            <w:vMerge w:val="restart"/>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3"/>
              </w:rPr>
              <w:t>621</w:t>
            </w:r>
          </w:p>
        </w:tc>
        <w:tc>
          <w:tcPr>
            <w:tcW w:w="15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100 %</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1,860</w:t>
            </w:r>
          </w:p>
        </w:tc>
        <w:tc>
          <w:tcPr>
            <w:tcW w:w="13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100 %</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1,715</w:t>
            </w: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3" w:lineRule="exact"/>
              <w:rPr>
                <w:sz w:val="20"/>
                <w:szCs w:val="20"/>
                <w:color w:val="auto"/>
              </w:rPr>
            </w:pPr>
            <w:r>
              <w:rPr>
                <w:rFonts w:ascii="Arial" w:cs="Arial" w:eastAsia="Arial" w:hAnsi="Arial"/>
                <w:sz w:val="18"/>
                <w:szCs w:val="18"/>
                <w:color w:val="auto"/>
              </w:rPr>
              <w:t>uncompensated care</w:t>
            </w: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cost of providing uncompensated care: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estimated costs of providing uncompensated care as reflected below were based on a calculation which multiplied the percentage of operating expenses for our acute care hospitals to gross charges for those hospitals by the above-mentioned total uncompensated</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color w:val="auto"/>
        </w:rPr>
        <w:t>care amounts. The percentage of cost to gross charges is calculated based on the total operating expenses for our acute care facilities divided by gross patient service revenue for those facilities.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80"/>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5"/>
                <w:szCs w:val="15"/>
                <w:color w:val="auto"/>
              </w:rPr>
            </w:pPr>
          </w:p>
        </w:tc>
      </w:tr>
      <w:tr>
        <w:trPr>
          <w:trHeight w:val="245"/>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cost of providing charity care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0"/>
                <w:szCs w:val="20"/>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Estimated cost of providing uninsured discounts related care</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r>
      <w:tr>
        <w:trPr>
          <w:trHeight w:val="276"/>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Estimated cost of providing uncompensated care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-24765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Behavioral Health Services</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believe that providing our results on a Same Facility basis,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8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Our Same Facility basis results reflected on the table below also excludes from net revenues and other operating expenses, provider tax assessments incurred in each period as discussed below </w:t>
      </w:r>
      <w:r>
        <w:rPr>
          <w:rFonts w:ascii="Arial" w:cs="Arial" w:eastAsia="Arial" w:hAnsi="Arial"/>
          <w:sz w:val="17"/>
          <w:szCs w:val="17"/>
          <w:i w:val="1"/>
          <w:iCs w:val="1"/>
          <w:color w:val="auto"/>
        </w:rPr>
        <w:t>Sources of Revenue-Various State Medicaid Supplemental Payment Programs.</w:t>
      </w:r>
      <w:r>
        <w:rPr>
          <w:rFonts w:ascii="Arial" w:cs="Arial" w:eastAsia="Arial" w:hAnsi="Arial"/>
          <w:sz w:val="17"/>
          <w:szCs w:val="17"/>
          <w:color w:val="auto"/>
        </w:rPr>
        <w:t xml:space="preserve"> However, these provider tax assessments are included in net revenues and other operating expenses as reflected in the table below under </w:t>
      </w:r>
      <w:r>
        <w:rPr>
          <w:rFonts w:ascii="Arial" w:cs="Arial" w:eastAsia="Arial" w:hAnsi="Arial"/>
          <w:sz w:val="17"/>
          <w:szCs w:val="17"/>
          <w:i w:val="1"/>
          <w:iCs w:val="1"/>
          <w:color w:val="auto"/>
        </w:rPr>
        <w:t>All Behavioral Health Care Services</w:t>
      </w:r>
      <w:r>
        <w:rPr>
          <w:rFonts w:ascii="Arial" w:cs="Arial" w:eastAsia="Arial" w:hAnsi="Arial"/>
          <w:sz w:val="17"/>
          <w:szCs w:val="17"/>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results of operations for our behavioral health care facilities, on a Same Facility basis, and is used in the discussions below for the three and nine-month periods ended September 30, 2023 and 2022 (dollar amounts in thousands):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Facility—Behavioral Health</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5"/>
                <w:szCs w:val="15"/>
                <w:color w:val="auto"/>
              </w:rPr>
            </w:pPr>
          </w:p>
        </w:tc>
        <w:tc>
          <w:tcPr>
            <w:tcW w:w="1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5"/>
                <w:szCs w:val="15"/>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19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1"/>
              </w:rPr>
              <w:t>September 30, 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3"/>
                <w:szCs w:val="1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Arial" w:cs="Arial" w:eastAsia="Arial" w:hAnsi="Arial"/>
                <w:sz w:val="13"/>
                <w:szCs w:val="13"/>
                <w:b w:val="1"/>
                <w:bCs w:val="1"/>
                <w:color w:val="auto"/>
                <w:w w:val="98"/>
              </w:rPr>
              <w:t xml:space="preserve">% </w:t>
            </w:r>
            <w:r>
              <w:rPr>
                <w:rFonts w:ascii="Arial" w:cs="Arial" w:eastAsia="Arial" w:hAnsi="Arial"/>
                <w:sz w:val="14"/>
                <w:szCs w:val="14"/>
                <w:b w:val="1"/>
                <w:bCs w:val="1"/>
                <w:color w:val="auto"/>
                <w:w w:val="98"/>
              </w:rPr>
              <w:t>of Net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7"/>
              </w:rPr>
              <w:t>Revenues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4"/>
              </w:rPr>
              <w:t>Revenues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4"/>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1,513,354</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100.0 %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1,407,039</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100.0 %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4,490,078</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100.0 %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4,144,998</w:t>
            </w: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charges: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0"/>
              <w:spacing w:after="0"/>
              <w:rPr>
                <w:sz w:val="20"/>
                <w:szCs w:val="20"/>
                <w:color w:val="auto"/>
              </w:rPr>
            </w:pPr>
            <w:r>
              <w:rPr>
                <w:rFonts w:ascii="Arial" w:cs="Arial" w:eastAsia="Arial" w:hAnsi="Arial"/>
                <w:sz w:val="16"/>
                <w:szCs w:val="16"/>
                <w:color w:val="auto"/>
              </w:rPr>
              <w:t>Salaries, wages and benefits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841,985</w:t>
            </w: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55.6 %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779,839</w:t>
            </w: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55.4 %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2,491,153</w:t>
            </w: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55.5 %</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2,293,332</w:t>
            </w:r>
          </w:p>
        </w:tc>
        <w:tc>
          <w:tcPr>
            <w:tcW w:w="22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55.3 %</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292,878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19.4 %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273,618</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19.4 %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866,450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19.3 %</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816,312</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0"/>
              <w:spacing w:after="0"/>
              <w:rPr>
                <w:sz w:val="20"/>
                <w:szCs w:val="20"/>
                <w:color w:val="auto"/>
              </w:rPr>
            </w:pPr>
            <w:r>
              <w:rPr>
                <w:rFonts w:ascii="Arial" w:cs="Arial" w:eastAsia="Arial" w:hAnsi="Arial"/>
                <w:sz w:val="16"/>
                <w:szCs w:val="16"/>
                <w:color w:val="auto"/>
              </w:rPr>
              <w:t>Supplies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55,102</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3.6 %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55,466</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3.9 %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161,205</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3.6 %</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157,457</w:t>
            </w: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47,484</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46,487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139,039</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3.1 %</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137,249</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Lease and rental expense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10,857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0.7 %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10,586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0.8 %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32,642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0.7 %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31,262</w:t>
            </w:r>
          </w:p>
        </w:tc>
        <w:tc>
          <w:tcPr>
            <w:tcW w:w="2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Subtotal-operating expenses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1,248,306</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82.5 %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1,165,996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82.9 %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3,690,489</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82.2 %</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3,435,612</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82.9 %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265,048</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 xml:space="preserve">17.5 </w:t>
            </w:r>
            <w:r>
              <w:rPr>
                <w:rFonts w:ascii="Arial" w:cs="Arial" w:eastAsia="Arial" w:hAnsi="Arial"/>
                <w:sz w:val="14"/>
                <w:szCs w:val="14"/>
                <w:color w:val="auto"/>
                <w:highlight w:val="white"/>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241,043</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color w:val="auto"/>
                <w:highlight w:val="white"/>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799,589</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 xml:space="preserve">17.8 </w:t>
            </w:r>
            <w:r>
              <w:rPr>
                <w:rFonts w:ascii="Arial" w:cs="Arial" w:eastAsia="Arial" w:hAnsi="Arial"/>
                <w:sz w:val="14"/>
                <w:szCs w:val="14"/>
                <w:color w:val="auto"/>
                <w:highlight w:val="white"/>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709,386</w:t>
            </w: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3,326</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0.1 %</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3,957</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(985 )</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(664 )</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(0.0 )%</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(2,294 )</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(1,422 )</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264,778</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17.5 %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240,337</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798,557</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17.8 %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706,851</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-589915</wp:posOffset>
            </wp:positionV>
            <wp:extent cx="7683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-589915</wp:posOffset>
            </wp:positionV>
            <wp:extent cx="6858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-589915</wp:posOffset>
            </wp:positionV>
            <wp:extent cx="6858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-589915</wp:posOffset>
            </wp:positionV>
            <wp:extent cx="6858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Three-month periods ended September 30, 2023 and 2022:</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During the three-month period ended September 30, 2023, as compared to the comparable prior year quarter, net revenues from our behavioral health services, on a Same Facility basis, increased by $106 million or 7.6%. Income before income taxes increased by $24 million, or 10%, amounting to $265 million or 17.5% of net revenues during the third quarter of 2023, as compared to $240 million or 17.1% of net revenues during the third quarter of 2022.</w:t>
      </w:r>
    </w:p>
    <w:p>
      <w:pPr>
        <w:spacing w:after="0" w:line="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three-month period ended September 30, 2023, net revenue per adjusted admission increased by 6.8% while net revenue per adjusted patient day increased by 6.5%, as compared to the comparable quarter of 2022. During the three-month period ended September 30, 2023, as compared to the comparable prior year quarter, inpatient admissions and adjusted admissions to our behavioral health care hospitals increased by 0.5% and 0.8%, respectively. Patient days at these facilities increased by 0.8% and adjusted patient days increased by 1.1% during the three-month period ended September 30, 2023, as compared to the comparable prior year quarter. The average length of inpatient stay at these facilities was 13.5 days during each of the three-month periods ended September 30, 2023</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49" w:right="2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and 2022, respectively. The occupancy rate, based on the average available beds at these facilities, was 72% during each of the three-month periods ended September 30, 2023 and 2022.</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 Same Facility basis during the three-month period ended September 30, 2023, as compared to the comparable quarter of 2022, salaries, wages and benefits expense increased $62 million or 8.0%. The increase during the third quarter of 2023, as compared to the third quarter of 2022, was due to a 4.7% increase in salaries, wages and benefits expense per average full time equivalent employee, as well as a 3.2% increase in the average number of full-time equivalent employees. The increased staffing was due, in part, to increased patient volumes. As a percentage of net revenues during each quarter, salaries, wages and benefits expense increased to 55.6% during the third quarter of 2023 as compared to 55.4% during the third quarter of 2022.</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expenses increased $19 million, or 7.0%, during the third quarter of 2023, as compared to the comparable quarter of 2022. As a percentage of net revenues during each quarter, other operating expenses remained unchanged at 19.4% during each of three-month periods ended September 30, 2023 and 2022.</w:t>
      </w:r>
    </w:p>
    <w:p>
      <w:pPr>
        <w:spacing w:after="0" w:line="75"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Supplies expense remained relatively unchanged during the third quarter of 2023, as compared to the third quarter of 2022. As a percentage of net revenues during each quarter, supplies expense decreased to 3.6% during the third quarter of 2023, as compared to 3.9% during the third quarter of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Nine-month periods ended September 30, 2023 and 2022:</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nine-month period ended September 30, 2023, as compared to the comparable prior year period, net revenues from our behavioral health services, on a Same Facility basis, increased by $345 million or 8.3%. Income before income taxes increased by $92 million, or 13%, amounting to $799 million or 17.8% of net revenues during the first nine months of 2023, as compared to $707 million or 17.1% of net revenues during the comparable period of 2022.</w:t>
      </w:r>
    </w:p>
    <w:p>
      <w:pPr>
        <w:spacing w:after="0" w:line="7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nine-month period ended September 30, 2023, net revenue per adjusted admission increased by 4.4% while net revenue per adjusted patient day increased by 5.9%, as compared to the comparable period of 2022. During the nine-month period ended September 30, 2023, as compared to the comparable prior year period, inpatient admissions and adjusted admissions to our behavioral health care hospitals increased by 3.6% and 3.8%, respectively. Patient days at these facilities increased by 2.2% and adjusted patient days increased by 2.4% during the nine-month period ended September 30, 2023, as compared to the comparable prior year period. The average length of inpatient stay at these facilities was 13.3 days and 13.5 days during the nine-month periods ended September 30, 2023 and 2022, respectively. The occupancy rate, based on the average available beds at these facilities, was 72% and 71% during the nine-month periods ended September 30, 2023 and 2022, respectively.</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 Same Facility basis during the nine-month period ended September 30, 2023, as compared to the comparable period of 2022, salaries, wages and benefits expense increased $198 million or 8.6%. The increase during the first nine months of 2023, as compared to the comparable period of 2022, was due to a 4.3% increase in salaries, wages and benefits expense per average full-time equivalent employee, as well as a 4.1% increase in the average number of full time equivalent employees. The increased staffing was due, in part, to increased patient volumes. As a percentage of net revenues during each period, salaries, wages and benefits expense increased to 55.5% during the first nine months of 2023 as compared to 55.3% during the comparable period of 2022.</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operating expenses increased $50 million, or 6.1%, during the first nine months of 2023, as compared to the comparable period of 2022. The increase during the first nine months of 2023, as compared to the comparable period of 2022, was due, in part, to increased patient volumes. As a percentage of net revenues during each period, other operating expenses decreased to 19.3% during the nine-month period ended September 30, 2023 as compared to 19.7% during the comparable period of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Supplies expense increased $4 million, or 2.4%, during the first nine months of 2023, as compared to the comparable period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Behavioral Health Care Facilities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the results of operations for all our behavioral health care services during the three and nine-month periods ended September 30, 2023 and 2022. These amounts include: (i) our behavioral health care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120"/>
        <w:spacing w:after="0" w:line="277" w:lineRule="auto"/>
        <w:rPr>
          <w:sz w:val="20"/>
          <w:szCs w:val="20"/>
          <w:color w:val="auto"/>
        </w:rPr>
      </w:pPr>
      <w:r>
        <w:rPr>
          <w:rFonts w:ascii="Arial" w:cs="Arial" w:eastAsia="Arial" w:hAnsi="Arial"/>
          <w:sz w:val="18"/>
          <w:szCs w:val="18"/>
          <w:color w:val="auto"/>
        </w:rPr>
        <w:t>past year (if applicable) as well as the results of certain facilities that were closed or restructured during the past year. Dollar amounts below are reflected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48"/>
              <w:spacing w:after="0" w:line="159" w:lineRule="exact"/>
              <w:rPr>
                <w:sz w:val="20"/>
                <w:szCs w:val="20"/>
                <w:color w:val="auto"/>
              </w:rPr>
            </w:pPr>
            <w:r>
              <w:rPr>
                <w:rFonts w:ascii="Arial" w:cs="Arial" w:eastAsia="Arial" w:hAnsi="Arial"/>
                <w:sz w:val="14"/>
                <w:szCs w:val="14"/>
                <w:b w:val="1"/>
                <w:bCs w:val="1"/>
                <w:color w:val="auto"/>
              </w:rPr>
              <w:t>% of Net</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28"/>
              <w:spacing w:after="0" w:line="159" w:lineRule="exact"/>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8"/>
              <w:spacing w:after="0" w:line="159" w:lineRule="exact"/>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68"/>
              <w:spacing w:after="0" w:line="15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1,542,695</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1,434,828</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4,575,378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4,235,215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6"/>
                <w:szCs w:val="16"/>
                <w:color w:val="auto"/>
              </w:rPr>
              <w:t>Operating charges: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Salaries, wages and benefits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844,244</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54.7 %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782,909</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54.6 %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2,498,338</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54.6 %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2,310,761</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54.6 %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322,208</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20.9 %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300,406</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20.9 %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949,958</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20.8 %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898,655</w:t>
            </w:r>
          </w:p>
        </w:tc>
        <w:tc>
          <w:tcPr>
            <w:tcW w:w="2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21.2 %</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Supplies expense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55,272</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3.6 %</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55,482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3.9 %</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161,597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158,315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47,720</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46,861</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140,117</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138,803</w:t>
            </w:r>
          </w:p>
        </w:tc>
        <w:tc>
          <w:tcPr>
            <w:tcW w:w="2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and rental expense</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10,911</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32,834</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0.8 %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Subtotal-operating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1,280,355</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 xml:space="preserve">83.0 </w:t>
            </w:r>
            <w:r>
              <w:rPr>
                <w:rFonts w:ascii="Arial" w:cs="Arial" w:eastAsia="Arial" w:hAnsi="Arial"/>
                <w:sz w:val="14"/>
                <w:szCs w:val="14"/>
                <w:color w:val="auto"/>
                <w:highlight w:val="white"/>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1,196,668</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83.4 </w:t>
            </w:r>
            <w:r>
              <w:rPr>
                <w:rFonts w:ascii="Arial" w:cs="Arial" w:eastAsia="Arial" w:hAnsi="Arial"/>
                <w:sz w:val="14"/>
                <w:szCs w:val="14"/>
                <w:color w:val="auto"/>
                <w:highlight w:val="white"/>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3,782,844</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82.7 </w:t>
            </w:r>
            <w:r>
              <w:rPr>
                <w:rFonts w:ascii="Arial" w:cs="Arial" w:eastAsia="Arial" w:hAnsi="Arial"/>
                <w:sz w:val="14"/>
                <w:szCs w:val="14"/>
                <w:color w:val="auto"/>
                <w:highlight w:val="white"/>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3,539,337</w:t>
            </w:r>
          </w:p>
        </w:tc>
        <w:tc>
          <w:tcPr>
            <w:tcW w:w="2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83.6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262,340</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17.0 %</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238,160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16.6 %</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792,534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17.3 %</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695,878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1,252</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1,375</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3,456</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4,106</w:t>
            </w:r>
          </w:p>
        </w:tc>
        <w:tc>
          <w:tcPr>
            <w:tcW w:w="2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16"/>
        </w:trPr>
        <w:tc>
          <w:tcPr>
            <w:tcW w:w="256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(1,080 )</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(1,164 )</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(3,139 )</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(1,922 )</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262,168</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 xml:space="preserve">17.0 </w:t>
            </w:r>
            <w:r>
              <w:rPr>
                <w:rFonts w:ascii="Arial" w:cs="Arial" w:eastAsia="Arial" w:hAnsi="Arial"/>
                <w:sz w:val="14"/>
                <w:szCs w:val="14"/>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237,949</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16.6 </w:t>
            </w:r>
            <w:r>
              <w:rPr>
                <w:rFonts w:ascii="Arial" w:cs="Arial" w:eastAsia="Arial" w:hAnsi="Arial"/>
                <w:sz w:val="14"/>
                <w:szCs w:val="14"/>
                <w:color w:val="auto"/>
                <w:highlight w:val="white"/>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792,217</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color w:val="auto"/>
                <w:highlight w:val="white"/>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693,694</w:t>
            </w:r>
          </w:p>
        </w:tc>
        <w:tc>
          <w:tcPr>
            <w:tcW w:w="2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-735965</wp:posOffset>
            </wp:positionV>
            <wp:extent cx="7683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-735965</wp:posOffset>
            </wp:positionV>
            <wp:extent cx="6858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-735965</wp:posOffset>
            </wp:positionV>
            <wp:extent cx="6858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-735965</wp:posOffset>
            </wp:positionV>
            <wp:extent cx="6858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Three-month periods ended September 30, 2023 and 2022:</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three-month period ended September 30, 2023, as compared to the comparable prior year quarter, net revenues generated from our behavioral health services increased by $108 million, or 7.5%. The increase was primarily attributable to the $106 million, or 7.6%, increase in net revenues at our behavioral health facilities, on a Same Facility basis, as discussed above.</w:t>
      </w:r>
    </w:p>
    <w:p>
      <w:pPr>
        <w:spacing w:after="0" w:line="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Income before income taxes increased by $24 million, or 10%, to $262 million or 17.0% of net revenues during the third quarter of 2023, as compared to $238 million or 16.6% of net revenues during the third quarter of 2022. The increase in income before income taxes at our behavioral health facilities during the third quarter of 2023, as compared to the comparable quarter of 2022, was primarily attributable to the $24 million, or 10% increase in income before income taxes generated at our behavioral health facilities, on a Same Facility basis, as discussed above.</w:t>
      </w:r>
    </w:p>
    <w:p>
      <w:pPr>
        <w:spacing w:after="0" w:line="6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During the three-month period ended September 30, 2023, as compared to the comparable quarter of 2022, salaries, wages and benefits expense increased by $61 million or 7.8%. The increase was due primarily to the above-mentioned $62 million increase related to our behavioral health facilities, on a Same Facility basis.</w:t>
      </w:r>
    </w:p>
    <w:p>
      <w:pPr>
        <w:spacing w:after="0" w:line="7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Other operating expenses increased by $22 million, or 7.3%, during the third quarter of 2023, as compared to the comparable quarter of 2022. The increase was due primarily to the above-mentioned $19 million increase related to our behavioral health facilities, on a Same Facility basis.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Supplies expense remained relatively unchanged during the third quarter of 2023, as compared to the third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Nine-month periods ended September 30, 2023 and 2022:</w:t>
      </w:r>
    </w:p>
    <w:p>
      <w:pPr>
        <w:spacing w:after="0" w:line="11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During the nine-month period ended September 30, 2023, as compared to the comparable prior year period, net revenues generated from our behavioral health services increased by $340 million, or 8.0%. The increase was primarily attributable to the $345 million, or 8.3%, increase in net revenues at our behavioral health facilities, on a Same Facility basis, as discussed above.</w:t>
      </w:r>
    </w:p>
    <w:p>
      <w:pPr>
        <w:spacing w:after="0" w:line="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Income before income taxes increased by $99 million, or 14%, to $792 million or 17.3% of net revenues during the first nine months of 2023, as compared to $694 million or 16.4% of net revenues during the comparable period of 2022. The increase in income before income taxes at our behavioral health facilities during the first nine months of 2023, as compared to the comparable period of 2022, was primarily attributable to the $92 million, or 13% increase in income before income taxes generated at our behavioral health facilities, on a Same Facility basis, as discussed above.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nine-month period ended September 30, 2023, as compared to the comparable period of 2022, salaries, wages and benefits expense increased by $188 million or 8.1%. The increase was due primarily to the above-mentioned $198 million increase related to our behavioral health facilities, on a Same Facility basis.</w:t>
      </w:r>
    </w:p>
    <w:p>
      <w:pPr>
        <w:spacing w:after="0" w:line="75" w:lineRule="exact"/>
        <w:rPr>
          <w:sz w:val="20"/>
          <w:szCs w:val="20"/>
          <w:color w:val="auto"/>
        </w:rPr>
      </w:pPr>
    </w:p>
    <w:p>
      <w:pPr>
        <w:ind w:right="520"/>
        <w:spacing w:after="0" w:line="341" w:lineRule="auto"/>
        <w:rPr>
          <w:sz w:val="20"/>
          <w:szCs w:val="20"/>
          <w:color w:val="auto"/>
        </w:rPr>
      </w:pPr>
      <w:r>
        <w:rPr>
          <w:rFonts w:ascii="Arial" w:cs="Arial" w:eastAsia="Arial" w:hAnsi="Arial"/>
          <w:sz w:val="16"/>
          <w:szCs w:val="16"/>
          <w:color w:val="auto"/>
        </w:rPr>
        <w:t>Other operating expenses increased by $51 million, or 5.7%, during the first nine months of 2023, as compared to the comparable period of 2022. The increase was due primarily to the above-mentioned $50 million increase related to our behavioral health facilities, on a Same Facility basis.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Supplies expense increased $3 million, or 2.1%, during the first nine months of 2023, as compared to the comparable period of 2022.</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Results of Operations - Clinical Staffing, Physician Related Expenses, Effects of Inflation and COVID-19</w:t>
      </w:r>
      <w:r>
        <w:rPr>
          <w:rFonts w:ascii="Arial" w:cs="Arial" w:eastAsia="Arial" w:hAnsi="Arial"/>
          <w:sz w:val="18"/>
          <w:szCs w:val="18"/>
          <w:color w:val="auto"/>
        </w:rPr>
        <w:t xml:space="preserve"> above for additional disclosure regarding the factors impacting our operating costs.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Sources of Revenue</w:t>
      </w:r>
    </w:p>
    <w:p>
      <w:pPr>
        <w:spacing w:after="0" w:line="117"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We receive payments for services rendered from private insurers, including managed care plans, the federal government under the Medicare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state governments under their respective Medicaid programs and directly from patients.</w:t>
      </w:r>
    </w:p>
    <w:p>
      <w:pPr>
        <w:spacing w:after="0" w:line="5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5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Sources of Revenues and Health Care Reform: </w:t>
      </w:r>
      <w:r>
        <w:rPr>
          <w:rFonts w:ascii="Arial" w:cs="Arial" w:eastAsia="Arial" w:hAnsi="Arial"/>
          <w:sz w:val="18"/>
          <w:szCs w:val="18"/>
          <w:color w:val="auto"/>
        </w:rPr>
        <w:t>Given increasing budget deficits, the federal government and many states are currently considering</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ways to limit increases in levels of Medicare and Medicaid funding, which could also adversely affect future payments received by our hospitals. In addition, the uncertainty and fiscal pressures placed upon the federal government as a result of, among other things, impacts on state revenue and expenses resulting from the COVID-19 pandemic, economic recovery stimulus packages, responses to natural disasters, and the federal and state budget deficits in general may affect the availability of government funds to provide additional relief in the future. We are unable to predict the effect of future policy changes on our operations.</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2010, the Patient Protection and Affordable Care Act, as amended by the Health and Education Reconciliation Act (collectively, the “Legislation”) was enacted and its two primary goals were to provide for increased access to coverage for healthcare and to reduce healthcare-related expenses. The Legislation revised reimbursement under the Medicare and Medicaid programs to emphasize the efficient delivery of high-quality care and contains a number of incentives and penalties under these programs to achieve these goals. The Legislation provides for reductions to Medicaid DSH payments which are scheduled to begin in 2024.</w:t>
      </w:r>
    </w:p>
    <w:p>
      <w:pPr>
        <w:spacing w:after="0" w:line="8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If additional section 1115 demonstrations that include work and community requirements are implemented, we anticipate that they would lead to reductions in coverage and likely increases in uncompensated care in those states where these demonstration waivers are granted.</w:t>
      </w:r>
    </w:p>
    <w:p>
      <w:pPr>
        <w:spacing w:after="0" w:line="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December 14, 2018, a Texas Federal District Court deemed the Legislation to be unconstitutional in its entirety. The Court concluded that the Individual Mandate is no longer permissible under Congress’s taxing power as a result of the Tax Cut and Jobs Act of 2017 (“TCJA”) reducing the individual mandate’s tax to $0 (i.e., it no longer produces revenue, which is an essential feature of a tax), 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Arial" w:cs="Arial" w:eastAsia="Arial" w:hAnsi="Arial"/>
          <w:sz w:val="17"/>
          <w:szCs w:val="17"/>
          <w:i w:val="1"/>
          <w:iCs w:val="1"/>
          <w:color w:val="auto"/>
        </w:rPr>
        <w:t>California v. Texas</w:t>
      </w:r>
      <w:r>
        <w:rPr>
          <w:rFonts w:ascii="Arial" w:cs="Arial" w:eastAsia="Arial" w:hAnsi="Arial"/>
          <w:sz w:val="17"/>
          <w:szCs w:val="17"/>
          <w:color w:val="auto"/>
        </w:rPr>
        <w:t xml:space="preserve"> that the plaintiffs in the matter lacked standing to bring their constitutionality claims. The Court did not reach the plaintiffs’ merits arguments, which specifically challenged the constitutionality of the Legislation’s individual mandate and the entirety of the Legislation itself. As a result, the Legislation will continue to be law, and HHS and its respective agencies will continue to enforce regulations implementing the law. However, on September 7, 2022, the Legislation faced its most recent challenge when a Texas Federal District Court judge, in the case of </w:t>
      </w:r>
      <w:r>
        <w:rPr>
          <w:rFonts w:ascii="Arial" w:cs="Arial" w:eastAsia="Arial" w:hAnsi="Arial"/>
          <w:sz w:val="17"/>
          <w:szCs w:val="17"/>
          <w:i w:val="1"/>
          <w:iCs w:val="1"/>
          <w:color w:val="auto"/>
        </w:rPr>
        <w:t>Braidwood Management v. Becerra</w:t>
      </w:r>
      <w:r>
        <w:rPr>
          <w:rFonts w:ascii="Arial" w:cs="Arial" w:eastAsia="Arial" w:hAnsi="Arial"/>
          <w:sz w:val="17"/>
          <w:szCs w:val="17"/>
          <w:color w:val="auto"/>
        </w:rPr>
        <w:t>, ruled that a requirement that certain health plans cover services without cost sharing violates the Appointments Clause of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right="640"/>
        <w:spacing w:after="0" w:line="277" w:lineRule="auto"/>
        <w:rPr>
          <w:sz w:val="20"/>
          <w:szCs w:val="20"/>
          <w:color w:val="auto"/>
        </w:rPr>
      </w:pPr>
      <w:r>
        <w:rPr>
          <w:rFonts w:ascii="Arial" w:cs="Arial" w:eastAsia="Arial" w:hAnsi="Arial"/>
          <w:sz w:val="18"/>
          <w:szCs w:val="18"/>
          <w:color w:val="auto"/>
        </w:rPr>
        <w:t>U.S. Constitution and that the coverage of certain HIV prevention medication violates the Religious Freedom Restoration Act. The government has appealed the decision to the U.S. Circuit Court of Appeals for the Fifth Circuit.</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In December, 2022, CMS proposed to change the standard for identification of an overpayment and would require the report and return of an overpayment if a provider or supplier has actual knowledge of the existence of an overpayment or acts in reckless disregard or deliberate ignorance of an overpayment. The Legislation also expands the Recovery Audit Contractor program to Medicaid. These amendments also make it easier for severe fines and penalties to be imposed on healthcare providers that violate applicable laws and regulations.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addition to legislative changes, the Legislation can be significantly impacted by executive branch actions. President Biden has taken executive actions that will strengthen the Legislation and may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IRA’s extension of the subsidies through 2025 is expected to increase exchange enrollment in future years. The recent and on-going COVID-19 pandemic and related U.S. National Emergency declaration may significantly increase the number of uninsured patients treated at our facilities extending beyond the most recent CBO published estimates due to increased unemployment and loss of group health plan health insurance coverage. It is also anticipated that these policies may create additional cost and reimbursement pressures on hospitals.</w:t>
      </w:r>
    </w:p>
    <w:p>
      <w:pPr>
        <w:spacing w:after="0" w:line="7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For additional disclosure related to our revenues including a disaggregation of our consolidated net revenues by major source for each of the periods presented herein, please see </w:t>
      </w:r>
      <w:r>
        <w:rPr>
          <w:rFonts w:ascii="Arial" w:cs="Arial" w:eastAsia="Arial" w:hAnsi="Arial"/>
          <w:sz w:val="18"/>
          <w:szCs w:val="18"/>
          <w:i w:val="1"/>
          <w:iCs w:val="1"/>
          <w:color w:val="auto"/>
        </w:rPr>
        <w:t>Note 12 to the Consolidated Financial Statements-Revenue</w:t>
      </w:r>
      <w:r>
        <w:rPr>
          <w:rFonts w:ascii="Arial" w:cs="Arial" w:eastAsia="Arial" w:hAnsi="Arial"/>
          <w:sz w:val="18"/>
          <w:szCs w:val="18"/>
          <w:color w:val="auto"/>
        </w:rPr>
        <w:t>.</w:t>
      </w:r>
    </w:p>
    <w:p>
      <w:pPr>
        <w:spacing w:after="0" w:line="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color w:val="auto"/>
        </w:rPr>
        <w:t xml:space="preserve">Medicare: </w:t>
      </w:r>
      <w:r>
        <w:rPr>
          <w:rFonts w:ascii="Arial" w:cs="Arial" w:eastAsia="Arial" w:hAnsi="Arial"/>
          <w:sz w:val="16"/>
          <w:szCs w:val="16"/>
          <w:color w:val="auto"/>
        </w:rPr>
        <w:t>Medicare is a federal program that provides certain hospital and medical insurance benefits to persons aged 65 and over, some disabled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220"/>
        <w:spacing w:after="0" w:line="301" w:lineRule="auto"/>
        <w:rPr>
          <w:sz w:val="20"/>
          <w:szCs w:val="20"/>
          <w:color w:val="auto"/>
        </w:rPr>
      </w:pPr>
      <w:r>
        <w:rPr>
          <w:rFonts w:ascii="Arial" w:cs="Arial" w:eastAsia="Arial" w:hAnsi="Arial"/>
          <w:sz w:val="16"/>
          <w:szCs w:val="16"/>
          <w:color w:val="auto"/>
        </w:rPr>
        <w:t>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2023, CMS published its IPPS 2024 final payment rule which provides for a 3.1% market basket increase to the base Medicare MS-DRG blended rate. When statutorily mandated budget neutrality factors, annual geographic wage index updates (including a change in the Medicare Rural Floor calculation), documenting and coding adjustments, and adjustments mandated by the Legislation are considered, without consideration for the required Medicare DSH payments changes and increase to the Medicare Outlier threshold, the overall increase in IPPS payments is approximately 6.6%. Including DSH payments, an increase to the Medicare Outlier threshold and certain other adjustments, we estimate our overall increase from the final IPPS 2024 rule (covering the period of October 1, 2023 through September 30, 2024) will approximate 5.4%.</w:t>
      </w:r>
    </w:p>
    <w:p>
      <w:pPr>
        <w:spacing w:after="0" w:line="6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August, 2022, CMS published its IPPS 2023 final payment rule which provides for a 4.1%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4.6.%. Including DSH payments, an increase to the Medicare Outlier threshold and certain other adjustments, we estimate our overall increase from the final IPPS 2023 rule (covering the period of October 1, 2022 through September 30, 2023) will approximate 4.4%. This projected impact from the IPPS 2023 final rule includes an increase of approximately 0.5% to partially restore cuts made as a result of the American Taxpayer Relief Act of 2012 (“ATRA”), as required by the 21st Century Cures Act, but excludes the impact of the sequestration reductions related to the 2011 Act, Bipartisan Budget Act of 2015, and Bipartisan Budget Act of 2018.</w:t>
      </w:r>
    </w:p>
    <w:p>
      <w:pPr>
        <w:spacing w:after="0" w:line="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2019, the Supreme Court of the United States issued a decision favorable to hospitals impacting prior year Medicare DSH payments (</w:t>
      </w:r>
      <w:r>
        <w:rPr>
          <w:rFonts w:ascii="Arial" w:cs="Arial" w:eastAsia="Arial" w:hAnsi="Arial"/>
          <w:sz w:val="18"/>
          <w:szCs w:val="18"/>
          <w:i w:val="1"/>
          <w:iCs w:val="1"/>
          <w:color w:val="auto"/>
        </w:rPr>
        <w:t>Azar v. Allina</w:t>
      </w:r>
      <w:r>
        <w:rPr>
          <w:rFonts w:ascii="Arial" w:cs="Arial" w:eastAsia="Arial" w:hAnsi="Arial"/>
          <w:sz w:val="18"/>
          <w:szCs w:val="18"/>
          <w:color w:val="auto"/>
        </w:rPr>
        <w:t xml:space="preserve"> </w:t>
      </w:r>
      <w:r>
        <w:rPr>
          <w:rFonts w:ascii="Arial" w:cs="Arial" w:eastAsia="Arial" w:hAnsi="Arial"/>
          <w:sz w:val="18"/>
          <w:szCs w:val="18"/>
          <w:i w:val="1"/>
          <w:iCs w:val="1"/>
          <w:color w:val="auto"/>
        </w:rPr>
        <w:t>Health Services</w:t>
      </w:r>
      <w:r>
        <w:rPr>
          <w:rFonts w:ascii="Arial" w:cs="Arial" w:eastAsia="Arial" w:hAnsi="Arial"/>
          <w:sz w:val="18"/>
          <w:szCs w:val="18"/>
          <w:color w:val="auto"/>
        </w:rPr>
        <w:t>, No. 17-1484 (U.S. Jun. 3, 2019)). In</w:t>
      </w:r>
      <w:r>
        <w:rPr>
          <w:rFonts w:ascii="Arial" w:cs="Arial" w:eastAsia="Arial" w:hAnsi="Arial"/>
          <w:sz w:val="18"/>
          <w:szCs w:val="18"/>
          <w:i w:val="1"/>
          <w:iCs w:val="1"/>
          <w:color w:val="auto"/>
        </w:rPr>
        <w:t xml:space="preserve"> Allina</w:t>
      </w:r>
      <w:r>
        <w:rPr>
          <w:rFonts w:ascii="Arial" w:cs="Arial" w:eastAsia="Arial" w:hAnsi="Arial"/>
          <w:sz w:val="18"/>
          <w:szCs w:val="18"/>
          <w:color w:val="auto"/>
        </w:rPr>
        <w:t>, the hospitals challenged the Medicare DSH adjustments for federal fiscal year 2012,</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July, 2023, CMS published its Psych PPS final rule for the federal fiscal year 2024. Under this final rule, payments to our behavioral health care hospitals and units are estimated to increase by 3.3% compared to federal fiscal year 2023. This amount includes the effect of the 3.5% net market basket update which reflects the offset of a 0.2% productivity adjustment.</w:t>
      </w:r>
    </w:p>
    <w:p>
      <w:pPr>
        <w:spacing w:after="0" w:line="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July, 2022, CMS published its Psych PPS final rule for the federal fiscal year 2023. Under this final rule, payments to our behavioral health care hospitals and units are estimated to increase by 3.8% compared to federal fiscal year 2022. This amount includes the effect of the 4.1% net market basket update which reflects the offset of a 0.3% productivity adjustment.</w:t>
      </w:r>
    </w:p>
    <w:p>
      <w:pPr>
        <w:spacing w:after="0" w:line="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On November 2, 2023, in light of the Supreme Court’s decision in </w:t>
      </w:r>
      <w:r>
        <w:rPr>
          <w:rFonts w:ascii="Arial" w:cs="Arial" w:eastAsia="Arial" w:hAnsi="Arial"/>
          <w:sz w:val="18"/>
          <w:szCs w:val="18"/>
          <w:i w:val="1"/>
          <w:iCs w:val="1"/>
          <w:color w:val="auto"/>
        </w:rPr>
        <w:t>American Hospital Association v. Becerra</w:t>
      </w:r>
      <w:r>
        <w:rPr>
          <w:rFonts w:ascii="Arial" w:cs="Arial" w:eastAsia="Arial" w:hAnsi="Arial"/>
          <w:sz w:val="18"/>
          <w:szCs w:val="18"/>
          <w:color w:val="auto"/>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t>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16 years. The impact of this 0.5% reduction on our 2026 results of operations is approximately $4 million.</w:t>
      </w:r>
    </w:p>
    <w:p>
      <w:pPr>
        <w:spacing w:after="0" w:line="7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spacing w:after="0" w:line="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November, 2022, CMS issued its OPPS final rule for 2023. The hospital market basket increase is 4.1% and the productivity adjustment reduction is -0.3% for a net market basket increase of 3.8%. The final rule provides that in light of the Supreme Court decision in </w:t>
      </w:r>
      <w:r>
        <w:rPr>
          <w:rFonts w:ascii="Arial" w:cs="Arial" w:eastAsia="Arial" w:hAnsi="Arial"/>
          <w:sz w:val="18"/>
          <w:szCs w:val="18"/>
          <w:i w:val="1"/>
          <w:iCs w:val="1"/>
          <w:color w:val="auto"/>
        </w:rPr>
        <w:t>American Hospital Association v.</w:t>
      </w:r>
      <w:r>
        <w:rPr>
          <w:rFonts w:ascii="Arial" w:cs="Arial" w:eastAsia="Arial" w:hAnsi="Arial"/>
          <w:sz w:val="18"/>
          <w:szCs w:val="18"/>
          <w:color w:val="auto"/>
        </w:rPr>
        <w:t xml:space="preserve"> </w:t>
      </w:r>
      <w:r>
        <w:rPr>
          <w:rFonts w:ascii="Arial" w:cs="Arial" w:eastAsia="Arial" w:hAnsi="Arial"/>
          <w:sz w:val="18"/>
          <w:szCs w:val="18"/>
          <w:i w:val="1"/>
          <w:iCs w:val="1"/>
          <w:color w:val="auto"/>
        </w:rPr>
        <w:t>Becerra</w:t>
      </w:r>
      <w:r>
        <w:rPr>
          <w:rFonts w:ascii="Arial" w:cs="Arial" w:eastAsia="Arial" w:hAnsi="Arial"/>
          <w:sz w:val="18"/>
          <w:szCs w:val="18"/>
          <w:color w:val="auto"/>
        </w:rPr>
        <w:t>, CMS is applying the default rate, generally average sales price plus 6%, to 340B acquired drugs and biologicals for 2023. CMS stated they will</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remedy for 340B drug payments from 2018-2022 in future rulemaking prior to the CY 2024 OPPS/ASC proposed rule. During the 2018-2022 time period, we recorded an aggregate of approximately $45 million to $50 million of Medicare revenues related to the prior 340B payment policy. When other statutorily required adjustments and hospital patient service mix are considered as well as impact of the aforementioned 340B Program policy change, we estimate that our overall Medicare OPPS update for 2023 will aggregate to a net increase of 0.9% which includes a 0.3% increase to behavioral health division partial hospitalization rates.</w:t>
      </w:r>
    </w:p>
    <w:p>
      <w:pPr>
        <w:spacing w:after="0" w:line="88"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On November 2, 2021, CMS issued its OPPS final rule for 2022. The hospital market basket increase is 2.7% and the productivity adjustment reduction is -0.7% for a net market basket increase of 2.0%. When other statutorily required adjustments and hospital patient service mix are considered, we estimate that our overall Medicare OPPS update for 2022 will aggregate to a net increase of 2.4% which includes a 3.0% increase to behavioral health division partial hospitalization rates.</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(1) hospitals make public their standard changes (both gross charges and payer-specific negotiated charges) for all items and services online in a machine-readable format, and; (2) hospitals to make public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July, 2023, CMS proposed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Departments of Labor, Health and Human Services and the Treasury announced proposed rules that would:</w:t>
      </w:r>
    </w:p>
    <w:p>
      <w:pPr>
        <w:spacing w:after="0" w:line="23" w:lineRule="exact"/>
        <w:rPr>
          <w:sz w:val="20"/>
          <w:szCs w:val="20"/>
          <w:color w:val="auto"/>
        </w:rPr>
      </w:pPr>
    </w:p>
    <w:p>
      <w:pPr>
        <w:ind w:left="1020" w:right="320" w:hanging="504"/>
        <w:spacing w:after="0" w:line="264"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Mandate that insurers analyze the outcomes of their coverage to ensure there's equivalent access to mental health care, including provider networks, prior authorization rates and payment for out-of-network providers, and take action to get in compliance;</w:t>
      </w:r>
    </w:p>
    <w:p>
      <w:pPr>
        <w:spacing w:after="0" w:line="1" w:lineRule="exact"/>
        <w:rPr>
          <w:rFonts w:ascii="Arial" w:cs="Arial" w:eastAsia="Arial" w:hAnsi="Arial"/>
          <w:sz w:val="17"/>
          <w:szCs w:val="17"/>
          <w:color w:val="auto"/>
        </w:rPr>
      </w:pPr>
    </w:p>
    <w:p>
      <w:pPr>
        <w:ind w:left="1020" w:right="160" w:hanging="504"/>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when health plans can’t use prior authorization or other tactics to make it more difficult to access mental health and substance use treatment;</w:t>
      </w: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additional insurers to comply with the 2008 Mental Health Parity and Addiction Equity Act.</w:t>
      </w:r>
    </w:p>
    <w:p>
      <w:pPr>
        <w:spacing w:after="0" w:line="1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While these proposed rules, if adopted, would likely improve patient access to inpatient and outpatient mental health services, we are unable to estimate the related potential impact on our results of operations.</w:t>
      </w:r>
    </w:p>
    <w:p>
      <w:pPr>
        <w:spacing w:after="0" w:line="5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color w:val="auto"/>
        </w:rPr>
        <w:t xml:space="preserve">Medicaid: </w:t>
      </w:r>
      <w:r>
        <w:rPr>
          <w:rFonts w:ascii="Arial" w:cs="Arial" w:eastAsia="Arial" w:hAnsi="Arial"/>
          <w:sz w:val="18"/>
          <w:szCs w:val="18"/>
          <w:color w:val="auto"/>
        </w:rPr>
        <w:t>Medicaid is a joint federal-state funded health care benefit program that is administered by the states to provide benefits to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180"/>
        <w:spacing w:after="0" w:line="307" w:lineRule="auto"/>
        <w:rPr>
          <w:sz w:val="20"/>
          <w:szCs w:val="20"/>
          <w:color w:val="auto"/>
        </w:rPr>
      </w:pPr>
      <w:r>
        <w:rPr>
          <w:rFonts w:ascii="Arial" w:cs="Arial" w:eastAsia="Arial" w:hAnsi="Arial"/>
          <w:sz w:val="17"/>
          <w:szCs w:val="17"/>
          <w:color w:val="auto"/>
        </w:rPr>
        <w:t>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3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receive revenues from various state and county-based programs, including Medicaid in all the states in which we operate. We receive annual Medicaid revenues of approximately $100 million, or greater, from each of Texas, California, Nevada, Illinois, Washington, D.C., Pennsylvania, Kentucky, Florida and Massachusetts. We also receive Medicaid disproportionate share hospital payments in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Legislation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2020, CMS announced a new opportunity to support states with greater flexibility to improve the health of their Medicaid populations. The new 1115 Waiver Block Grant Type Demonstration program, titled Healthy Adult Opportunity (“HAO”), emphasizes the concept of value-based care while granting states extensive flexibility to administer and design their programs within a defined budget. CMS believes this state opportunity will enhance the Medicaid program’s integrity through its focus on accountability for results and quality improvement, making the Medicaid program stronger for states and beneficiaries. The Biden administration has signaled its intent to withdraw the HAO demonstration and it has not been implemented in any states. Accordingly, we are unable to predict whether the HAO demonstration will impact our future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State Medicaid Supplemental Payment Programs: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incur health-care related taxes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As outlined below, we derive a related Medicaid reimbursement benefit from assessed Provider Taxes in the form of Medicaid claims based payment increases and/or lump sum Medicaid supplemental payments.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April 27, 2023, CMS released two proposed rules addressing access, quality and payment in Medicaid, CHIP, and Medicaid/CHIP Managed Care plans. Together, the Access NPRM and Managed Care NPRM (“Managed Care Rule”) include new and updated proposed requirements for states and managed care plans that would establish consistent access standards, and a standardized approach to transparently review and assess Medicaid payment rates across states. The Managed Care rule also proposes standards to allow enrollees to easily compare plans based on quality and access to providers through the state’s website.</w:t>
      </w:r>
    </w:p>
    <w:p>
      <w:pPr>
        <w:spacing w:after="0" w:line="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Importantly, the Managed Care Rule proposes several new requirements related to Medicaid State Directed Payments. These proposed changes would include:</w:t>
      </w:r>
    </w:p>
    <w:p>
      <w:pPr>
        <w:spacing w:after="0" w:line="8" w:lineRule="exact"/>
        <w:rPr>
          <w:sz w:val="20"/>
          <w:szCs w:val="20"/>
          <w:color w:val="auto"/>
        </w:rPr>
      </w:pPr>
    </w:p>
    <w:p>
      <w:pPr>
        <w:ind w:left="1020" w:hanging="504"/>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broader requirement that states ensure each provider receiving a state directed payment attest that it does not participate in any arrangement that holds taxpayers harmless for the cost of a tax in violation of federal requirements.</w:t>
      </w:r>
    </w:p>
    <w:p>
      <w:pPr>
        <w:spacing w:after="0" w:line="7"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that provider payment levels for inpatient and outpatient hospital services not exceed the average commercial rate.</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Removing unnecessary regulatory barriers to help states use state directed payments to implement value-based payment arrangements.</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Managed Care proposed rule, if implemented, could have a significant impact on the means by which states finance the non-federal share of their Medicaid programs. Under the proposal, CMS would have the ability to strike down common financing arrangements such as a provider taxes. These changes could have detrimental impacts on state Medicaid programs. If finalized as proposed, the rule could potentially force states to raise taxes or cut their Medicaid budgets. In subsequent years, it could have an unfavorable impact on Medicaid beneficiaries by likely limiting access to providers and requiring states to consider reductions to their Medicaid programs.</w:t>
      </w:r>
    </w:p>
    <w:p>
      <w:pPr>
        <w:spacing w:after="0" w:line="83" w:lineRule="exact"/>
        <w:rPr>
          <w:sz w:val="20"/>
          <w:szCs w:val="20"/>
          <w:color w:val="auto"/>
        </w:rPr>
      </w:pPr>
    </w:p>
    <w:p>
      <w:pPr>
        <w:ind w:right="680"/>
        <w:spacing w:after="0" w:line="307" w:lineRule="auto"/>
        <w:rPr>
          <w:sz w:val="20"/>
          <w:szCs w:val="20"/>
          <w:color w:val="auto"/>
        </w:rPr>
      </w:pPr>
      <w:r>
        <w:rPr>
          <w:rFonts w:ascii="Arial" w:cs="Arial" w:eastAsia="Arial" w:hAnsi="Arial"/>
          <w:sz w:val="17"/>
          <w:szCs w:val="17"/>
          <w:color w:val="auto"/>
        </w:rPr>
        <w:t>As disclosed herein, we receive a significant amount of Medicaid and Medicaid managed care revenue from both base payments and supplemental payments. Although we are unable to estimate the impact of the Managed Care Rule on our future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if implemented as proposed, Managed Care Rule related changes could have a material adverse impact on our future results of operations.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Included in these Provider Tax programs are reimbursements received in connection with the Texas Uncompensated Care/Upper Payment Limit program (“UC/UPL”) and Texas Delivery System Reform Incentive Payments program (“DSRIP”). Additional disclosure related to the Texas UC/UPL and DSRIP programs is provided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Texas Uncompensated Care/Upper Payment Limit Payments: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acute care hospitals located in various counties of Texas (Grayson, Hidalgo, Maverick, Potter and Webb) participate in Medicaid supplemental payment Section 1115 Waiver indigent care programs. Section 1115 Waiver Uncompensated Care (“UC”) payments replace the former Upper Payment Limit (“UPL”) payments.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21, 2017, CMS approved the 1115 Waiver for the period January 1, 2018 to September 30, 2022. The Waiver continued to include UC and DSRIP payment pools with modifications and new state specific reporting deadlines that if not met by the Texas Health and Human Services Commission ("THHSC") will result in material decreases in the size of the UC and DSRIP pools. For UC during the initial two years of this renewal, the UC program will remain relatively the same in size and allocation methodology. For year three of this waiver renewal, the federal fiscal year (“FFY”) 2020, and through FFY 2022, the size and distribution of the UC pool will be determined based on charity care costs reported to THHSC in accordance with Medicare cost report Worksheet S-10 principles. In September 2019, CMS approved the annual UC pool size in the amount of $3.9 billion for demonstration years (“DYs”) 9, 10 and 11 (October 1, 2019 to September 30, 2022). In June 2022, THHSC announced that CMS approved the UC Pool size for Demonstration Years 12 through 16 (October 1, 2022 to September 30, 2027) for the current 1115 Waiver which will be $4.51 billion per year. The UC pool will be resized again in 2027 for DYs 17 through 19 (October 1, 2027 to September 30, 2030). On April 16, 2021, CMS rescinded its January 15, 2021, 1115 Waiver ten year expedited renewal approval that was effective through September 30, 2030. In July, 2021, THHSC submitted another 1115 Waiver renewal application to CMS which reflects the same terms and conditions agreed to by CMS on January 15, 2021, in order to receive an extension beyond September 30, 2022. On April 22, 2022, CMS withdrew its rescission of the 1115 Waiver and now considers the 1115 Waiver approved as extended and governed by the special terms and conditions that CMS approved on January 15, 2021.</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April 1, 2018, certain of our acute care hospitals located in Texas began to receive Medicaid managed care rate enhancements under the Uniform Hospital Rate Increase Program (“UHRIP”). The non-federal share component of these UHRIP rate enhancements are financed by Provider Taxes. The Texas 1115 Waiver rules require UHRIP rate enhancements be considered in the Texas UC payment methodology which results in a reduction to our UC payments. The UC amounts reported in the State Medicaid Supplemental Payment Program Table below reflect the impact of this new UHRIP program. In July 2020, THHSC announced CMS approval of an increase to UHRIP pool for the state’s 2021 fiscal year to $2.7 billion from its prior funding level of $1.6 billion.</w:t>
      </w:r>
    </w:p>
    <w:p>
      <w:pPr>
        <w:spacing w:after="0" w:line="83"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color w:val="auto"/>
        </w:rPr>
        <w:t>On March 26, 2021, THHSC published a final rule that will apply to program periods on or after September 1, 2021, and UHRIP was re-named the Comprehensive Hospital Increase Reimbursement Program (“CHIRP”). CHIRP will be comprised of a UHRIP component and an Average Commercial Incentive Award component. CHIRP has a pool size of $4.7 billion. On March 25, 2022, CMS approved the CHIRP program retroactive to September 1, 2021 through August 31, 2022. The impact of the CHIRP program is reflected in the State Medicaid Supplemental Payment Program Table below including approximately $12 million of estimated CHIRP revenues which were recorded during the first quarter of 2022, attributable to the period September 1, 2021 through December 31, 2021, net of associated provider taxes. On August 1, 2022, CMS approved the CHIRP program, with a pool of $5.2 billion, for the rate period effective September 1, 2022 to August 31, 2023. On July 31, 2023, CMS approved the CHIRP program, with a pool of $6.5 billion, for the rate period of September 1, 2023 to August 31, 2024.</w:t>
      </w:r>
    </w:p>
    <w:p>
      <w:pPr>
        <w:spacing w:after="0" w:line="75"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Certain of our acute care hospitals located in Texas recorded an aggregate of $25 million in Quality Incentive Fund (“QIF”) revenues during each of the three and nine-month periods ended September 30, 2023 and 2022. The amounts recorded during 2023 were applicable to the period of September 1, 2021 to August 31, 2022; and the amounts recorded during 2022 were applicable to the period of September 1, 2020 to August 31, 2021. This revenue was earned pursuant to contract terms with various Medicaid managed care plans which requires the annual payout of QIF funds when a managed care service delivery area’s actual claims-based UHRIP payments are less than targeted UHRIP payments for a specific rate year. We also anticipate recording an additional $9 million in QIF revenues during the fourth quarter of 2023 increasing the aggregate for the year ended December 31, 2023 to $34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160"/>
        <w:spacing w:after="0" w:line="254" w:lineRule="auto"/>
        <w:rPr>
          <w:sz w:val="20"/>
          <w:szCs w:val="20"/>
          <w:color w:val="auto"/>
        </w:rPr>
      </w:pPr>
      <w:r>
        <w:rPr>
          <w:rFonts w:ascii="Arial" w:cs="Arial" w:eastAsia="Arial" w:hAnsi="Arial"/>
          <w:sz w:val="18"/>
          <w:szCs w:val="18"/>
          <w:color w:val="auto"/>
        </w:rPr>
        <w:t>On September 24, 2021, THHSC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which was approved by CMS on August 15, 2023, will provide additional funding to hospitals to help offset the cost hospitals incur while providing Medicaid services. Included in our results of operations during the three and nine-month periods ended September 30, 2023 was approximately $13 million of HARP revenues applicable to the period of October 1, 2021 through September 30, 2022. In addition, we expect to record HARP revenues of approximately $3 million per quarter beginning in the fourth quarter of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Texas Delivery System Reform Incentive Payments:</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addition, the Texas Medicaid Section 1115 Waiver included a DSRIP pool to incentivize hospitals and other providers to transform their service delivery practices to improve quality, health status, patient experience, coordination, and cost-effectiveness. DSRIP pool payments are incentive payments to hospitals and other providers that develop programs or strategies to enhance access to health care, increase the quality of care, the cost-effectiveness of care provided and the health of the patients and families served. In FFY 2022, DSRIP funding under the waiver is eliminated except for certain carryover DSRIP projects. No revenues were recorded by us during 2023 in connection with this DSRIP program. Included in our results of operations during the nine-month period ended September 30, 2022, was approximately $18 million of DSRIP revenues, all of which were recorded during the second quarter of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Amounts Related To The Above-Mentioned Various State Medicaid Supplemental Payment Programs: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following table summarizes the revenues, Provider Taxes and net benefit related to each of the above-mentioned Medicaid supplemental programs for three and nine-month periods ended September 30, 2023 and 2022. The Provider Taxes are recorded in other operating expenses on the Condensed Consolidated Statements of Income as included herein.</w:t>
      </w:r>
    </w:p>
    <w:p>
      <w:pPr>
        <w:spacing w:after="0" w:line="5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(amounts in millions)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9"/>
                <w:szCs w:val="19"/>
                <w:color w:val="auto"/>
              </w:rPr>
            </w:pPr>
          </w:p>
        </w:tc>
      </w:tr>
      <w:tr>
        <w:trPr>
          <w:trHeight w:val="238"/>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228"/>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r>
      <w:tr>
        <w:trPr>
          <w:trHeight w:val="182"/>
        </w:trPr>
        <w:tc>
          <w:tcPr>
            <w:tcW w:w="27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Texas UC/UPL:</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2720" w:type="dxa"/>
            <w:vAlign w:val="bottom"/>
            <w:gridSpan w:val="5"/>
            <w:shd w:val="clear" w:color="auto" w:fill="CFF0FC"/>
          </w:tcPr>
          <w:p>
            <w:pPr>
              <w:ind w:left="6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21"/>
                <w:szCs w:val="21"/>
                <w:color w:val="auto"/>
              </w:rPr>
            </w:pPr>
          </w:p>
        </w:tc>
      </w:tr>
      <w:tr>
        <w:trPr>
          <w:trHeight w:val="243"/>
        </w:trPr>
        <w:tc>
          <w:tcPr>
            <w:tcW w:w="2720" w:type="dxa"/>
            <w:vAlign w:val="bottom"/>
            <w:gridSpan w:val="5"/>
          </w:tcPr>
          <w:p>
            <w:pPr>
              <w:ind w:left="60"/>
              <w:spacing w:after="0"/>
              <w:rPr>
                <w:sz w:val="20"/>
                <w:szCs w:val="20"/>
                <w:color w:val="auto"/>
              </w:rPr>
            </w:pPr>
            <w:r>
              <w:rPr>
                <w:rFonts w:ascii="Arial" w:cs="Arial" w:eastAsia="Arial" w:hAnsi="Arial"/>
                <w:sz w:val="18"/>
                <w:szCs w:val="18"/>
                <w:color w:val="auto"/>
              </w:rPr>
              <w:t>Provider Taxes</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36"/>
        </w:trPr>
        <w:tc>
          <w:tcPr>
            <w:tcW w:w="2720" w:type="dxa"/>
            <w:vAlign w:val="bottom"/>
            <w:tcBorders>
              <w:bottom w:val="single" w:sz="8" w:color="CFF0FC"/>
            </w:tcBorders>
            <w:gridSpan w:val="5"/>
            <w:shd w:val="clear" w:color="auto" w:fill="CFF0FC"/>
          </w:tcPr>
          <w:p>
            <w:pPr>
              <w:ind w:left="60"/>
              <w:spacing w:after="0"/>
              <w:rPr>
                <w:sz w:val="20"/>
                <w:szCs w:val="20"/>
                <w:color w:val="auto"/>
              </w:rPr>
            </w:pPr>
            <w:r>
              <w:rPr>
                <w:rFonts w:ascii="Arial" w:cs="Arial" w:eastAsia="Arial" w:hAnsi="Arial"/>
                <w:sz w:val="18"/>
                <w:szCs w:val="18"/>
                <w:color w:val="auto"/>
              </w:rPr>
              <w:t>Net benefit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25"/>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rPr>
              <w:t>Texas DSRIP:</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2720" w:type="dxa"/>
            <w:vAlign w:val="bottom"/>
            <w:gridSpan w:val="5"/>
            <w:shd w:val="clear" w:color="auto" w:fill="CFF0FC"/>
          </w:tcPr>
          <w:p>
            <w:pPr>
              <w:ind w:left="6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1"/>
                <w:szCs w:val="21"/>
                <w:color w:val="auto"/>
              </w:rPr>
            </w:pPr>
          </w:p>
        </w:tc>
      </w:tr>
      <w:tr>
        <w:trPr>
          <w:trHeight w:val="243"/>
        </w:trPr>
        <w:tc>
          <w:tcPr>
            <w:tcW w:w="2720" w:type="dxa"/>
            <w:vAlign w:val="bottom"/>
            <w:gridSpan w:val="5"/>
          </w:tcPr>
          <w:p>
            <w:pPr>
              <w:ind w:left="60"/>
              <w:spacing w:after="0"/>
              <w:rPr>
                <w:sz w:val="20"/>
                <w:szCs w:val="20"/>
                <w:color w:val="auto"/>
              </w:rPr>
            </w:pPr>
            <w:r>
              <w:rPr>
                <w:rFonts w:ascii="Arial" w:cs="Arial" w:eastAsia="Arial" w:hAnsi="Arial"/>
                <w:sz w:val="18"/>
                <w:szCs w:val="18"/>
                <w:color w:val="auto"/>
              </w:rPr>
              <w:t>Provider Taxes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36"/>
        </w:trPr>
        <w:tc>
          <w:tcPr>
            <w:tcW w:w="2720" w:type="dxa"/>
            <w:vAlign w:val="bottom"/>
            <w:tcBorders>
              <w:bottom w:val="single" w:sz="8" w:color="CFF0FC"/>
            </w:tcBorders>
            <w:gridSpan w:val="5"/>
            <w:shd w:val="clear" w:color="auto" w:fill="CFF0FC"/>
          </w:tcPr>
          <w:p>
            <w:pPr>
              <w:ind w:left="60"/>
              <w:spacing w:after="0"/>
              <w:rPr>
                <w:sz w:val="20"/>
                <w:szCs w:val="20"/>
                <w:color w:val="auto"/>
              </w:rPr>
            </w:pPr>
            <w:r>
              <w:rPr>
                <w:rFonts w:ascii="Arial" w:cs="Arial" w:eastAsia="Arial" w:hAnsi="Arial"/>
                <w:sz w:val="18"/>
                <w:szCs w:val="18"/>
                <w:color w:val="auto"/>
              </w:rPr>
              <w:t>Net benefit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25"/>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rPr>
              <w:t>Various other state programs: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2720" w:type="dxa"/>
            <w:vAlign w:val="bottom"/>
            <w:gridSpan w:val="5"/>
            <w:shd w:val="clear" w:color="auto" w:fill="CFF0FC"/>
          </w:tcPr>
          <w:p>
            <w:pPr>
              <w:ind w:left="6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21"/>
                <w:szCs w:val="21"/>
                <w:color w:val="auto"/>
              </w:rPr>
            </w:pPr>
          </w:p>
        </w:tc>
      </w:tr>
      <w:tr>
        <w:trPr>
          <w:trHeight w:val="243"/>
        </w:trPr>
        <w:tc>
          <w:tcPr>
            <w:tcW w:w="2720" w:type="dxa"/>
            <w:vAlign w:val="bottom"/>
            <w:gridSpan w:val="5"/>
          </w:tcPr>
          <w:p>
            <w:pPr>
              <w:ind w:left="60"/>
              <w:spacing w:after="0"/>
              <w:rPr>
                <w:sz w:val="20"/>
                <w:szCs w:val="20"/>
                <w:color w:val="auto"/>
              </w:rPr>
            </w:pPr>
            <w:r>
              <w:rPr>
                <w:rFonts w:ascii="Arial" w:cs="Arial" w:eastAsia="Arial" w:hAnsi="Arial"/>
                <w:sz w:val="18"/>
                <w:szCs w:val="18"/>
                <w:color w:val="auto"/>
              </w:rPr>
              <w:t>Provider Taxes</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36"/>
        </w:trPr>
        <w:tc>
          <w:tcPr>
            <w:tcW w:w="2720" w:type="dxa"/>
            <w:vAlign w:val="bottom"/>
            <w:tcBorders>
              <w:bottom w:val="single" w:sz="8" w:color="CFF0FC"/>
            </w:tcBorders>
            <w:gridSpan w:val="5"/>
            <w:shd w:val="clear" w:color="auto" w:fill="CFF0FC"/>
          </w:tcPr>
          <w:p>
            <w:pPr>
              <w:ind w:left="60"/>
              <w:spacing w:after="0"/>
              <w:rPr>
                <w:sz w:val="20"/>
                <w:szCs w:val="20"/>
                <w:color w:val="auto"/>
              </w:rPr>
            </w:pPr>
            <w:r>
              <w:rPr>
                <w:rFonts w:ascii="Arial" w:cs="Arial" w:eastAsia="Arial" w:hAnsi="Arial"/>
                <w:sz w:val="18"/>
                <w:szCs w:val="18"/>
                <w:color w:val="auto"/>
              </w:rPr>
              <w:t>Net benefit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25"/>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w w:val="97"/>
              </w:rPr>
              <w:t>Total all Provider Tax programs: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2720" w:type="dxa"/>
            <w:vAlign w:val="bottom"/>
            <w:gridSpan w:val="5"/>
            <w:shd w:val="clear" w:color="auto" w:fill="CFF0FC"/>
          </w:tcPr>
          <w:p>
            <w:pPr>
              <w:ind w:left="6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FF0FC"/>
          </w:tcPr>
          <w:p>
            <w:pPr>
              <w:spacing w:after="0"/>
              <w:rPr>
                <w:sz w:val="21"/>
                <w:szCs w:val="21"/>
                <w:color w:val="auto"/>
              </w:rPr>
            </w:pPr>
          </w:p>
        </w:tc>
      </w:tr>
      <w:tr>
        <w:trPr>
          <w:trHeight w:val="243"/>
        </w:trPr>
        <w:tc>
          <w:tcPr>
            <w:tcW w:w="2720" w:type="dxa"/>
            <w:vAlign w:val="bottom"/>
            <w:gridSpan w:val="5"/>
          </w:tcPr>
          <w:p>
            <w:pPr>
              <w:ind w:left="60"/>
              <w:spacing w:after="0"/>
              <w:rPr>
                <w:sz w:val="20"/>
                <w:szCs w:val="20"/>
                <w:color w:val="auto"/>
              </w:rPr>
            </w:pPr>
            <w:r>
              <w:rPr>
                <w:rFonts w:ascii="Arial" w:cs="Arial" w:eastAsia="Arial" w:hAnsi="Arial"/>
                <w:sz w:val="18"/>
                <w:szCs w:val="18"/>
                <w:color w:val="auto"/>
              </w:rPr>
              <w:t>Provider Taxes</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(204 )</w:t>
            </w:r>
          </w:p>
        </w:tc>
      </w:tr>
      <w:tr>
        <w:trPr>
          <w:trHeight w:val="276"/>
        </w:trPr>
        <w:tc>
          <w:tcPr>
            <w:tcW w:w="2720" w:type="dxa"/>
            <w:vAlign w:val="bottom"/>
            <w:tcBorders>
              <w:bottom w:val="single" w:sz="8" w:color="CFF0FC"/>
            </w:tcBorders>
            <w:gridSpan w:val="5"/>
            <w:shd w:val="clear" w:color="auto" w:fill="CFF0FC"/>
          </w:tcPr>
          <w:p>
            <w:pPr>
              <w:ind w:left="60"/>
              <w:spacing w:after="0"/>
              <w:rPr>
                <w:sz w:val="20"/>
                <w:szCs w:val="20"/>
                <w:color w:val="auto"/>
              </w:rPr>
            </w:pPr>
            <w:r>
              <w:rPr>
                <w:rFonts w:ascii="Arial" w:cs="Arial" w:eastAsia="Arial" w:hAnsi="Arial"/>
                <w:sz w:val="18"/>
                <w:szCs w:val="18"/>
                <w:color w:val="auto"/>
              </w:rPr>
              <w:t>Net benefit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-2388235</wp:posOffset>
            </wp:positionV>
            <wp:extent cx="51435" cy="316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-2388235</wp:posOffset>
            </wp:positionV>
            <wp:extent cx="51435" cy="316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-2388235</wp:posOffset>
            </wp:positionV>
            <wp:extent cx="51435" cy="316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-2388235</wp:posOffset>
            </wp:positionV>
            <wp:extent cx="42545" cy="316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545" cy="31686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-1600835</wp:posOffset>
            </wp:positionV>
            <wp:extent cx="51435" cy="316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-1600835</wp:posOffset>
            </wp:positionV>
            <wp:extent cx="51435" cy="316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-1600835</wp:posOffset>
            </wp:positionV>
            <wp:extent cx="51435" cy="316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-1600835</wp:posOffset>
            </wp:positionV>
            <wp:extent cx="42545" cy="316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545" cy="31686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-812800</wp:posOffset>
            </wp:positionV>
            <wp:extent cx="51435" cy="316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-812800</wp:posOffset>
            </wp:positionV>
            <wp:extent cx="51435" cy="316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-812800</wp:posOffset>
            </wp:positionV>
            <wp:extent cx="51435" cy="316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-812800</wp:posOffset>
            </wp:positionV>
            <wp:extent cx="42545" cy="316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545" cy="31686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that our aggregate net benefit from the Texas and various other state Medicaid supplemental payment programs will approximate $525 million (net of Provider Taxes of $297 million) during the year ended December 31, 2023. These amounts are based upon various terms and conditions that are out of our control including, but not limited to, the states’/CMS’s continued approval of the programs and the applicable hospital district or county making IGTs consistent with 2022 levels.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Future changes to these terms and conditions could materially reduce our net benefit derived from the programs which could have a material adverse impact on our future consolidated results of operations. In addition, Provider Taxes are governed by both federal and state laws and are subject to future legislative changes that, if reduced from current rates in several states, could have a material adverse impact on our future consolidated results of operations. As described below in </w:t>
      </w:r>
      <w:r>
        <w:rPr>
          <w:rFonts w:ascii="Arial" w:cs="Arial" w:eastAsia="Arial" w:hAnsi="Arial"/>
          <w:sz w:val="18"/>
          <w:szCs w:val="18"/>
          <w:i w:val="1"/>
          <w:iCs w:val="1"/>
          <w:color w:val="auto"/>
        </w:rPr>
        <w:t>2019 Novel Coronavirus Disease Medicare and Medicaid Payment Related Legislation</w:t>
      </w:r>
      <w:r>
        <w:rPr>
          <w:rFonts w:ascii="Arial" w:cs="Arial" w:eastAsia="Arial" w:hAnsi="Arial"/>
          <w:sz w:val="18"/>
          <w:szCs w:val="18"/>
          <w:color w:val="auto"/>
        </w:rPr>
        <w:t>, a 6.2% increase to the Medicaid Federal Matching Assistance Percentage (“FMAP”) was included in the Families First Coronavirus Response Act. The Consolidated Appropriations Act of 2023 (“CAA of 2023”) provided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6" w:name="page47"/>
    <w:bookmarkEnd w:id="46"/>
    <w:p>
      <w:pPr>
        <w:spacing w:after="0" w:line="279" w:lineRule="auto"/>
        <w:rPr>
          <w:sz w:val="20"/>
          <w:szCs w:val="20"/>
          <w:color w:val="auto"/>
        </w:rPr>
      </w:pPr>
      <w:r>
        <w:rPr>
          <w:rFonts w:ascii="Arial" w:cs="Arial" w:eastAsia="Arial" w:hAnsi="Arial"/>
          <w:sz w:val="17"/>
          <w:szCs w:val="17"/>
          <w:color w:val="auto"/>
        </w:rPr>
        <w:t>for the transitional reduction of the 6.2% enhanced FMAP during 2023 to 5.0% during the second quarter, 2.5% during the third quarter and 1.5% during the fourth quarter of 2023. The impact of the enhanced FMAP Medicaid supplemental and DSH payments are reflected in our financial results for the three and nine-month periods ended September 30, 2023 and 2022. We are unable to estimate the prospective financial impact of this provision at this time as our financial impact is contingent on unknown state action during future eligible federal fiscal quarters.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and South Carolina Medicaid Disproportionate Share Hospital Payments: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Hospitals that have an unusually large number of low-income patients (i.e., those with a Medicaid utilization rate of at least one standard deviation above the mean Medicaid utilization, or having a low income patient utilization rate exceeding 25%) are eligible to receive a DSH adjustment. Congress established a national limit on DSH adjustments. Although this legislation and the resulting state broad-based provider taxes have affected the payments we receive under the Medicaid program, to date the net impact has not been materially adverse.</w:t>
      </w:r>
    </w:p>
    <w:p>
      <w:pPr>
        <w:spacing w:after="0" w:line="7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Upon meeting certain conditions and serving a disproportionately high share of Texas’ and South Carolina’s low income patients, five of our facilities located in Texas and one facility located in South Carolina received additional reimbursement from each state’s DSH fund. The Texas DSH program was renewed for the state’s 2024 DSH fiscal year (covering the period of October 1, 2023 through September 30, 2024). However, the South Carolina Health Access, Workforce and Quality (“HAWQ”) Program, as described below, which was recently approved by CMS, ended our DSH payment eligibility in the South Carolina Medicaid DSH program (approximately $5 million annually previously received), effective as of September 30, 2023.</w:t>
      </w:r>
    </w:p>
    <w:p>
      <w:pPr>
        <w:spacing w:after="0" w:line="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these DSH programs, included in our financial results was an aggregate of approximately $13 million and $17 million during the three-month periods ended September 30, 2023 and 2022, respectively, and approximately $38 million and $41 million during the nine-month periods ended September 30, 2023 and 2022, respectively. When the final payment methodology changes in Texas as discussed below are implemented, we expect the aggregate reimbursements to our hospitals pursuant to the Texas and South Carolina 2023 fiscal year programs to be approximately $46 million. On June 16, 2023, the THHSC published a final rule that modified both the Medicaid DSH and Medicaid UC payment methodologies for the period of October 1, 2023 to September 30, 2024. THHSC's financial modeling estimates indicate this final rule would reduce our annual Medicaid DSH payments by approximately $8 million.</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Legislation and subsequent federal legislation provides for a significant reduction in Medicaid disproportionate share payments beginning in federal fiscal year 2024 (see above in </w:t>
      </w:r>
      <w:r>
        <w:rPr>
          <w:rFonts w:ascii="Arial" w:cs="Arial" w:eastAsia="Arial" w:hAnsi="Arial"/>
          <w:sz w:val="16"/>
          <w:szCs w:val="16"/>
          <w:i w:val="1"/>
          <w:iCs w:val="1"/>
          <w:color w:val="auto"/>
        </w:rPr>
        <w:t>Sources of Revenues and Health Care Reform-Medicaid</w:t>
      </w:r>
      <w:r>
        <w:rPr>
          <w:rFonts w:ascii="Arial" w:cs="Arial" w:eastAsia="Arial" w:hAnsi="Arial"/>
          <w:sz w:val="16"/>
          <w:szCs w:val="16"/>
          <w:color w:val="auto"/>
        </w:rPr>
        <w:t xml:space="preserve">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and South Carolina, will be reduced in the coming years. Based on the CMS final rule published in September, 2019, beginning in fiscal year 2024 (as amended by the CARES Act and the CAA), annual Medicaid DSH payments in South Carolina and Texas could be reduced by approximately 65% and 41%, respectively, from 2022 DSH payment levels. On September 30, 2023, a continuing resolution was passed by the federal government which provided for federal funding for 45 days. The measure includes a 45-day delay of these Medicaid disproportionate share hospital cuts. The continuing resolution will expire on November 17, 2023. </w:t>
      </w:r>
    </w:p>
    <w:p>
      <w:pPr>
        <w:spacing w:after="0" w:line="5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Our behavioral health care facilities in Texas have been receiving Medicaid DSH payments since FFY 2016. As with all Medicaid DSH payments, hospitals are subject to state audits that typically occur up to three years after their receipt. DSH payments are subject to a federal Hospital Specific Limit (“HSL”) and are not fully known until the DSH audit results are concluded. In general, freestanding psychiatric hospitals tend to provide significantly less charity care than acute care hospitals and therefore are at more risk for retroactive recoupment of prior year DSH payments in excess of their respective HSL. In light of the retroactive HSL audit risk for freestanding psychiatric hospitals, we have established DSH reserves for our facilities that have been receiving funds since FFY 2016. These DSH reserves are also impacted by the resolution of federal DSH litigation related to </w:t>
      </w:r>
      <w:r>
        <w:rPr>
          <w:rFonts w:ascii="Arial" w:cs="Arial" w:eastAsia="Arial" w:hAnsi="Arial"/>
          <w:sz w:val="16"/>
          <w:szCs w:val="16"/>
          <w:i w:val="1"/>
          <w:iCs w:val="1"/>
          <w:color w:val="auto"/>
        </w:rPr>
        <w:t>Children’s Hospital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Association of Texas v. Azar </w:t>
      </w:r>
      <w:r>
        <w:rPr>
          <w:rFonts w:ascii="Arial" w:cs="Arial" w:eastAsia="Arial" w:hAnsi="Arial"/>
          <w:sz w:val="16"/>
          <w:szCs w:val="16"/>
          <w:color w:val="auto"/>
        </w:rPr>
        <w:t>(“CHAT”) where the calculation of HSL was being challenged. In August, 2019, DC Circuit Court of Appeals issued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unanimous decision in CHAT and reversed the judgment of the district court in favor of CMS and ordered that CMS’s “2017 Rule” (regarding Medicaid DSH Payments—Treatment of Third Party Payers in Calculating Uncompensated Care Costs) be reinstated. CMS has not issued any additional guidance post the ruling. In April 2020, the plaintiffs in the case have petitioned the Supreme Court of the United States to hear their case. Additionally, there have been separate legal challenges on this same issue in the Fifth and Eight Circuits. On November 4, 2019, in </w:t>
      </w:r>
      <w:r>
        <w:rPr>
          <w:rFonts w:ascii="Arial" w:cs="Arial" w:eastAsia="Arial" w:hAnsi="Arial"/>
          <w:sz w:val="16"/>
          <w:szCs w:val="16"/>
          <w:i w:val="1"/>
          <w:iCs w:val="1"/>
          <w:color w:val="auto"/>
        </w:rPr>
        <w:t>Missouri Hosp. Ass’n v. Azar</w:t>
      </w:r>
      <w:r>
        <w:rPr>
          <w:rFonts w:ascii="Arial" w:cs="Arial" w:eastAsia="Arial" w:hAnsi="Arial"/>
          <w:sz w:val="16"/>
          <w:szCs w:val="16"/>
          <w:color w:val="auto"/>
        </w:rPr>
        <w:t xml:space="preserve">, the United States Court of Appeals for the Eighth Circuit issued an opinion upholding the 2017 Rule. On April 20, 2020, in </w:t>
      </w:r>
      <w:r>
        <w:rPr>
          <w:rFonts w:ascii="Arial" w:cs="Arial" w:eastAsia="Arial" w:hAnsi="Arial"/>
          <w:sz w:val="16"/>
          <w:szCs w:val="16"/>
          <w:i w:val="1"/>
          <w:iCs w:val="1"/>
          <w:color w:val="auto"/>
        </w:rPr>
        <w:t>Baptist Memorial Hospital v. Azar</w:t>
      </w:r>
      <w:r>
        <w:rPr>
          <w:rFonts w:ascii="Arial" w:cs="Arial" w:eastAsia="Arial" w:hAnsi="Arial"/>
          <w:sz w:val="16"/>
          <w:szCs w:val="16"/>
          <w:color w:val="auto"/>
        </w:rPr>
        <w:t>, the United States Court of Appeals of the Fifth Circuit issued a decision also upholding the 2017 Rule. In light of these court decisions, we continue to maintain reserves in the financial statements for cumulative Medicaid DSH and UC reimbursements related to our behavioral health hospitals located in Texas that amounted to $31 million as of September 30, 2023 and $42 million as of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SPA and SDP: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State Plan Amendment ("SPA")</w:t>
      </w:r>
    </w:p>
    <w:p>
      <w:pPr>
        <w:spacing w:after="0" w:line="117"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CMS initially approved an SPA in Nevada in August, 2014 and this SPA has been approved for additional state fiscal years, including the 2023 fiscal year covering the period of July 1, 2022 through June 30, 2023. CMS approval for the 2024 fiscal year, which is still pending, is expected to occur.</w:t>
      </w:r>
    </w:p>
    <w:p>
      <w:pPr>
        <w:spacing w:after="0" w:line="1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connection with this program, included in our financial results was approximately $5 million during each of the three-month periods ended September 30, 2023 and 2022, and approximately $22 million and $16 million during the nine-month periods ended September 30, 2023 and 2022, respectively. We estimate that our reimbursements pursuant to this program will approximate $27 million during the year ended December 31, 2023.</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Directed Payment Program ("SDP")</w:t>
      </w:r>
    </w:p>
    <w:p>
      <w:pPr>
        <w:spacing w:after="0" w:line="11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On February 7, 2023, the Division of Health Care Financing and Policy (“DHCFP”) held a public workshop that outlined a new provider fee on private hospitals located in Nevada that would effectively capture new Medicaid federal share for certain categories of services eligible for the new payment programs. Final approval of each of these Medicaid supplemental payment programs is subject to various state and federal actions.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DHCFP indicated the new Medicaid supplemental payments will include two components as follows:</w:t>
      </w:r>
    </w:p>
    <w:p>
      <w:pPr>
        <w:spacing w:after="0" w:line="117"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Medicaid fee for service upper payment limit component.</w:t>
      </w:r>
    </w:p>
    <w:p>
      <w:pPr>
        <w:spacing w:after="0" w:line="62" w:lineRule="exact"/>
        <w:rPr>
          <w:rFonts w:ascii="Arial" w:cs="Arial" w:eastAsia="Arial" w:hAnsi="Arial"/>
          <w:sz w:val="18"/>
          <w:szCs w:val="18"/>
          <w:color w:val="auto"/>
        </w:rPr>
      </w:pPr>
    </w:p>
    <w:p>
      <w:pPr>
        <w:ind w:left="1540" w:right="20" w:hanging="509"/>
        <w:spacing w:after="0" w:line="31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We anticipate state and federal approval of the fee for service upper payment limit component, which is expected to be effective either as of July 1, 2023, or October 1, 2023, to occur during 2023. If approved, we estimate that our aggregate net reimbursements pursuant to this program (net of related provider taxes) will approximate $3 million to $6 million during the year ended December 31, 2023.</w:t>
      </w:r>
    </w:p>
    <w:p>
      <w:pPr>
        <w:spacing w:after="0" w:line="3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Medicaid managed care SDP component.</w:t>
      </w:r>
    </w:p>
    <w:p>
      <w:pPr>
        <w:spacing w:after="0" w:line="62" w:lineRule="exact"/>
        <w:rPr>
          <w:rFonts w:ascii="Arial" w:cs="Arial" w:eastAsia="Arial" w:hAnsi="Arial"/>
          <w:sz w:val="18"/>
          <w:szCs w:val="18"/>
          <w:color w:val="auto"/>
        </w:rPr>
      </w:pPr>
    </w:p>
    <w:p>
      <w:pPr>
        <w:ind w:left="1540" w:hanging="509"/>
        <w:spacing w:after="0" w:line="27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We cannot predict whether or not the managed care component will ultimately receive state and federal approval. If approved, which could be effective as of January 1, 2024, we believe that based upon certain preliminary estimates, this program would have a material favorable effect on our results of operations for the year ended December 31, 2024, and potentially in future years as well. However, there can be no assurance that the program will be approved, and if approved, we cannot be certain of the timing or amount of aggregate net reimbursements that we may receive in connection with this program.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SPA:</w:t>
      </w:r>
    </w:p>
    <w:p>
      <w:pPr>
        <w:spacing w:after="0" w:line="11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w:t>
      </w:r>
    </w:p>
    <w:p>
      <w:pPr>
        <w:spacing w:after="0" w:line="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Directed Payment method will be based on actual concurrent hospital Medicaid managed care in-network patient volume whereas the other programs are based on prior year Medicaid utilization. The CMS program approval status is outlined in the table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Hospital Fee Program CMS Approval Status</w:t>
      </w:r>
      <w:r>
        <w:rPr>
          <w:rFonts w:ascii="Arial" w:cs="Arial" w:eastAsia="Arial" w:hAnsi="Arial"/>
          <w:sz w:val="18"/>
          <w:szCs w:val="18"/>
          <w:color w:val="auto"/>
        </w:rPr>
        <w:t>:</w:t>
      </w:r>
    </w:p>
    <w:p>
      <w:pPr>
        <w:spacing w:after="0" w:line="108" w:lineRule="exact"/>
        <w:rPr>
          <w:sz w:val="20"/>
          <w:szCs w:val="20"/>
          <w:color w:val="auto"/>
        </w:rPr>
      </w:pPr>
    </w:p>
    <w:tbl>
      <w:tblPr>
        <w:tblLayout w:type="fixed"/>
        <w:tblInd w:w="750" w:type="dxa"/>
        <w:tblCellMar>
          <w:top w:w="0" w:type="dxa"/>
          <w:left w:w="0" w:type="dxa"/>
          <w:bottom w:w="0" w:type="dxa"/>
          <w:right w:w="0" w:type="dxa"/>
        </w:tblCellMar>
      </w:tblPr>
      <w:tr>
        <w:trPr>
          <w:trHeight w:val="336"/>
        </w:trPr>
        <w:tc>
          <w:tcPr>
            <w:tcW w:w="31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Hospital Fee Program Component</w:t>
            </w:r>
          </w:p>
        </w:tc>
        <w:tc>
          <w:tcPr>
            <w:tcW w:w="29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CMS Methodology Approval</w:t>
            </w:r>
          </w:p>
        </w:tc>
        <w:tc>
          <w:tcPr>
            <w:tcW w:w="36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CMS Rate Setting Approval Status</w:t>
            </w:r>
          </w:p>
        </w:tc>
      </w:tr>
      <w:tr>
        <w:trPr>
          <w:trHeight w:val="244"/>
        </w:trPr>
        <w:tc>
          <w:tcPr>
            <w:tcW w:w="318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Status</w:t>
            </w:r>
          </w:p>
        </w:tc>
        <w:tc>
          <w:tcPr>
            <w:tcW w:w="3680" w:type="dxa"/>
            <w:vAlign w:val="bottom"/>
            <w:tcBorders>
              <w:bottom w:val="single" w:sz="8" w:color="auto"/>
              <w:right w:val="single" w:sz="8" w:color="auto"/>
            </w:tcBorders>
          </w:tcPr>
          <w:p>
            <w:pPr>
              <w:spacing w:after="0"/>
              <w:rPr>
                <w:sz w:val="21"/>
                <w:szCs w:val="21"/>
                <w:color w:val="auto"/>
              </w:rPr>
            </w:pPr>
          </w:p>
        </w:tc>
      </w:tr>
      <w:tr>
        <w:trPr>
          <w:trHeight w:val="320"/>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Fee For Service Payment</w:t>
            </w:r>
          </w:p>
        </w:tc>
        <w:tc>
          <w:tcPr>
            <w:tcW w:w="29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Approved through December 31,</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Approved through December 31, 2021; Paid</w:t>
            </w:r>
          </w:p>
        </w:tc>
      </w:tr>
      <w:tr>
        <w:trPr>
          <w:trHeight w:val="237"/>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2022</w:t>
            </w:r>
          </w:p>
        </w:tc>
        <w:tc>
          <w:tcPr>
            <w:tcW w:w="3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through December 31, 2022</w:t>
            </w:r>
          </w:p>
        </w:tc>
      </w:tr>
      <w:tr>
        <w:trPr>
          <w:trHeight w:val="323"/>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Managed Care-Pass-Through Payment</w:t>
            </w:r>
          </w:p>
        </w:tc>
        <w:tc>
          <w:tcPr>
            <w:tcW w:w="29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Approved through December 31,</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Approved and paid through December 31,</w:t>
            </w:r>
          </w:p>
        </w:tc>
      </w:tr>
      <w:tr>
        <w:trPr>
          <w:trHeight w:val="237"/>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2022</w:t>
            </w:r>
          </w:p>
        </w:tc>
        <w:tc>
          <w:tcPr>
            <w:tcW w:w="3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2021</w:t>
            </w:r>
          </w:p>
        </w:tc>
      </w:tr>
      <w:tr>
        <w:trPr>
          <w:trHeight w:val="323"/>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Managed Care-Directed Payment</w:t>
            </w:r>
          </w:p>
        </w:tc>
        <w:tc>
          <w:tcPr>
            <w:tcW w:w="29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Approved through December 31,</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Approved and paid through December 31,</w:t>
            </w:r>
          </w:p>
        </w:tc>
      </w:tr>
      <w:tr>
        <w:trPr>
          <w:trHeight w:val="237"/>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2022</w:t>
            </w:r>
          </w:p>
        </w:tc>
        <w:tc>
          <w:tcPr>
            <w:tcW w:w="3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2021</w:t>
            </w:r>
          </w:p>
        </w:tc>
      </w:tr>
    </w:tbl>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connection with the existing program, included in our financial results was approximately $10 million during each of the three-month periods ended September 30, 2023 and 2022, and approximately $33 million and $38 million during the nine-month periods ended September 30, 2023 and 2022, respectively. We estimate that our reimbursements pursuant to this program will approximate $46 million during the year ended December 31, 2023. The aggregate impact of the California supplemental payment program, as outlined above, is included in the above </w:t>
      </w:r>
      <w:r>
        <w:rPr>
          <w:rFonts w:ascii="Arial" w:cs="Arial" w:eastAsia="Arial" w:hAnsi="Arial"/>
          <w:sz w:val="18"/>
          <w:szCs w:val="18"/>
          <w:i w:val="1"/>
          <w:iCs w:val="1"/>
          <w:color w:val="auto"/>
        </w:rPr>
        <w:t>State Medicaid Supplemental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Program </w:t>
      </w:r>
      <w:r>
        <w:rPr>
          <w:rFonts w:ascii="Arial" w:cs="Arial" w:eastAsia="Arial" w:hAnsi="Arial"/>
          <w:sz w:val="18"/>
          <w:szCs w:val="18"/>
          <w:color w:val="auto"/>
        </w:rPr>
        <w:t>table.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Kentucky Hospital Rate Increase Program (“HRIP”):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jc w:val="both"/>
        <w:ind w:right="620"/>
        <w:spacing w:after="0" w:line="311" w:lineRule="auto"/>
        <w:rPr>
          <w:sz w:val="20"/>
          <w:szCs w:val="20"/>
          <w:color w:val="auto"/>
        </w:rPr>
      </w:pPr>
      <w:r>
        <w:rPr>
          <w:rFonts w:ascii="Arial" w:cs="Arial" w:eastAsia="Arial" w:hAnsi="Arial"/>
          <w:sz w:val="16"/>
          <w:szCs w:val="16"/>
          <w:color w:val="auto"/>
        </w:rPr>
        <w:t>In early 2021, CMS approved the Kentucky Medicaid Managed Care Hospital Rate Increase Program (“HRIP”). Included in our financial results in connection with this program was approximately $15 million and $18 million during the three-month periods ended September 30, 2023 and 2022, respectively, and approximately $57 million and $47 million during the nine-month periods ended September 30, 2023 and 2022, respectively.</w:t>
      </w:r>
    </w:p>
    <w:p>
      <w:pPr>
        <w:spacing w:after="0" w:line="4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Programs such as HRIP require an annual state submission and approval by CMS. In February, 2023, CMS approved the program for the period of January 1, 2023 through December 31, 2023 at rates comparable to the prior year. We estimate that our reimbursements pursuant to HRIP will approximate $71 million during the year ended December 31,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Florida Medicaid Managed Care Directed Payment Program (“DPP”):</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Florida DPP provides for an additional payment for Medicaid managed care contracted services. The DPP requires various related legislative and regulatory approvals each year. We did not record any revenues in connection with this program during the three and nine-month periods ended September 30, 2023 or 2022. We estimate that our reimbursements pursuant to this DPP will approximate $42 million during the year ended December 31,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Transition to Managed Care and Implementation of a Medicaid Managed Care DPP</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May, 2022, Oklahoma enacted legislation (SB 1337 and SB 1396) that directs the Oklahoma Health Care Authority ("OHCA") to: (i) transition its Medicaid program from a fee for service payment model to a managed care payment model by no later than October 1, 2023, and: (ii) concurrently implement a Medicaid managed care DPP using a managed care gap of ninety percent (90%) average commercial rates. In December, 2022, the OHCA delayed the implementation date of the Medicaid managed care change and related DPP until April 1, 2024. In September, 2023, CMS approved the DPP program effective as of April 1, 2024. Although we estimate that the DPP may have a favorable impact on our future results of operations, we are unable to quantify the ultimate impact since implementation of this program is subject to various additional administrative and regulatory procedures.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Medicaid Supplemental Payment Programs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The Illinois Medicaid Supplemental Payment Programs are comprised of three components: (1) Medicaid managed care directed payment program; (2) Medicaid managed care pass-through program, and; (3) Medicaid fee for service supplemental payment program. The results of this program are included in the above </w:t>
      </w:r>
      <w:r>
        <w:rPr>
          <w:rFonts w:ascii="Arial" w:cs="Arial" w:eastAsia="Arial" w:hAnsi="Arial"/>
          <w:sz w:val="16"/>
          <w:szCs w:val="16"/>
          <w:i w:val="1"/>
          <w:iCs w:val="1"/>
          <w:color w:val="auto"/>
        </w:rPr>
        <w:t>State Medicaid Supplemental Payment Program</w:t>
      </w:r>
      <w:r>
        <w:rPr>
          <w:rFonts w:ascii="Arial" w:cs="Arial" w:eastAsia="Arial" w:hAnsi="Arial"/>
          <w:sz w:val="16"/>
          <w:szCs w:val="16"/>
          <w:color w:val="auto"/>
        </w:rPr>
        <w:t xml:space="preserve"> table. These programs require various related legislative and regulatory approvals each year.</w:t>
      </w:r>
    </w:p>
    <w:p>
      <w:pPr>
        <w:spacing w:after="0" w:line="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program, included in our financial results was approximately $8 million and $13 million during the three-month periods ended September 30, 2023 and 2022, respectively, and approximately $29 million and $38 million during the nine-month periods ended September 30, 2023 and 2022, respectively. We estimate that our reimbursements pursuant to these supplemental payment programs will approximate $41 million during the year ended December 31,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Idaho Medicaid Upper Payment Limit (“UPL”) Program</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quarter of 2023, Idaho modified their Medicaid UPL program, effective as of July 1, 2022, which resulted in the state increasing the amount of the UPL pool size. In connection with this program, included in our financial results was approximately $4 million and $1 million during the three-month periods ended September 30, 2023 and 2022, respectively, and approximately $19 million and $2 million during the nine-month periods ended September 30, 2023 and 2022, respectively. Approximately $7 million of the amount included in our financial results during the nine-month period ended September 30, 2023 related to the prior year. We anticipate that future UPL program payments will be made at comparable levels. We estimate that our revenues pursuant to this UPL program will approximate $22 million during the year ended December 31,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Mississippi Hospital Access Program</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September, 2023, subject to CMS approval, Mississippi announced a $689 million, two-part Medicaid payment proposal, effective retroactively to July 1, 2023, that would be funded by annual hospital assessments to the state's Medicaid program. These hospital assessments are calculated using a formula provided under state law.</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first part of the proposal, known as the Mississippi Hospital Access Program, would provide direct payments for hospitals that serve patients in the state's Medicaid managed care delivery system. Hospitals would be reimbursed near the average commercial rate, which is the upper limit for Medicaid managed care reimbursements. The second part of the proposal would supplement Medicaid payment rates for hospitals providing inpatient and outpatient services up to Medicaid's regulated upper payment limit.</w:t>
      </w:r>
    </w:p>
    <w:p>
      <w:pPr>
        <w:spacing w:after="0" w:line="77" w:lineRule="exact"/>
        <w:rPr>
          <w:sz w:val="20"/>
          <w:szCs w:val="20"/>
          <w:color w:val="auto"/>
        </w:rPr>
      </w:pPr>
    </w:p>
    <w:p>
      <w:pPr>
        <w:ind w:right="560"/>
        <w:spacing w:after="0" w:line="307" w:lineRule="auto"/>
        <w:rPr>
          <w:sz w:val="20"/>
          <w:szCs w:val="20"/>
          <w:color w:val="auto"/>
        </w:rPr>
      </w:pPr>
      <w:r>
        <w:rPr>
          <w:rFonts w:ascii="Arial" w:cs="Arial" w:eastAsia="Arial" w:hAnsi="Arial"/>
          <w:sz w:val="17"/>
          <w:szCs w:val="17"/>
          <w:color w:val="auto"/>
        </w:rPr>
        <w:t>Although there can be no assurance that this program will be approved by CMS, but if approved, pursuant to estimates published by Mississippi, we estimate that our net additional reimbursements earned pursuant to this program will approximate $40 million annually.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Carolina Health Access, Workforce and Quality (“HAWQ”) Program</w:t>
      </w:r>
    </w:p>
    <w:p>
      <w:pPr>
        <w:spacing w:after="0" w:line="117"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color w:val="auto"/>
        </w:rPr>
        <w:t>In September 2023, CMS approved the South Carolina HAWQ Program retroactive to July 1, 2023. This program is Medicaid managed care directed payment program that provides for a rate enhancement to Medicaid managed care encounters. We estimate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20"/>
        <w:spacing w:after="0" w:line="263" w:lineRule="auto"/>
        <w:rPr>
          <w:sz w:val="20"/>
          <w:szCs w:val="20"/>
          <w:color w:val="auto"/>
        </w:rPr>
      </w:pPr>
      <w:r>
        <w:rPr>
          <w:rFonts w:ascii="Arial" w:cs="Arial" w:eastAsia="Arial" w:hAnsi="Arial"/>
          <w:sz w:val="18"/>
          <w:szCs w:val="18"/>
          <w:color w:val="auto"/>
        </w:rPr>
        <w:t>our net reimbursements earned pursuant to this program will approximate $21 million annually. In connection with this program, included in our financial results was approximately $6 million during the three and nine-month periods ended September 30, 2023. We estimate that our reimbursements pursuant to this program will approximate $11 million during the year ended December 31,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State Supplemental Medicaid Payments: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outlined above, we receive substantial reimbursement from multiple states in connection with various supplemental Medicaid payment programs. The states include, but are not limited to, Texas, Kentucky, California, Illinois, Indiana and Nevada.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have a material adverse effect on our future results of operations.</w:t>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HITECH Act: </w:t>
      </w:r>
      <w:r>
        <w:rPr>
          <w:rFonts w:ascii="Arial" w:cs="Arial" w:eastAsia="Arial" w:hAnsi="Arial"/>
          <w:sz w:val="17"/>
          <w:szCs w:val="17"/>
          <w:color w:val="auto"/>
        </w:rPr>
        <w:t>In July 2010, HHS published final regulations implementing the health information technology (“HIT”) provisions of the American</w:t>
      </w:r>
      <w:r>
        <w:rPr>
          <w:rFonts w:ascii="Arial" w:cs="Arial" w:eastAsia="Arial" w:hAnsi="Arial"/>
          <w:sz w:val="17"/>
          <w:szCs w:val="17"/>
          <w:b w:val="1"/>
          <w:bCs w:val="1"/>
          <w:color w:val="auto"/>
        </w:rPr>
        <w:t xml:space="preserve"> </w:t>
      </w:r>
      <w:r>
        <w:rPr>
          <w:rFonts w:ascii="Arial" w:cs="Arial" w:eastAsia="Arial" w:hAnsi="Arial"/>
          <w:sz w:val="17"/>
          <w:szCs w:val="17"/>
          <w:color w:val="auto"/>
        </w:rPr>
        <w:t>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7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Managed Care: </w:t>
      </w:r>
      <w:r>
        <w:rPr>
          <w:rFonts w:ascii="Arial" w:cs="Arial" w:eastAsia="Arial" w:hAnsi="Arial"/>
          <w:sz w:val="17"/>
          <w:szCs w:val="17"/>
          <w:color w:val="auto"/>
        </w:rPr>
        <w:t>A significant portion of our net patient revenues are generated from managed care companies, which include health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spacing w:after="0" w:line="6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 xml:space="preserve">Commercial Insurance: </w:t>
      </w:r>
      <w:r>
        <w:rPr>
          <w:rFonts w:ascii="Arial" w:cs="Arial" w:eastAsia="Arial" w:hAnsi="Arial"/>
          <w:sz w:val="18"/>
          <w:szCs w:val="18"/>
          <w:color w:val="auto"/>
        </w:rPr>
        <w:t>Our hospitals also provide services to individuals covered by private health care insurance. Private insurance carriers typically</w:t>
      </w:r>
      <w:r>
        <w:rPr>
          <w:rFonts w:ascii="Arial" w:cs="Arial" w:eastAsia="Arial" w:hAnsi="Arial"/>
          <w:sz w:val="18"/>
          <w:szCs w:val="18"/>
          <w:b w:val="1"/>
          <w:bCs w:val="1"/>
          <w:color w:val="auto"/>
        </w:rPr>
        <w:t xml:space="preserve"> </w:t>
      </w:r>
      <w:r>
        <w:rPr>
          <w:rFonts w:ascii="Arial" w:cs="Arial" w:eastAsia="Arial" w:hAnsi="Arial"/>
          <w:sz w:val="18"/>
          <w:szCs w:val="18"/>
          <w:color w:val="auto"/>
        </w:rPr>
        <w:t>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Surprise Billing Interim Final Rule: </w:t>
      </w:r>
      <w:r>
        <w:rPr>
          <w:rFonts w:ascii="Arial" w:cs="Arial" w:eastAsia="Arial" w:hAnsi="Arial"/>
          <w:sz w:val="18"/>
          <w:szCs w:val="18"/>
          <w:color w:val="auto"/>
        </w:rPr>
        <w:t>On September 30, 2021, the Department of Labor, and the Department of the Treasury, along with the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line="287" w:lineRule="auto"/>
        <w:rPr>
          <w:sz w:val="20"/>
          <w:szCs w:val="20"/>
          <w:color w:val="auto"/>
        </w:rPr>
      </w:pPr>
      <w:r>
        <w:rPr>
          <w:rFonts w:ascii="Arial" w:cs="Arial" w:eastAsia="Arial" w:hAnsi="Arial"/>
          <w:sz w:val="16"/>
          <w:szCs w:val="16"/>
          <w:color w:val="auto"/>
        </w:rPr>
        <w:t>health care items/services. It implements additional protections against surprise medical bills under the No Surprises Act, including provisions related to the independent dispute resolution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spacing w:after="0" w:line="5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color w:val="auto"/>
        </w:rPr>
        <w:t xml:space="preserve">Other Sources: </w:t>
      </w:r>
      <w:r>
        <w:rPr>
          <w:rFonts w:ascii="Arial" w:cs="Arial" w:eastAsia="Arial" w:hAnsi="Arial"/>
          <w:sz w:val="17"/>
          <w:szCs w:val="17"/>
          <w:color w:val="auto"/>
        </w:rPr>
        <w:t>Our hospitals provide services to individuals that do not have any form of health care coverage. Such patients are evaluated,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59" w:lineRule="exact"/>
        <w:rPr>
          <w:sz w:val="20"/>
          <w:szCs w:val="20"/>
          <w:color w:val="auto"/>
        </w:rPr>
      </w:pPr>
    </w:p>
    <w:p>
      <w:pPr>
        <w:ind w:right="820"/>
        <w:spacing w:after="0" w:line="281" w:lineRule="auto"/>
        <w:rPr>
          <w:sz w:val="20"/>
          <w:szCs w:val="20"/>
          <w:color w:val="auto"/>
        </w:rPr>
      </w:pPr>
      <w:r>
        <w:rPr>
          <w:rFonts w:ascii="Arial" w:cs="Arial" w:eastAsia="Arial" w:hAnsi="Arial"/>
          <w:sz w:val="18"/>
          <w:szCs w:val="18"/>
          <w:b w:val="1"/>
          <w:bCs w:val="1"/>
          <w:color w:val="auto"/>
        </w:rPr>
        <w:t xml:space="preserve">Health Care Reform: </w:t>
      </w:r>
      <w:r>
        <w:rPr>
          <w:rFonts w:ascii="Arial" w:cs="Arial" w:eastAsia="Arial" w:hAnsi="Arial"/>
          <w:sz w:val="18"/>
          <w:szCs w:val="18"/>
          <w:color w:val="auto"/>
        </w:rPr>
        <w:t>Listed below are the Medicare, Medicaid and other health care industry changes which have been, or are scheduled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implemented as a result of the Legislation.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Federal DSH Allotment</w:t>
      </w:r>
      <w:r>
        <w:rPr>
          <w:rFonts w:ascii="Arial" w:cs="Arial" w:eastAsia="Arial" w:hAnsi="Arial"/>
          <w:sz w:val="18"/>
          <w:szCs w:val="18"/>
          <w:i w:val="1"/>
          <w:iCs w:val="1"/>
          <w:color w:val="auto"/>
        </w:rPr>
        <w:t>:</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the implementation has been delayed several times, the Legislation (as amended by subsequent federal legislation) requires annual aggregate reductions in federal Medicaid DSH allotment from FFY 2024 through FFY 2027. Commencing in federal fiscal year 2024, and continuing through 2027, DSH payments are scheduled to be reduced by $8 billion annually. On September 30, 2023, a continuing resolution was passed by the federal government which provided for federal funding for 45 days. The measure includes a 45-day delay of these Medicaid disproportionate share hospital cuts. The continuing resolution will expire on November 17, 2023. </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Value-Based Purchasing:</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 Acquired Conditions:</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will suppress all six measures in the HAC Reduction Program for the FY 2023 program year and eliminate the HAC reduction program’s one percent payment penalty.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Readmission Reduction Program:</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80"/>
        <w:spacing w:after="0" w:line="259" w:lineRule="auto"/>
        <w:rPr>
          <w:sz w:val="20"/>
          <w:szCs w:val="20"/>
          <w:color w:val="auto"/>
        </w:rPr>
      </w:pPr>
      <w:r>
        <w:rPr>
          <w:rFonts w:ascii="Arial" w:cs="Arial" w:eastAsia="Arial" w:hAnsi="Arial"/>
          <w:sz w:val="18"/>
          <w:szCs w:val="18"/>
          <w:color w:val="auto"/>
        </w:rPr>
        <w:t>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percent reduction. As part of the FFY 2023 IPPS final rule discussed above, CMS will modify all of the condition-specific readmission measures to include an adjustment for patient history of COVID-19 for FFY 2024.</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Accountable Care Organizations: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is also developing and implementing more advanced ACO payment models that require ACOs to assume greater risk for attributed beneficiaries. On December 21, 2018, CMS published a final rule that, in general, requires ACO participants to take on additional risk associated with participation in the program. On April 30, 2020, CMS issued an interim final rule with comment in response to the COVID-19 national emergency permitting ACOs with current agreement periods expiring on December 31, 2020 the option to extend their existing agreement period by one year, and permitting certain ACOs to retain their participation level through 2021. It remains unclear to what extent providers will pursue federal ACO status or whether the required investment would be warranted by increased 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Novel Coronavirus Disease Medicare and Medicaid Payment Related Legislation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response to the growing threat of COVID-19, on March 13, 2020 a national emergency was declared. The declaration empowered the HHS Secretary to waive certain Medicare, Medicaid and Children’s Health Insurance Program (“CHIP”) program requirements and Medicare conditions of participation under Section 1135 of the Social Security Act. Having been granted this authority by HHS, CMS issued a broad range of blanket waivers, which eased certain requirements for impacted providers, including:</w:t>
      </w:r>
    </w:p>
    <w:p>
      <w:pPr>
        <w:spacing w:after="0" w:line="185" w:lineRule="exact"/>
        <w:rPr>
          <w:sz w:val="20"/>
          <w:szCs w:val="20"/>
          <w:color w:val="auto"/>
        </w:rPr>
      </w:pPr>
    </w:p>
    <w:p>
      <w:pPr>
        <w:ind w:left="760" w:right="60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Waivers and Flexibilities for Hospitals and other Healthcare Facilities including those for physical environment requirements and certain Emergency Medical Treatment &amp; Labor Act provisions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Provider Enrollment Flexibilities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Flexibility and Relief for State Medicaid Programs including those under section 1135 Waivers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Certain Enforcement Activities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the national emergency declaration, Congress passed and Presidents Trump and Biden have signed various forms of legislation intended to support state and local authority responses to COVID-19 as well as provide fiscal support to businesses, individuals, financial markets, hospitals and other healthcare providers.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Some of the financial support included in the various legislative actions include: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Medicaid FMAP Enhancement</w:t>
      </w:r>
    </w:p>
    <w:p>
      <w:pPr>
        <w:spacing w:after="0" w:line="117" w:lineRule="exact"/>
        <w:rPr>
          <w:sz w:val="20"/>
          <w:szCs w:val="20"/>
          <w:color w:val="auto"/>
        </w:rPr>
      </w:pPr>
    </w:p>
    <w:p>
      <w:pPr>
        <w:ind w:left="1520" w:right="20" w:hanging="374"/>
        <w:spacing w:after="0" w:line="256"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FMAP was increased by 6.2% retroactive to the federal fiscal quarter beginning January 1, 2020 and each subsequent federal fiscal quarter for all states and U.S. territories during the declared public health emergency through December 31, 2022, in accordance with specified conditions. The CAA of 2023, signed into law on December 29, 2022, provides for the transitional reduction of the 6.2% enhanced FMAP during 2023 to 5.0% during the second quarter, 2.5% during the third quarter and 1.5% during the fourth quarter of 2023.</w:t>
      </w:r>
    </w:p>
    <w:p>
      <w:pPr>
        <w:spacing w:after="0" w:line="82" w:lineRule="exact"/>
        <w:rPr>
          <w:rFonts w:ascii="Arial" w:cs="Arial" w:eastAsia="Arial" w:hAnsi="Arial"/>
          <w:sz w:val="18"/>
          <w:szCs w:val="18"/>
          <w:color w:val="auto"/>
        </w:rPr>
      </w:pPr>
    </w:p>
    <w:p>
      <w:pPr>
        <w:ind w:left="1520" w:hanging="374"/>
        <w:spacing w:after="0" w:line="254"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April 1, 2023, the CAA of 2023 allows states to initiate Medicaid renewals, post-enrollment verifications, and redeterminations over a 12-month period for all individuals who are enrolled in such plan (or waiver) as of April 1, 2023. This activity was previously prohibited as a condition for the receipt of the enhanced FMAP during the PHE. This Medicaid enrollment related activity is likely to reduce Medicaid beneficiary enrollment. In the states in which we operate, we cannot predict the extent to which disenrolled Medicaid beneficiaries will be able to replace their Medicaid coverage with employer-based insurance coverage or via coverage obtained through the ACA Health Insurance Exchange. We are therefore unable to estimate the impact of this Medicaid enrollment activity on our 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Public Health Emergency Declaration</w:t>
      </w:r>
    </w:p>
    <w:p>
      <w:pPr>
        <w:spacing w:after="0" w:line="117" w:lineRule="exact"/>
        <w:rPr>
          <w:sz w:val="20"/>
          <w:szCs w:val="20"/>
          <w:color w:val="auto"/>
        </w:rPr>
      </w:pPr>
    </w:p>
    <w:p>
      <w:pPr>
        <w:ind w:left="1520" w:right="420" w:hanging="374"/>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HHS Secretary renewed the PHE effective February 11, 2023, for 90 days. As a result, certain Medicare payment provisions contingent on the PHE were extended including the twenty percent (20%) Medicare add-on for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52" w:name="page53"/>
    <w:bookmarkEnd w:id="52"/>
    <w:p>
      <w:pPr>
        <w:ind w:left="1520" w:right="260"/>
        <w:spacing w:after="0" w:line="277" w:lineRule="auto"/>
        <w:rPr>
          <w:sz w:val="20"/>
          <w:szCs w:val="20"/>
          <w:color w:val="auto"/>
        </w:rPr>
      </w:pPr>
      <w:r>
        <w:rPr>
          <w:rFonts w:ascii="Arial" w:cs="Arial" w:eastAsia="Arial" w:hAnsi="Arial"/>
          <w:sz w:val="18"/>
          <w:szCs w:val="18"/>
          <w:color w:val="auto"/>
        </w:rPr>
        <w:t>inpatient hospital COVID-19 patients noted below. Pursuant to formal notice subsequently published by HHS, the PHE expired on May 11, 2023.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Reimburse hospitals at Medicare rates for uncompensated COVID-19 care for the uninsured</w:t>
      </w:r>
    </w:p>
    <w:p>
      <w:pPr>
        <w:spacing w:after="0" w:line="117" w:lineRule="exact"/>
        <w:rPr>
          <w:sz w:val="20"/>
          <w:szCs w:val="20"/>
          <w:color w:val="auto"/>
        </w:rPr>
      </w:pPr>
    </w:p>
    <w:p>
      <w:pPr>
        <w:jc w:val="both"/>
        <w:ind w:left="1520" w:right="60" w:hanging="374"/>
        <w:spacing w:after="0" w:line="263" w:lineRule="auto"/>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results for the three and nine-month periods ended September 30, 2023 include no revenues recorded in connection with this program. Our financial results for the three and nine-month periods ended September 30, 2022 included approximately $4 million and $22 million, respectively, of revenues recorded in connection with this program.</w:t>
      </w:r>
    </w:p>
    <w:p>
      <w:pPr>
        <w:spacing w:after="0" w:line="74" w:lineRule="exact"/>
        <w:rPr>
          <w:rFonts w:ascii="Arial" w:cs="Arial" w:eastAsia="Arial" w:hAnsi="Arial"/>
          <w:sz w:val="18"/>
          <w:szCs w:val="18"/>
          <w:color w:val="auto"/>
        </w:rPr>
      </w:pPr>
    </w:p>
    <w:p>
      <w:pPr>
        <w:ind w:left="1520" w:right="20" w:hanging="374"/>
        <w:spacing w:after="0" w:line="277" w:lineRule="auto"/>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March 22, 2022, HHS announced that the HRSA COVID-19 Uninsured Program and Coverage Assistance Fund is no longer accepting claims due to insufficient funding.</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Sequestration Relief</w:t>
      </w:r>
    </w:p>
    <w:p>
      <w:pPr>
        <w:spacing w:after="0" w:line="117" w:lineRule="exact"/>
        <w:rPr>
          <w:sz w:val="20"/>
          <w:szCs w:val="20"/>
          <w:color w:val="auto"/>
        </w:rPr>
      </w:pPr>
    </w:p>
    <w:p>
      <w:pPr>
        <w:ind w:left="1520" w:right="40" w:hanging="374"/>
        <w:spacing w:after="0" w:line="259"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of the 2% Medicare sequestration offset for Medicare services provided from May 1, 2020 through December 31, 2021 by various legislative extensions. In December, 2021, the suspended 2% payment reduction was extended until June 30, 2022 and partially suspended at a 1% payment reduction for an additional three-month period that ended on June 30, 2022, with a return to the full 2% Medicare payment reduction thereafter.</w:t>
      </w:r>
    </w:p>
    <w:p>
      <w:pPr>
        <w:spacing w:after="0" w:line="77" w:lineRule="exact"/>
        <w:rPr>
          <w:rFonts w:ascii="Arial" w:cs="Arial" w:eastAsia="Arial" w:hAnsi="Arial"/>
          <w:sz w:val="18"/>
          <w:szCs w:val="18"/>
          <w:color w:val="auto"/>
        </w:rPr>
      </w:pPr>
    </w:p>
    <w:p>
      <w:pPr>
        <w:ind w:left="1520" w:right="160" w:hanging="374"/>
        <w:spacing w:after="0" w:line="263"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results for the three and nine-month periods ended September 30, 2023 included no revenues related to this program. Our financial results for the nine-month period ended September 30, 2022, included approximately $17 million of revenues recorded in connection with this program.</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add-on for inpatient hospital COVID-19 patients</w:t>
      </w:r>
    </w:p>
    <w:p>
      <w:pPr>
        <w:spacing w:after="0" w:line="117" w:lineRule="exact"/>
        <w:rPr>
          <w:sz w:val="20"/>
          <w:szCs w:val="20"/>
          <w:color w:val="auto"/>
        </w:rPr>
      </w:pPr>
    </w:p>
    <w:p>
      <w:pPr>
        <w:ind w:left="1520" w:right="100" w:hanging="374"/>
        <w:spacing w:after="0" w:line="277"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the payment that would otherwise be made to a hospital for treating a Medicare patient admitted with COVID-19 by twenty percent (20%) for the duration of the COVID-19 public health emergency.</w:t>
      </w:r>
    </w:p>
    <w:p>
      <w:pPr>
        <w:spacing w:after="0" w:line="61" w:lineRule="exact"/>
        <w:rPr>
          <w:rFonts w:ascii="Arial" w:cs="Arial" w:eastAsia="Arial" w:hAnsi="Arial"/>
          <w:sz w:val="18"/>
          <w:szCs w:val="18"/>
          <w:color w:val="auto"/>
        </w:rPr>
      </w:pPr>
    </w:p>
    <w:p>
      <w:pPr>
        <w:ind w:left="1520" w:hanging="374"/>
        <w:spacing w:after="0" w:line="279" w:lineRule="auto"/>
        <w:tabs>
          <w:tab w:leader="none" w:pos="1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our financial results were revenues of approximately $7 million during the three-month period ended September 30, 2022 (no revenues were recorded during the third quarter of 2023), and approximately $6 million and $25 million during the nine-month periods ended September 30, 2023 and 2022, respectively, recorded in connection with this program. These payments were intended to offset the increased expenses associated with the treatment of Medicare COVID-19 patients.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Other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As reflected on the schedule below, interest expense was $53 million and $36 million during the three-month periods ended September 30, 2023 and 2022, respectively, and $153 million and $83 million during the nine-month periods ended September 30, 2023 and 2022, respectively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r>
      <w:tr>
        <w:trPr>
          <w:trHeight w:val="148"/>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85"/>
        </w:trPr>
        <w:tc>
          <w:tcPr>
            <w:tcW w:w="5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&amp; demand notes (a.)</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FF0FC"/>
          </w:tcPr>
          <w:p>
            <w:pPr>
              <w:spacing w:after="0"/>
              <w:rPr>
                <w:sz w:val="20"/>
                <w:szCs w:val="20"/>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Tranche A term loan facility (a.)</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115,156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37,710</w:t>
            </w: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$800 million, 2.65% Senior Notes due 2030 (b.)</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$700 million, 1.65% Senior Notes due 2026 (c.)</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$500 million, 2.65% Senior Notes due 2032 (d.)</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FF0FC"/>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 (e.)</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08"/>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Subtotal-revolving credit, demand notes, Senior Notes,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term loan facilities and accounts receivable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58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securitization program</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80,390</w:t>
            </w: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Amortization of financing fees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combined interest expense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Capitalized interest on major projects</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(6,479 )</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(2,199 )</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(17,100 )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(5,738 )</w:t>
            </w: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(458 )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(183 )</w:t>
            </w:r>
          </w:p>
        </w:tc>
      </w:tr>
      <w:tr>
        <w:trPr>
          <w:trHeight w:val="236"/>
        </w:trPr>
        <w:tc>
          <w:tcPr>
            <w:tcW w:w="5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35,653</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153,085</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83,002</w:t>
            </w:r>
          </w:p>
        </w:tc>
        <w:tc>
          <w:tcPr>
            <w:tcW w:w="100" w:type="dxa"/>
            <w:vAlign w:val="bottom"/>
            <w:tcBorders>
              <w:top w:val="single" w:sz="8" w:color="CFF0FC"/>
            </w:tcBorders>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-187960</wp:posOffset>
            </wp:positionV>
            <wp:extent cx="7683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-187960</wp:posOffset>
            </wp:positionV>
            <wp:extent cx="6858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As of September 30, 2023, our credit agreement dated November 15, 2010, as amended, provided for the following:</w:t>
      </w:r>
    </w:p>
    <w:p>
      <w:pPr>
        <w:spacing w:after="0" w:line="63" w:lineRule="exact"/>
        <w:rPr>
          <w:sz w:val="20"/>
          <w:szCs w:val="20"/>
          <w:color w:val="auto"/>
        </w:rPr>
      </w:pPr>
    </w:p>
    <w:p>
      <w:pPr>
        <w:ind w:left="1540" w:hanging="514"/>
        <w:spacing w:after="0" w:line="263"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$1.2 billion aggregate amount revolving credit facility that is scheduled to mature in August, 2026 (which, as of September 30, 2023, had $721 million of aggregate available borrowing capacity net of $475 million of outstanding borrowings and $4 million of letters of credit), and;</w:t>
      </w:r>
    </w:p>
    <w:p>
      <w:pPr>
        <w:spacing w:after="0" w:line="20" w:lineRule="exact"/>
        <w:rPr>
          <w:rFonts w:ascii="Arial" w:cs="Arial" w:eastAsia="Arial" w:hAnsi="Arial"/>
          <w:sz w:val="18"/>
          <w:szCs w:val="18"/>
          <w:color w:val="auto"/>
        </w:rPr>
      </w:pPr>
    </w:p>
    <w:p>
      <w:pPr>
        <w:ind w:left="1540" w:right="440" w:hanging="514"/>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tranche A term loan facility with $2.29 billion of outstanding borrowings as of September 30, 2023 (including the $700 million increase that occurred in June, 2022).</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In September, 2020, we completed the offering of $800 million aggregate principal amount of 2.65% Senior Notes due in 2030.</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  In August, 2021, we completed the offering of $700 million aggregate principal amount of 1.65% Senior Notes due in 2026.</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In August, 2021, we completed the offering of $500 million aggregate principal amount of 2.65% Senior Notes due in 2032.</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The accounts receivable securitization program expired on its maturity date in December, 2022 and was not renewed or replaced.</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Interest expense increased approximately $18 million, or 50%, during the three-month period ended September 30, 2023, as compared to the three-month period ended September 30, 2022. The increase was primarily due to: (i) a net $23 million increase in aggregate interest expense on our revolving credit, demand notes, senior notes, term loan facilities and accounts receivable securitization program (as applicable), resulting from an increase in our aggregate average cost of borrowings pursuant to these facilities (4.9% during the third quarter of 2023 as compared to 3.08% during the comparable quarter of</w:t>
      </w:r>
    </w:p>
    <w:p>
      <w:pPr>
        <w:ind w:right="60"/>
        <w:spacing w:after="0" w:line="289" w:lineRule="auto"/>
        <w:rPr>
          <w:sz w:val="20"/>
          <w:szCs w:val="20"/>
          <w:color w:val="auto"/>
        </w:rPr>
      </w:pPr>
      <w:r>
        <w:rPr>
          <w:rFonts w:ascii="Arial" w:cs="Arial" w:eastAsia="Arial" w:hAnsi="Arial"/>
          <w:sz w:val="16"/>
          <w:szCs w:val="16"/>
          <w:color w:val="auto"/>
        </w:rPr>
        <w:t>2022), as well as an increase in the aggregate average outstanding borrowings pursuant to these facilities ($4.65 billion during the third quarter of 2023 as compared to $4.46 billion during the third quarter of 2022), partially offset by; (ii) a net $5 million decrease in other combined interest expenses, due primarily to a $4 million increase in capitalized interest on major projects. The average effective interest rates, including amortization of deferred financing costs and original issue discount, on borrowings outstanding under our revolving credit, demand notes, senior notes, term loan A facility and accounts receivable securitization program (as applicable), which amounted to approximately $4.65 billion and $4.46 billion during the third quarters of 2023 and 2022, respectively, were 5.0% and 3.2% during the three-month periods ended September 30, 2023 and 2022, respectively.</w:t>
      </w:r>
    </w:p>
    <w:p>
      <w:pPr>
        <w:spacing w:after="0" w:line="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Interest expense increased approximately $70 million, or 84%, during the nine-month period ended September 30, 2023, as compared to the nine-month period ended September 30, 2022. The increase was primarily due to: (i) a net $85 million increase in aggregate interest expense on our revolving credit, demand notes, senior notes, term loan facilities and accounts receivable securitization program (as applicable), resulting from an increase in our aggregate average cost of borrowings pursuant to these facilities (4.73% during the first nine months of 2023 as compared to 2.41% during the comparable period of 2022), as well as an increase in the aggregate average outstanding borrowings pursuant to these facilities ($4.61 billion during 2023 as compared to $4.37 billion during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line="275" w:lineRule="auto"/>
        <w:rPr>
          <w:sz w:val="20"/>
          <w:szCs w:val="20"/>
          <w:color w:val="auto"/>
        </w:rPr>
      </w:pPr>
      <w:r>
        <w:rPr>
          <w:rFonts w:ascii="Arial" w:cs="Arial" w:eastAsia="Arial" w:hAnsi="Arial"/>
          <w:sz w:val="17"/>
          <w:szCs w:val="17"/>
          <w:color w:val="auto"/>
        </w:rPr>
        <w:t>2022), partially offset by; (ii) a net $15 million decrease in other combined interest expenses, due primarily to an $11 million increase in capitalized interest on major projects . The average effective interest rates, including amortization of deferred financing costs and original issue discount, on borrowings outstanding under our revolving credit, demand notes, senior notes, term loan A facility and accounts receivable securitization program (as applicable), which amounted to approximately $4.61 billion and $4.37 billion during the nine-month periods ended September 30, 2023 and 2022, respectively, were 4.85% and 2.53% during the nine-month periods ended September 30, 2023 and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 and Effective Tax Rates: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effective tax rates, as calculated by dividing the provision for income taxes by income before income taxes, were as follows for the three and nine-month periods ended September 30, 2023 and 2022 (dollar amounts in thousands):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6"/>
          </w:tcPr>
          <w:p>
            <w:pPr>
              <w:jc w:val="right"/>
              <w:ind w:right="8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160"/>
        </w:trPr>
        <w:tc>
          <w:tcPr>
            <w:tcW w:w="4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360"/>
              <w:spacing w:after="0" w:line="15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97"/>
              <w:spacing w:after="0" w:line="159" w:lineRule="exact"/>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340"/>
              <w:spacing w:after="0" w:line="15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97"/>
              <w:spacing w:after="0" w:line="159"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57,401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157,312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220,507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234,212</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659,303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440" w:type="dxa"/>
            <w:vAlign w:val="bottom"/>
          </w:tcPr>
          <w:p>
            <w:pPr>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-179070</wp:posOffset>
            </wp:positionV>
            <wp:extent cx="641350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3500" cy="179705"/>
                    </a:xfrm>
                    <a:prstGeom prst="rect">
                      <a:avLst/>
                    </a:prstGeom>
                    <a:noFill/>
                  </pic:spPr>
                </pic:pic>
              </a:graphicData>
            </a:graphic>
          </wp:anchor>
        </w:drawing>
      </w:r>
    </w:p>
    <w:p>
      <w:pPr>
        <w:spacing w:after="0" w:line="7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provision for income taxes decreased $5 million during the third quarter of 2023, as compared to the third quarter of 2022, due primarily to the income tax expense recorded in connection with a $21 million decrease in pre-tax income (consisting of $14 million decrease in income before income taxes and a $7 million unfavorable change in the income/loss attributable to noncontrolling interests).</w:t>
      </w:r>
    </w:p>
    <w:p>
      <w:pPr>
        <w:spacing w:after="0" w:line="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provision for income taxes increased $2 million during the nine-month period ended September 30, 2023, as compared to the comparable period of 2022, due primarily to the income tax expense recorded in connection with the $3 million increase in pre-tax income (consisting of $15 million increase in income before income taxes partially offset by a $12 million decrease in the loss attributable to noncontrolling interests).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operating activities was $815 million during the nine-month period ended September 30, 2023 and $699 million during the first nine months of 2022. The net increase of $117 million was attributable to the following:</w:t>
      </w:r>
    </w:p>
    <w:p>
      <w:pPr>
        <w:spacing w:after="0" w:line="62" w:lineRule="exact"/>
        <w:rPr>
          <w:sz w:val="20"/>
          <w:szCs w:val="20"/>
          <w:color w:val="auto"/>
        </w:rPr>
      </w:pPr>
    </w:p>
    <w:p>
      <w:pPr>
        <w:ind w:left="760" w:right="12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favorable change of $109 million from other working capital accounts due primarily to the timing of disbursements for accrued compensation and accounts payable, and;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 million of other combined net favorable changes.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Days sales outstanding (“DSO”): </w:t>
      </w:r>
      <w:r>
        <w:rPr>
          <w:rFonts w:ascii="Arial" w:cs="Arial" w:eastAsia="Arial" w:hAnsi="Arial"/>
          <w:sz w:val="18"/>
          <w:szCs w:val="18"/>
          <w:color w:val="auto"/>
        </w:rPr>
        <w:t>Our DSO are calculated by dividing our net revenue by the number of days in the nine-month periods. The result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divided into the accounts receivable balance at September 30th of each year to obtain the DSO. Our DSO were 58 days and 52 days at September 30, 2023 and 2022, respectively. Included in our accounts receivable balance as of September 30, 2023, were increased receivables recorded in connection with Medicaid supplemental revenue programs in Texas.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we used $524 million of net cash in investing activities as follows:</w:t>
      </w:r>
    </w:p>
    <w:p>
      <w:pPr>
        <w:spacing w:after="0" w:line="117" w:lineRule="exact"/>
        <w:rPr>
          <w:sz w:val="20"/>
          <w:szCs w:val="20"/>
          <w:color w:val="auto"/>
        </w:rPr>
      </w:pPr>
    </w:p>
    <w:p>
      <w:pPr>
        <w:ind w:left="760" w:right="5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$537 million spent on capital expenditures including capital expenditures for equipment, renovations and new projects at various existing facilities;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$24 million received from the sales of assets and businesses;</w:t>
      </w:r>
    </w:p>
    <w:p>
      <w:pPr>
        <w:spacing w:after="0" w:line="116"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 million paid in connection with net cash outflows from forward exchange contracts that hedge our investment in the U.K. against movements in exchange rates, and;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 million spent on the acquisition of businesses and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2022, we used $399 million of net cash in investing activities as follows:</w:t>
      </w:r>
    </w:p>
    <w:p>
      <w:pPr>
        <w:spacing w:after="0" w:line="117" w:lineRule="exact"/>
        <w:rPr>
          <w:sz w:val="20"/>
          <w:szCs w:val="20"/>
          <w:color w:val="auto"/>
        </w:rPr>
      </w:pPr>
    </w:p>
    <w:p>
      <w:pPr>
        <w:ind w:left="760" w:right="5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$570 million spent on capital expenditures including capital expenditures for equipment, renovations and new projects at various existing facilities;</w:t>
      </w:r>
    </w:p>
    <w:p>
      <w:pPr>
        <w:spacing w:after="0" w:line="61" w:lineRule="exact"/>
        <w:rPr>
          <w:rFonts w:ascii="Arial" w:cs="Arial" w:eastAsia="Arial" w:hAnsi="Arial"/>
          <w:sz w:val="18"/>
          <w:szCs w:val="18"/>
          <w:color w:val="auto"/>
        </w:rPr>
      </w:pPr>
    </w:p>
    <w:p>
      <w:pPr>
        <w:ind w:left="760" w:right="54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$177 million received in connection with net cash inflows from forward exchange contracts that hedge our investment in the U.K. against movements in exchange rates;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$19 million spent on the acquisition of businesses and property,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$12 million received from the sales of assets and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we used $312 million of net cash in financing activities as follows:</w:t>
      </w:r>
    </w:p>
    <w:p>
      <w:pPr>
        <w:spacing w:after="0" w:line="117"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generated $165 million of additional borrowings related to our revolving credit facility;</w:t>
      </w:r>
    </w:p>
    <w:p>
      <w:pPr>
        <w:spacing w:after="0" w:line="116" w:lineRule="exact"/>
        <w:rPr>
          <w:rFonts w:ascii="Arial" w:cs="Arial" w:eastAsia="Arial" w:hAnsi="Arial"/>
          <w:sz w:val="18"/>
          <w:szCs w:val="18"/>
          <w:color w:val="auto"/>
        </w:rPr>
      </w:pPr>
    </w:p>
    <w:p>
      <w:pPr>
        <w:ind w:left="760" w:right="220" w:hanging="378"/>
        <w:spacing w:after="0" w:line="341"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spent $385 million to repurchase shares of our Class B Common Stock in connection with: (i) open market purchases pursuant to our stock repurchase program ($367 million), and; (ii) income tax withholding obligations related to stock-based compensation programs ($18 million);</w:t>
      </w:r>
    </w:p>
    <w:p>
      <w:pPr>
        <w:spacing w:after="0" w:line="16" w:lineRule="exact"/>
        <w:rPr>
          <w:rFonts w:ascii="Arial" w:cs="Arial" w:eastAsia="Arial" w:hAnsi="Arial"/>
          <w:sz w:val="16"/>
          <w:szCs w:val="16"/>
          <w:color w:val="auto"/>
        </w:rPr>
      </w:pPr>
    </w:p>
    <w:p>
      <w:pPr>
        <w:ind w:left="760" w:right="14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$54 million on net repayments of debt as follows: (i) $49 million related to our tranche A term loan facility, and; (ii) $5 million related to other debt facilities;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$42 million to pay quarterly cash dividends of $.20 per share;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$5 million to pay profit distributions related to noncontrolling interests in majority owned businesses, and;</w:t>
      </w:r>
    </w:p>
    <w:p>
      <w:pPr>
        <w:spacing w:after="0" w:line="116" w:lineRule="exact"/>
        <w:rPr>
          <w:rFonts w:ascii="Arial" w:cs="Arial" w:eastAsia="Arial" w:hAnsi="Arial"/>
          <w:sz w:val="18"/>
          <w:szCs w:val="18"/>
          <w:color w:val="auto"/>
        </w:rPr>
      </w:pPr>
    </w:p>
    <w:p>
      <w:pPr>
        <w:ind w:right="520" w:firstLine="382"/>
        <w:spacing w:after="0" w:line="375" w:lineRule="auto"/>
        <w:tabs>
          <w:tab w:leader="none" w:pos="7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generated $10 million from the issuance of shares of our Class B Common Stock pursuant to the terms of employee stock purchase plans. During the first nine months of 2022, we used $303 million of net cash in financing activities as follows:</w:t>
      </w:r>
    </w:p>
    <w:p>
      <w:pPr>
        <w:ind w:left="760" w:right="34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generated $705 million of additional borrowings consisting primarily of the $700 million generated pursuant to the new tranche A term loan facility which commenced in June, 2022;</w:t>
      </w:r>
    </w:p>
    <w:p>
      <w:pPr>
        <w:spacing w:after="0" w:line="61" w:lineRule="exact"/>
        <w:rPr>
          <w:rFonts w:ascii="Arial" w:cs="Arial" w:eastAsia="Arial" w:hAnsi="Arial"/>
          <w:sz w:val="18"/>
          <w:szCs w:val="18"/>
          <w:color w:val="auto"/>
        </w:rPr>
      </w:pPr>
    </w:p>
    <w:p>
      <w:pPr>
        <w:ind w:left="760" w:right="220" w:hanging="378"/>
        <w:spacing w:after="0" w:line="341"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spent $723 million to repurchase shares of our Class B Common Stock in connection with: (i) open market purchases pursuant to our stock repurchase program ($703 million), and; (ii) income tax withholding obligations related to stock-based compensation programs ($20 million);</w:t>
      </w:r>
    </w:p>
    <w:p>
      <w:pPr>
        <w:spacing w:after="0" w:line="16" w:lineRule="exact"/>
        <w:rPr>
          <w:rFonts w:ascii="Arial" w:cs="Arial" w:eastAsia="Arial" w:hAnsi="Arial"/>
          <w:sz w:val="16"/>
          <w:szCs w:val="16"/>
          <w:color w:val="auto"/>
        </w:rPr>
      </w:pPr>
    </w:p>
    <w:p>
      <w:pPr>
        <w:ind w:left="760" w:right="2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$194 million on net repayments of debt as follows: (i) $153 million related to our revolving credit facility; (ii) $36 million related to our tranche A term loan facility, and; (iii) $5 million related to other debt facilities;</w:t>
      </w:r>
    </w:p>
    <w:p>
      <w:pPr>
        <w:spacing w:after="0" w:line="61" w:lineRule="exact"/>
        <w:rPr>
          <w:rFonts w:ascii="Arial" w:cs="Arial" w:eastAsia="Arial" w:hAnsi="Arial"/>
          <w:sz w:val="18"/>
          <w:szCs w:val="18"/>
          <w:color w:val="auto"/>
        </w:rPr>
      </w:pPr>
    </w:p>
    <w:p>
      <w:pPr>
        <w:ind w:left="760" w:right="54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$49 million in connection with the purchase of ownership interests from minority members, net of sales, consisting primarily of our purchase of George Washington University’s 20% ownership in George Washington University Hospital;</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$44 million to pay quarterly cash dividends of $.20 per share;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generated $10 million from the issuance of shares of our Class B Common Stock pursuant to the terms of employee stock purchase plans;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$5 million to pay profit distributions related to noncontrolling interests in majority owned businesses,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$3 million to pay financing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Expected capital expenditures during remainder of 2023</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full year of 2023, we expect to spend approximately $725 million to $775 million on capital expenditures which includes expenditures for capital equipment, construction of new facilities, and renovations and expansions at existing hospitals. During the first nine months of 2023, we spent approximately $537 million on capital expenditures. During the remaining three months of 2023, we expect to spend approximately $188 million to $238 million on capital expenditures.</w:t>
      </w:r>
    </w:p>
    <w:p>
      <w:pPr>
        <w:spacing w:after="0" w:line="7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that our capital expenditure program is adequate to expand, improve and equip our existing hospitals. We expect to finance all capital expenditures and acquisitions with internally generated funds and/or additional funds, as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Outstanding Debt Securities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incremental tranche A term loan facility were used to repay a portion of the borrowings that were previously outstanding under our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our Credit Agreement provided for the following:</w:t>
      </w:r>
    </w:p>
    <w:p>
      <w:pPr>
        <w:spacing w:after="0" w:line="63" w:lineRule="exact"/>
        <w:rPr>
          <w:sz w:val="20"/>
          <w:szCs w:val="20"/>
          <w:color w:val="auto"/>
        </w:rPr>
      </w:pPr>
    </w:p>
    <w:p>
      <w:pPr>
        <w:ind w:left="1540" w:hanging="514"/>
        <w:spacing w:after="0" w:line="263"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$1.2 billion aggregate amount revolving credit facility that is scheduled to mature in August, 2026 (which, as of September 30, 2023, had $721 million of aggregate available borrowing capacity net of $475 million of outstanding borrowings and $4 million of letters of credit), and;</w:t>
      </w:r>
    </w:p>
    <w:p>
      <w:pPr>
        <w:spacing w:after="0" w:line="20" w:lineRule="exact"/>
        <w:rPr>
          <w:rFonts w:ascii="Arial" w:cs="Arial" w:eastAsia="Arial" w:hAnsi="Arial"/>
          <w:sz w:val="18"/>
          <w:szCs w:val="18"/>
          <w:color w:val="auto"/>
        </w:rPr>
      </w:pPr>
    </w:p>
    <w:p>
      <w:pPr>
        <w:ind w:left="1540" w:hanging="514"/>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tranche A term loan facility with $2.29 billion of outstanding borrowings as of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tranche A term loan facility provides for installment payments of $30.0 million per quarter during the period of December, 2023 through June,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unpaid principal balance at June 30, 2026 is payable on the August 24, 2026 scheduled maturity date of the Credit Agreement.</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w:t>
      </w:r>
    </w:p>
    <w:p>
      <w:pPr>
        <w:spacing w:after="0" w:line="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0.625%, or (2) the one, three or six month term SOFR rate plus 0.1% (at our election), plus an applicable margin based upon our consolidated leverage ratio at the end of each quarter ranging from 1.25% to 1.625%. As of September 30, 2023, the applicable margins were 0.50% for ABR-based loans and 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September 30, 2023 and December 31, 2022.</w:t>
      </w:r>
    </w:p>
    <w:p>
      <w:pPr>
        <w:spacing w:after="0" w:line="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62" w:lineRule="exact"/>
        <w:rPr>
          <w:sz w:val="20"/>
          <w:szCs w:val="20"/>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$700 million of aggregate principal amount of 1.65% senior secured notes due on September 1, 2026,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$500 million of aggregate principal amount of 2.65% senior secured notes due on January 15, 2032.</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combined aggregate principal of $2.0 billion from the following senior secured notes:</w:t>
      </w:r>
    </w:p>
    <w:p>
      <w:pPr>
        <w:spacing w:after="0" w:line="117" w:lineRule="exact"/>
        <w:rPr>
          <w:sz w:val="20"/>
          <w:szCs w:val="20"/>
          <w:color w:val="auto"/>
        </w:rPr>
      </w:pPr>
    </w:p>
    <w:p>
      <w:pPr>
        <w:ind w:left="1020" w:right="20" w:hanging="504"/>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$700 million aggregate principal amount of 1.65% senior secured notes due in September, 2026 (“2026 Notes”) which were issued on August 24, 2021.</w:t>
      </w:r>
    </w:p>
    <w:p>
      <w:pPr>
        <w:spacing w:after="0" w:line="61" w:lineRule="exact"/>
        <w:rPr>
          <w:rFonts w:ascii="Arial" w:cs="Arial" w:eastAsia="Arial" w:hAnsi="Arial"/>
          <w:sz w:val="18"/>
          <w:szCs w:val="18"/>
          <w:color w:val="auto"/>
        </w:rPr>
      </w:pPr>
    </w:p>
    <w:p>
      <w:pPr>
        <w:ind w:left="1020" w:right="780" w:hanging="504"/>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$800 million aggregate principal amount of 2.65% senior secured notes due in October, 2030 (“2030 Notes”) which were issued on September 21, 2020.</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$500 million of aggregate principal amount of 2.65% senior secured notes due in January, 2032 (“2032 Notes”) which were issued on August 24, 2021.</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7"/>
          <w:szCs w:val="17"/>
          <w:color w:val="auto"/>
        </w:rPr>
        <w:t>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 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On its December, 2022 maturity date, our $20 million accounts receivable securitization program expired and was not renewed or replaced.</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2 to the Consolidated Financial Statements-Relationship with Universal Health Realty Income Trust and Other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December 31, 2021, we (through wholly-owned subsidiaries of ours) entered into an asset purchase and sale agreement with Universal</w:t>
      </w:r>
      <w:r>
        <w:rPr>
          <w:rFonts w:ascii="Arial" w:cs="Arial" w:eastAsia="Arial" w:hAnsi="Arial"/>
          <w:sz w:val="16"/>
          <w:szCs w:val="16"/>
          <w:i w:val="1"/>
          <w:iCs w:val="1"/>
          <w:color w:val="auto"/>
        </w:rPr>
        <w:t xml:space="preserve"> </w:t>
      </w:r>
      <w:r>
        <w:rPr>
          <w:rFonts w:ascii="Arial" w:cs="Arial" w:eastAsia="Arial" w:hAnsi="Arial"/>
          <w:sz w:val="16"/>
          <w:szCs w:val="16"/>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condensed consolidated balance sheets at September 30, 2023 and December 31, 2022 reflect financial liabilities, which are included in debt, of approximately $78 million and $81 million, respectively.</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2023, the carrying value and fair value of our debt were approximately $4.9 billion and $4.5 billion, respectively. At December 31, 2022, the carrying value and fair value of our debt were approximately $4.8 billion and $4.4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total debt as a percentage of total capitalization was approximately 45% at each of September 30, 2023 and December 31, 2022.</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$721 million of available borrowing capacity as of September 30, 2023, or through refinancing the 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combined aggregate principal of $2.0 billion from The Notes:</w:t>
      </w:r>
    </w:p>
    <w:p>
      <w:pPr>
        <w:spacing w:after="0" w:line="117"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$700 million aggregate principal amount of the 2026 Notes;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$800 million aggregate principal amount of the 2030 Notes,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$500 million of aggregate principal amount of the 2032 Notes.</w:t>
      </w:r>
    </w:p>
    <w:p>
      <w:pPr>
        <w:spacing w:after="0" w:line="11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Notes are fully and unconditionally guaranteed pursuant to the Guarantees on a senior secured basis by the Subsidiary Guarantors.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The Notes were issued), and certain other excluded assets). The Company’s obligations with respect to The Notes,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53" w:lineRule="auto"/>
        <w:rPr>
          <w:sz w:val="20"/>
          <w:szCs w:val="20"/>
          <w:color w:val="auto"/>
        </w:rPr>
      </w:pPr>
      <w:r>
        <w:rPr>
          <w:rFonts w:ascii="Arial" w:cs="Arial" w:eastAsia="Arial" w:hAnsi="Arial"/>
          <w:sz w:val="18"/>
          <w:szCs w:val="18"/>
          <w:color w:val="auto"/>
        </w:rPr>
        <w:t>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Notes are structurally subordinated to all obligations of our existing and future subsidiaries that are not and do not become Subsidiary Guarantors of The Notes. No appraisal of the value of the collateral has been made,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and our subsidiaries may be able to incur significant additional indebtedness in the future. Although our Credit Agreement contains restrictions on the incurrence of additional indebtedness and our Credit Agreement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holders of The Notes.</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Federal and state fraudulent transfer and conveyance statutes may apply to the issuance of The Notes and the incurrence of the Guarantees. Under federal bankruptcy law and comparable provisions of state fraudulent transfer or conveyance laws, which may vary from state to state, The Notes or the Guarantees (or the grant of collateral securing any such obligations) could be voided as a fraudulent transfer or conveyance if we or any of the Subsidiary Guarantors, as applicable, (a) issued The Notes or incurred the Guarantees with the intent of hindering, delaying or defrauding creditors or (b) under certain circumstances received less than reasonably equivalent value or fair consideration in return for either issuing The Notes or incurring the Guarantees.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summarized balance sheet information for the consolidated obligor group of debt issued by Universal Health Services, Inc. is presented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 2023</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0"/>
                <w:szCs w:val="20"/>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2,196,809</w:t>
            </w: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2,062,900</w:t>
            </w:r>
          </w:p>
        </w:tc>
        <w:tc>
          <w:tcPr>
            <w:tcW w:w="100" w:type="dxa"/>
            <w:vAlign w:val="bottom"/>
            <w:shd w:val="clear" w:color="auto" w:fill="CFF0FC"/>
          </w:tcPr>
          <w:p>
            <w:pPr>
              <w:spacing w:after="0"/>
              <w:rPr>
                <w:sz w:val="20"/>
                <w:szCs w:val="20"/>
                <w:color w:val="auto"/>
              </w:rPr>
            </w:pPr>
          </w:p>
        </w:tc>
      </w:tr>
      <w:tr>
        <w:trPr>
          <w:trHeight w:val="236"/>
        </w:trPr>
        <w:tc>
          <w:tcPr>
            <w:tcW w:w="6720" w:type="dxa"/>
            <w:vAlign w:val="bottom"/>
          </w:tcPr>
          <w:p>
            <w:pPr>
              <w:ind w:left="20"/>
              <w:spacing w:after="0"/>
              <w:rPr>
                <w:sz w:val="20"/>
                <w:szCs w:val="20"/>
                <w:color w:val="auto"/>
              </w:rPr>
            </w:pPr>
            <w:r>
              <w:rPr>
                <w:rFonts w:ascii="Arial" w:cs="Arial" w:eastAsia="Arial" w:hAnsi="Arial"/>
                <w:sz w:val="18"/>
                <w:szCs w:val="18"/>
                <w:color w:val="auto"/>
              </w:rPr>
              <w:t>Noncurrent assets (1)</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8,872,855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8,773,036</w:t>
            </w:r>
          </w:p>
        </w:tc>
        <w:tc>
          <w:tcPr>
            <w:tcW w:w="100" w:type="dxa"/>
            <w:vAlign w:val="bottom"/>
          </w:tcPr>
          <w:p>
            <w:pPr>
              <w:spacing w:after="0"/>
              <w:rPr>
                <w:sz w:val="20"/>
                <w:szCs w:val="20"/>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1,720,254</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1,686,005</w:t>
            </w:r>
          </w:p>
        </w:tc>
        <w:tc>
          <w:tcPr>
            <w:tcW w:w="100" w:type="dxa"/>
            <w:vAlign w:val="bottom"/>
            <w:shd w:val="clear" w:color="auto" w:fill="CFF0FC"/>
          </w:tcPr>
          <w:p>
            <w:pPr>
              <w:spacing w:after="0"/>
              <w:rPr>
                <w:sz w:val="21"/>
                <w:szCs w:val="21"/>
                <w:color w:val="auto"/>
              </w:rPr>
            </w:pPr>
          </w:p>
        </w:tc>
      </w:tr>
      <w:tr>
        <w:trPr>
          <w:trHeight w:val="236"/>
        </w:trPr>
        <w:tc>
          <w:tcPr>
            <w:tcW w:w="67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5,748,391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5,587,141</w:t>
            </w:r>
          </w:p>
        </w:tc>
        <w:tc>
          <w:tcPr>
            <w:tcW w:w="100" w:type="dxa"/>
            <w:vAlign w:val="bottom"/>
          </w:tcPr>
          <w:p>
            <w:pPr>
              <w:spacing w:after="0"/>
              <w:rPr>
                <w:sz w:val="20"/>
                <w:szCs w:val="20"/>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to non-guarantors</w:t>
            </w: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926,531</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942,731</w:t>
            </w:r>
          </w:p>
        </w:tc>
        <w:tc>
          <w:tcPr>
            <w:tcW w:w="100" w:type="dxa"/>
            <w:vAlign w:val="bottom"/>
            <w:shd w:val="clear" w:color="auto" w:fill="CFF0FC"/>
          </w:tcPr>
          <w:p>
            <w:pPr>
              <w:spacing w:after="0"/>
              <w:rPr>
                <w:sz w:val="21"/>
                <w:szCs w:val="21"/>
                <w:color w:val="auto"/>
              </w:rPr>
            </w:pPr>
          </w:p>
        </w:tc>
      </w:tr>
    </w:tbl>
    <w:p>
      <w:pPr>
        <w:ind w:left="20"/>
        <w:spacing w:after="0"/>
        <w:rPr>
          <w:sz w:val="20"/>
          <w:szCs w:val="20"/>
          <w:color w:val="auto"/>
        </w:rPr>
      </w:pPr>
      <w:r>
        <w:rPr>
          <w:rFonts w:ascii="Arial" w:cs="Arial" w:eastAsia="Arial" w:hAnsi="Arial"/>
          <w:sz w:val="18"/>
          <w:szCs w:val="18"/>
          <w:color w:val="auto"/>
        </w:rPr>
        <w:t>(1) Includes goodwill of $3,267 million and $3,273 million as of September 30, 2023 and December 31, 2022, respectively.</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summarized results of operations information for the consolidated obligor group of debt issued by Universal Health Services, Inc. is presented in the table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6"/>
                <w:szCs w:val="16"/>
                <w:color w:val="auto"/>
              </w:rPr>
            </w:pPr>
          </w:p>
        </w:tc>
        <w:tc>
          <w:tcPr>
            <w:tcW w:w="1800" w:type="dxa"/>
            <w:vAlign w:val="bottom"/>
          </w:tcPr>
          <w:p>
            <w:pPr>
              <w:jc w:val="right"/>
              <w:ind w:right="335"/>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w w:val="97"/>
              </w:rPr>
              <w:t>Twelve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September 30, 2023</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8,514,492</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10,853,259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Arial" w:cs="Arial" w:eastAsia="Arial" w:hAnsi="Arial"/>
                <w:sz w:val="18"/>
                <w:szCs w:val="18"/>
                <w:color w:val="auto"/>
              </w:rPr>
              <w:t>Operating charges</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7,728,923</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9,947,778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157,272</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29,429</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428,003</w:t>
            </w:r>
          </w:p>
        </w:tc>
        <w:tc>
          <w:tcPr>
            <w:tcW w:w="4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532,047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Affiliates Whose Securities Collateralize the Senior Secured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80"/>
        <w:spacing w:after="0" w:line="259" w:lineRule="auto"/>
        <w:rPr>
          <w:sz w:val="20"/>
          <w:szCs w:val="20"/>
          <w:color w:val="auto"/>
        </w:rPr>
      </w:pPr>
      <w:r>
        <w:rPr>
          <w:rFonts w:ascii="Arial" w:cs="Arial" w:eastAsia="Arial" w:hAnsi="Arial"/>
          <w:sz w:val="18"/>
          <w:szCs w:val="18"/>
          <w:color w:val="auto"/>
        </w:rPr>
        <w:t>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The Notes, see Exhibit 22.1 to this Report.</w:t>
      </w:r>
    </w:p>
    <w:p>
      <w:pPr>
        <w:spacing w:after="0" w:line="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Upon the occurrence and during the continuance of an event of default under the indentures governing The Notes, subject to the terms of the Security Agreement relating to The Notes provide for (among other available remedies) the foreclosure upon and sale of the Collateral (including the pledged stock) and the distribution of the net proceeds of any such sale to the holders of The Notes, the lenders under the Credit Agreement and the holders of any other permitted first priority secured obligations on a pro rata basis, subject to any prior liens on the collateral.</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The Notes may not produce proceeds in an amount sufficient to pay any amounts due on The Notes.</w:t>
      </w:r>
    </w:p>
    <w:p>
      <w:pPr>
        <w:spacing w:after="0" w:line="7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security agreement relating to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 trading market exists for the capital stock pledged as collateral.</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September 30, 2023 there have been no material changes in the off-balance sheet arrangements consisting of standby letters of credit and surety bonds.</w:t>
      </w:r>
    </w:p>
    <w:p>
      <w:pPr>
        <w:spacing w:after="0" w:line="62"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As of September 30, 2023 we were party to certain off balance sheet arrangements consisting of standby letters of credit and surety bonds which totaled $189 million consisting of: (i) $170 million related to our self-insurance programs, and; (ii) $19 million of other debt and public utility guarantees.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There have been no material changes in the quantitative and qualitative disclosures about market risk during the three months ended September 30, 2023. Reference is made to </w:t>
      </w:r>
      <w:r>
        <w:rPr>
          <w:rFonts w:ascii="Arial" w:cs="Arial" w:eastAsia="Arial" w:hAnsi="Arial"/>
          <w:sz w:val="18"/>
          <w:szCs w:val="18"/>
          <w:i w:val="1"/>
          <w:iCs w:val="1"/>
          <w:color w:val="auto"/>
        </w:rPr>
        <w:t>Item 7A. Quantitative and Qualitative Disclosures About Market Risk</w:t>
      </w:r>
      <w:r>
        <w:rPr>
          <w:rFonts w:ascii="Arial" w:cs="Arial" w:eastAsia="Arial" w:hAnsi="Arial"/>
          <w:sz w:val="18"/>
          <w:szCs w:val="18"/>
          <w:color w:val="auto"/>
        </w:rPr>
        <w:t xml:space="preserve"> in our Annual Report on Form 10-K for the year ended December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September 30, 2023, under the supervision and with the participation of our management, including our Chief Executive Officer (“CEO”) and Chief Financial Officer (“CFO”), we performed an evaluation of the effectiveness of our disclosure controls and procedures, as defined in Rule 13a-15(e) or Rule 15d-15(e) under the Securities Exchange Act of 1934, as amended (the “1934 Act”).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or in other factors during the third quarter of 2023 that have materially affected, or are reasonably likely to materially affect, our internal control over financial reporting.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6-Commitments and Contingencies</w:t>
      </w:r>
      <w:r>
        <w:rPr>
          <w:rFonts w:ascii="Arial" w:cs="Arial" w:eastAsia="Arial" w:hAnsi="Arial"/>
          <w:sz w:val="18"/>
          <w:szCs w:val="18"/>
          <w:color w:val="auto"/>
        </w:rPr>
        <w:t xml:space="preserve"> to our condensed consolidated financial statements in Item 1 of Part I of this report for a description of our legal proceedings. Such information is hereby incorporated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Annual Report on Form 10-K for the year ended December 31, 2022 includes a listing of risk factors to be considered by investors in our securities. During the third quarter of 2023, there have been no material changes in our risk factors from those set forth in our Annual Report on Form 10-K for the year ended December 31, 2022.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2022, we had an aggregate available repurchase authorization of $947.37 million pursuant to our stock repurchase program. Pursuant to this program, shares of our Class B Common Stock may be repurchased, from time to time as conditions allow, on the open market or in negotiated private transactions. There is no expiration date for our stock repurchase program.</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reflected below, during the three-month period ended September 30, 2023, we have repurchased 1,316,973 shares at an aggregate cost of approximately $175.08 million (approximately $132.94 per share) pursuant to the terms of our stock repurchase program. In addition, during the three-month period ended September 30, 2023, 3,627 shares were repurchased in connection with income tax withholding obligations resulting from stock-based compensation programs.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of July 1, 2023 through September 30, 2023, we repurchased the following shares: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Arial" w:cs="Arial" w:eastAsia="Arial" w:hAnsi="Arial"/>
                <w:sz w:val="13"/>
                <w:szCs w:val="13"/>
                <w:b w:val="1"/>
                <w:bCs w:val="1"/>
                <w:color w:val="auto"/>
                <w:w w:val="87"/>
              </w:rPr>
              <w:t>Aggregate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82"/>
              </w:rPr>
              <w:t>purchase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7"/>
              </w:rPr>
              <w:t>price paid</w:t>
            </w:r>
          </w:p>
        </w:tc>
        <w:tc>
          <w:tcPr>
            <w:tcW w:w="2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2"/>
              </w:rPr>
              <w:t>price paid for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8"/>
              </w:rPr>
              <w:t>Additional</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5"/>
              </w:rPr>
              <w:t>per share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1"/>
              </w:rPr>
              <w:t>shares</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3"/>
              <w:spacing w:after="0" w:line="126" w:lineRule="exact"/>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2"/>
              </w:rPr>
              <w:t>of shares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85"/>
              </w:rPr>
              <w:t>for shares</w:t>
            </w:r>
          </w:p>
        </w:tc>
        <w:tc>
          <w:tcPr>
            <w:tcW w:w="200" w:type="dxa"/>
            <w:vAlign w:val="bottom"/>
          </w:tcPr>
          <w:p>
            <w:pPr>
              <w:spacing w:after="0"/>
              <w:rPr>
                <w:sz w:val="10"/>
                <w:szCs w:val="10"/>
                <w:color w:val="auto"/>
              </w:rPr>
            </w:pPr>
          </w:p>
        </w:tc>
        <w:tc>
          <w:tcPr>
            <w:tcW w:w="8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3"/>
              </w:rPr>
              <w:t>purchased as</w:t>
            </w:r>
          </w:p>
        </w:tc>
        <w:tc>
          <w:tcPr>
            <w:tcW w:w="22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8"/>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4"/>
              <w:spacing w:after="0" w:line="126" w:lineRule="exact"/>
              <w:rPr>
                <w:sz w:val="20"/>
                <w:szCs w:val="20"/>
                <w:color w:val="auto"/>
              </w:rPr>
            </w:pPr>
            <w:r>
              <w:rPr>
                <w:rFonts w:ascii="Arial" w:cs="Arial" w:eastAsia="Arial" w:hAnsi="Arial"/>
                <w:sz w:val="13"/>
                <w:szCs w:val="13"/>
                <w:b w:val="1"/>
                <w:bCs w:val="1"/>
                <w:color w:val="auto"/>
                <w:w w:val="88"/>
              </w:rPr>
              <w:t>dollars that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0"/>
              </w:rPr>
              <w:t>Dollars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 paid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purchased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85"/>
              </w:rPr>
              <w:t>purchased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8"/>
              </w:rPr>
              <w:t>part of</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that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86"/>
              </w:rPr>
              <w:t>may yet be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8"/>
              </w:rPr>
              <w:t>Authorized</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per share</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as part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5"/>
              </w:rPr>
              <w:t>as part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9"/>
              </w:rPr>
              <w:t>publicly</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may yet be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5"/>
              </w:rPr>
              <w:t>purchased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5"/>
              </w:rPr>
              <w:t>For</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number of</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number of</w:t>
            </w:r>
          </w:p>
        </w:tc>
        <w:tc>
          <w:tcPr>
            <w:tcW w:w="2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for forfeited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publicly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5"/>
              </w:rPr>
              <w:t>publicly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6"/>
              </w:rPr>
              <w:t>announced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purchased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7"/>
              </w:rPr>
              <w:t>under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5"/>
              </w:rPr>
              <w:t>Repurchase</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shares</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restricted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announced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3"/>
              </w:rPr>
              <w:t>announced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0"/>
              </w:rPr>
              <w:t>program</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under the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0"/>
              </w:rPr>
              <w:t>program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purchased</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cancelled</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shares</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programs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7"/>
              </w:rPr>
              <w:t>program</w:t>
            </w:r>
          </w:p>
        </w:tc>
        <w:tc>
          <w:tcPr>
            <w:tcW w:w="20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program</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2023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150,993</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138.50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20,775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734,508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4"/>
                <w:szCs w:val="14"/>
                <w:color w:val="auto"/>
              </w:rPr>
              <w:t>August, 2023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897,087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896,973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133.45</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119,698</w:t>
            </w:r>
          </w:p>
        </w:tc>
        <w:tc>
          <w:tcPr>
            <w:tcW w:w="22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614,810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September,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272,520</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270,000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128.17</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34,606</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580,204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20"/>
              <w:spacing w:after="0" w:line="137" w:lineRule="exact"/>
              <w:rPr>
                <w:sz w:val="20"/>
                <w:szCs w:val="20"/>
                <w:color w:val="auto"/>
              </w:rPr>
            </w:pPr>
            <w:r>
              <w:rPr>
                <w:rFonts w:ascii="Arial" w:cs="Arial" w:eastAsia="Arial" w:hAnsi="Arial"/>
                <w:sz w:val="14"/>
                <w:szCs w:val="14"/>
                <w:color w:val="auto"/>
              </w:rPr>
              <w:t>Total July through September,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1,320,600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616</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1,316,973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132.94</w:t>
            </w:r>
          </w:p>
        </w:tc>
        <w:tc>
          <w:tcPr>
            <w:tcW w:w="300" w:type="dxa"/>
            <w:vAlign w:val="bottom"/>
            <w:gridSpan w:val="2"/>
            <w:vMerge w:val="restart"/>
          </w:tcPr>
          <w:p>
            <w:pPr>
              <w:ind w:left="2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175,079</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0"/>
              <w:spacing w:after="0" w:line="120" w:lineRule="exact"/>
              <w:rPr>
                <w:sz w:val="20"/>
                <w:szCs w:val="20"/>
                <w:color w:val="auto"/>
              </w:rPr>
            </w:pPr>
            <w:r>
              <w:rPr>
                <w:rFonts w:ascii="Arial" w:cs="Arial" w:eastAsia="Arial" w:hAnsi="Arial"/>
                <w:sz w:val="13"/>
                <w:szCs w:val="13"/>
                <w:color w:val="auto"/>
              </w:rPr>
              <w:t>2023</w:t>
            </w:r>
          </w:p>
        </w:tc>
        <w:tc>
          <w:tcPr>
            <w:tcW w:w="1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-213360</wp:posOffset>
            </wp:positionV>
            <wp:extent cx="76835" cy="2139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-213360</wp:posOffset>
            </wp:positionV>
            <wp:extent cx="76835" cy="2139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-213360</wp:posOffset>
            </wp:positionV>
            <wp:extent cx="76835" cy="2139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-213360</wp:posOffset>
            </wp:positionV>
            <wp:extent cx="68580" cy="2139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-213360</wp:posOffset>
            </wp:positionV>
            <wp:extent cx="68580" cy="2139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-213360</wp:posOffset>
            </wp:positionV>
            <wp:extent cx="68580" cy="2139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2139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quarter ended September 30, 2023, we declared and paid dividends of $.20 per share. Dividend equivalents are accrued on unvested restricted stock units and will be paid upon vesting of the restricted stock unit.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None of the Company’s directors or officers adopted, modified or terminated a Rule 10b5-1 trading arrangement or a non-Rule 10b5-1 trading arrangement during the Company’s quarter ended September 30, 2023,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80" w:type="dxa"/>
            <w:vAlign w:val="bottom"/>
          </w:tcPr>
          <w:p>
            <w:pPr>
              <w:ind w:left="100"/>
              <w:spacing w:after="0"/>
              <w:rPr>
                <w:sz w:val="20"/>
                <w:szCs w:val="20"/>
                <w:color w:val="auto"/>
              </w:rPr>
            </w:pPr>
            <w:r>
              <w:rPr>
                <w:rFonts w:ascii="Arial" w:cs="Arial" w:eastAsia="Arial" w:hAnsi="Arial"/>
                <w:sz w:val="18"/>
                <w:szCs w:val="18"/>
                <w:color w:val="auto"/>
              </w:rPr>
              <w:t>22.1</w:t>
            </w:r>
          </w:p>
        </w:tc>
        <w:tc>
          <w:tcPr>
            <w:tcW w:w="9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List of Guarantor Subsidiaries and Issuers of Guaranteed Securities and Affiliates Whose Securities Collateralize Securities of the</w:t>
            </w:r>
          </w:p>
        </w:tc>
        <w:tc>
          <w:tcPr>
            <w:tcW w:w="52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7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87"/>
              </w:rPr>
              <w:t>Registrant.</w:t>
            </w:r>
          </w:p>
        </w:tc>
        <w:tc>
          <w:tcPr>
            <w:tcW w:w="20" w:type="dxa"/>
            <w:vAlign w:val="bottom"/>
            <w:tcBorders>
              <w:bottom w:val="single" w:sz="8" w:color="0000EE"/>
            </w:tcBorders>
          </w:tcPr>
          <w:p>
            <w:pPr>
              <w:spacing w:after="0"/>
              <w:rPr>
                <w:sz w:val="17"/>
                <w:szCs w:val="17"/>
                <w:color w:val="auto"/>
              </w:rPr>
            </w:pPr>
          </w:p>
        </w:tc>
        <w:tc>
          <w:tcPr>
            <w:tcW w:w="9100" w:type="dxa"/>
            <w:vAlign w:val="bottom"/>
            <w:gridSpan w:val="7"/>
          </w:tcPr>
          <w:p>
            <w:pPr>
              <w:spacing w:after="0"/>
              <w:rPr>
                <w:sz w:val="17"/>
                <w:szCs w:val="17"/>
                <w:color w:val="auto"/>
              </w:rPr>
            </w:pPr>
          </w:p>
        </w:tc>
      </w:tr>
      <w:tr>
        <w:trPr>
          <w:trHeight w:val="331"/>
        </w:trPr>
        <w:tc>
          <w:tcPr>
            <w:tcW w:w="1180" w:type="dxa"/>
            <w:vAlign w:val="bottom"/>
          </w:tcPr>
          <w:p>
            <w:pPr>
              <w:ind w:left="100"/>
              <w:spacing w:after="0"/>
              <w:rPr>
                <w:sz w:val="20"/>
                <w:szCs w:val="20"/>
                <w:color w:val="auto"/>
              </w:rPr>
            </w:pPr>
            <w:r>
              <w:rPr>
                <w:rFonts w:ascii="Arial" w:cs="Arial" w:eastAsia="Arial" w:hAnsi="Arial"/>
                <w:sz w:val="18"/>
                <w:szCs w:val="18"/>
                <w:color w:val="auto"/>
              </w:rPr>
              <w:t>31.1</w:t>
            </w:r>
          </w:p>
        </w:tc>
        <w:tc>
          <w:tcPr>
            <w:tcW w:w="99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the Company’s Chief Executive Officer pursuant to Rule 13a-14(a)/15d-14(a) under the Securities Exchange Act of 1934.</w:t>
            </w:r>
          </w:p>
        </w:tc>
      </w:tr>
      <w:tr>
        <w:trPr>
          <w:trHeight w:val="331"/>
        </w:trPr>
        <w:tc>
          <w:tcPr>
            <w:tcW w:w="1180" w:type="dxa"/>
            <w:vAlign w:val="bottom"/>
          </w:tcPr>
          <w:p>
            <w:pPr>
              <w:ind w:left="100"/>
              <w:spacing w:after="0"/>
              <w:rPr>
                <w:sz w:val="20"/>
                <w:szCs w:val="20"/>
                <w:color w:val="auto"/>
              </w:rPr>
            </w:pPr>
            <w:r>
              <w:rPr>
                <w:rFonts w:ascii="Arial" w:cs="Arial" w:eastAsia="Arial" w:hAnsi="Arial"/>
                <w:sz w:val="18"/>
                <w:szCs w:val="18"/>
                <w:color w:val="auto"/>
              </w:rPr>
              <w:t>31.2</w:t>
            </w:r>
          </w:p>
        </w:tc>
        <w:tc>
          <w:tcPr>
            <w:tcW w:w="98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the Company’s Chief Financial Officer pursuant to Rule 13a-14(a)/15d-14(a) under the Securities Exchange Act of 1934.</w:t>
            </w:r>
          </w:p>
        </w:tc>
        <w:tc>
          <w:tcPr>
            <w:tcW w:w="40" w:type="dxa"/>
            <w:vAlign w:val="bottom"/>
          </w:tcPr>
          <w:p>
            <w:pPr>
              <w:spacing w:after="0"/>
              <w:rPr>
                <w:sz w:val="24"/>
                <w:szCs w:val="24"/>
                <w:color w:val="auto"/>
              </w:rPr>
            </w:pPr>
          </w:p>
        </w:tc>
      </w:tr>
      <w:tr>
        <w:trPr>
          <w:trHeight w:val="331"/>
        </w:trPr>
        <w:tc>
          <w:tcPr>
            <w:tcW w:w="1180" w:type="dxa"/>
            <w:vAlign w:val="bottom"/>
          </w:tcPr>
          <w:p>
            <w:pPr>
              <w:ind w:left="100"/>
              <w:spacing w:after="0"/>
              <w:rPr>
                <w:sz w:val="20"/>
                <w:szCs w:val="20"/>
                <w:color w:val="auto"/>
              </w:rPr>
            </w:pPr>
            <w:r>
              <w:rPr>
                <w:rFonts w:ascii="Arial" w:cs="Arial" w:eastAsia="Arial" w:hAnsi="Arial"/>
                <w:sz w:val="18"/>
                <w:szCs w:val="18"/>
                <w:color w:val="auto"/>
              </w:rPr>
              <w:t>32.1</w:t>
            </w:r>
          </w:p>
        </w:tc>
        <w:tc>
          <w:tcPr>
            <w:tcW w:w="9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the Company’s Chief Executive Officer pursuant to 18 U.S.C. Section 1350, as adopted pursuant to Section 906 of the</w:t>
            </w:r>
          </w:p>
        </w:tc>
        <w:tc>
          <w:tcPr>
            <w:tcW w:w="22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0"/>
              </w:rPr>
              <w:t>Sarbanes-Oxley Act of 2002.</w:t>
            </w:r>
          </w:p>
        </w:tc>
        <w:tc>
          <w:tcPr>
            <w:tcW w:w="20" w:type="dxa"/>
            <w:vAlign w:val="bottom"/>
            <w:tcBorders>
              <w:bottom w:val="single" w:sz="8" w:color="0000EE"/>
            </w:tcBorders>
          </w:tcPr>
          <w:p>
            <w:pPr>
              <w:spacing w:after="0"/>
              <w:rPr>
                <w:sz w:val="17"/>
                <w:szCs w:val="17"/>
                <w:color w:val="auto"/>
              </w:rPr>
            </w:pPr>
          </w:p>
        </w:tc>
        <w:tc>
          <w:tcPr>
            <w:tcW w:w="7780" w:type="dxa"/>
            <w:vAlign w:val="bottom"/>
            <w:gridSpan w:val="5"/>
          </w:tcPr>
          <w:p>
            <w:pPr>
              <w:spacing w:after="0"/>
              <w:rPr>
                <w:sz w:val="17"/>
                <w:szCs w:val="17"/>
                <w:color w:val="auto"/>
              </w:rPr>
            </w:pPr>
          </w:p>
        </w:tc>
      </w:tr>
      <w:tr>
        <w:trPr>
          <w:trHeight w:val="331"/>
        </w:trPr>
        <w:tc>
          <w:tcPr>
            <w:tcW w:w="1180" w:type="dxa"/>
            <w:vAlign w:val="bottom"/>
          </w:tcPr>
          <w:p>
            <w:pPr>
              <w:ind w:left="100"/>
              <w:spacing w:after="0"/>
              <w:rPr>
                <w:sz w:val="20"/>
                <w:szCs w:val="20"/>
                <w:color w:val="auto"/>
              </w:rPr>
            </w:pPr>
            <w:r>
              <w:rPr>
                <w:rFonts w:ascii="Arial" w:cs="Arial" w:eastAsia="Arial" w:hAnsi="Arial"/>
                <w:sz w:val="18"/>
                <w:szCs w:val="18"/>
                <w:color w:val="auto"/>
              </w:rPr>
              <w:t>32.2</w:t>
            </w:r>
          </w:p>
        </w:tc>
        <w:tc>
          <w:tcPr>
            <w:tcW w:w="96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the Company’s Chief Financial Officer pursuant to 18 U.S.C. Section 1350, as adopted pursuant to Section 906 of the</w:t>
            </w:r>
          </w:p>
        </w:tc>
        <w:tc>
          <w:tcPr>
            <w:tcW w:w="2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0"/>
              </w:rPr>
              <w:t>Sarbanes-Oxley Act of 2002.</w:t>
            </w:r>
          </w:p>
        </w:tc>
        <w:tc>
          <w:tcPr>
            <w:tcW w:w="20" w:type="dxa"/>
            <w:vAlign w:val="bottom"/>
            <w:tcBorders>
              <w:bottom w:val="single" w:sz="8" w:color="0000EE"/>
            </w:tcBorders>
          </w:tcPr>
          <w:p>
            <w:pPr>
              <w:spacing w:after="0"/>
              <w:rPr>
                <w:sz w:val="17"/>
                <w:szCs w:val="17"/>
                <w:color w:val="auto"/>
              </w:rPr>
            </w:pPr>
          </w:p>
        </w:tc>
        <w:tc>
          <w:tcPr>
            <w:tcW w:w="7780" w:type="dxa"/>
            <w:vAlign w:val="bottom"/>
            <w:gridSpan w:val="5"/>
          </w:tcPr>
          <w:p>
            <w:pPr>
              <w:spacing w:after="0"/>
              <w:rPr>
                <w:sz w:val="17"/>
                <w:szCs w:val="17"/>
                <w:color w:val="auto"/>
              </w:rPr>
            </w:pPr>
          </w:p>
        </w:tc>
      </w:tr>
      <w:tr>
        <w:trPr>
          <w:trHeight w:val="357"/>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9"/>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260" w:right="260" w:hanging="1178"/>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2023,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6" w:right="41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u w:val="single" w:color="auto"/>
          <w:color w:val="auto"/>
        </w:rPr>
        <w:t>UNIVERSAL HEALTH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Universal Health Services, Inc.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20"/>
        <w:spacing w:after="0"/>
        <w:tabs>
          <w:tab w:leader="none" w:pos="8220" w:val="left"/>
          <w:tab w:leader="none" w:pos="85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/s/</w:t>
        <w:tab/>
        <w:t>M</w:t>
      </w:r>
      <w:r>
        <w:rPr>
          <w:rFonts w:ascii="Arial" w:cs="Arial" w:eastAsia="Arial" w:hAnsi="Arial"/>
          <w:sz w:val="12"/>
          <w:szCs w:val="12"/>
          <w:color w:val="auto"/>
        </w:rPr>
        <w:t>arc</w:t>
      </w:r>
      <w:r>
        <w:rPr>
          <w:rFonts w:ascii="Arial" w:cs="Arial" w:eastAsia="Arial" w:hAnsi="Arial"/>
          <w:sz w:val="18"/>
          <w:szCs w:val="18"/>
          <w:color w:val="auto"/>
        </w:rPr>
        <w:t xml:space="preserve"> D. M</w:t>
      </w:r>
      <w:r>
        <w:rPr>
          <w:rFonts w:ascii="Arial" w:cs="Arial" w:eastAsia="Arial" w:hAnsi="Arial"/>
          <w:sz w:val="12"/>
          <w:szCs w:val="12"/>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7"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Marc D. Miller,</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pacing w:after="0" w:line="251" w:lineRule="exact"/>
        <w:rPr>
          <w:sz w:val="20"/>
          <w:szCs w:val="20"/>
          <w:color w:val="auto"/>
        </w:rPr>
      </w:pPr>
    </w:p>
    <w:p>
      <w:pPr>
        <w:ind w:left="8360"/>
        <w:spacing w:after="0"/>
        <w:tabs>
          <w:tab w:leader="none" w:pos="8700" w:val="left"/>
        </w:tabs>
        <w:rPr>
          <w:sz w:val="20"/>
          <w:szCs w:val="20"/>
          <w:color w:val="auto"/>
        </w:rPr>
      </w:pPr>
      <w:r>
        <w:rPr>
          <w:rFonts w:ascii="Arial" w:cs="Arial" w:eastAsia="Arial" w:hAnsi="Arial"/>
          <w:sz w:val="18"/>
          <w:szCs w:val="18"/>
          <w:color w:val="auto"/>
        </w:rPr>
        <w:t>/s/</w:t>
        <w:tab/>
        <w:t>S</w:t>
      </w:r>
      <w:r>
        <w:rPr>
          <w:rFonts w:ascii="Arial" w:cs="Arial" w:eastAsia="Arial" w:hAnsi="Arial"/>
          <w:sz w:val="12"/>
          <w:szCs w:val="12"/>
          <w:color w:val="auto"/>
        </w:rPr>
        <w:t>teve</w:t>
      </w:r>
      <w:r>
        <w:rPr>
          <w:rFonts w:ascii="Arial" w:cs="Arial" w:eastAsia="Arial" w:hAnsi="Arial"/>
          <w:sz w:val="18"/>
          <w:szCs w:val="18"/>
          <w:color w:val="auto"/>
        </w:rPr>
        <w:t xml:space="preserve"> F</w:t>
      </w:r>
      <w:r>
        <w:rPr>
          <w:rFonts w:ascii="Arial" w:cs="Arial" w:eastAsia="Arial" w:hAnsi="Arial"/>
          <w:sz w:val="12"/>
          <w:szCs w:val="12"/>
          <w:color w:val="auto"/>
        </w:rPr>
        <w:t>ilton</w:t>
      </w:r>
    </w:p>
    <w:p>
      <w:pPr>
        <w:spacing w:after="0" w:line="32"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-127635</wp:posOffset>
            </wp:positionV>
            <wp:extent cx="28511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Executive Vice President and</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line="274"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September 30, 2023.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5" w:lineRule="auto"/>
        <w:rPr>
          <w:sz w:val="20"/>
          <w:szCs w:val="20"/>
          <w:color w:val="auto"/>
        </w:rPr>
      </w:pPr>
      <w:r>
        <w:rPr>
          <w:rFonts w:ascii="Arial" w:cs="Arial" w:eastAsia="Arial" w:hAnsi="Arial"/>
          <w:sz w:val="20"/>
          <w:szCs w:val="20"/>
          <w:color w:val="auto"/>
        </w:rPr>
        <w:t>2.650% Senior Secured Notes due 2030</w:t>
      </w:r>
    </w:p>
    <w:p>
      <w:pPr>
        <w:spacing w:after="0"/>
        <w:rPr>
          <w:sz w:val="20"/>
          <w:szCs w:val="20"/>
          <w:color w:val="auto"/>
        </w:rPr>
      </w:pPr>
      <w:r>
        <w:rPr>
          <w:rFonts w:ascii="Arial" w:cs="Arial" w:eastAsia="Arial" w:hAnsi="Arial"/>
          <w:sz w:val="20"/>
          <w:szCs w:val="20"/>
          <w:color w:val="auto"/>
        </w:rPr>
        <w:t>2.650% Senior Secured Notes due 2032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70" w:lineRule="exact"/>
        <w:rPr>
          <w:sz w:val="20"/>
          <w:szCs w:val="20"/>
          <w:color w:val="auto"/>
        </w:rPr>
      </w:pPr>
    </w:p>
    <w:tbl>
      <w:tblPr>
        <w:tblLayout w:type="fixed"/>
        <w:tblInd w:w="85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ABS LINCS KY,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ABS LINCS SC,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ABS LINCS VA,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Aiken Regional Medical Centers,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Alliance Health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Mississippi</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Alternative Behavioral Services,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Ascend Health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Atlantic Shores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AZ Holding 4, LLC</w:t>
            </w:r>
          </w:p>
        </w:tc>
        <w:tc>
          <w:tcPr>
            <w:tcW w:w="2500" w:type="dxa"/>
            <w:vAlign w:val="bottom"/>
          </w:tcPr>
          <w:p>
            <w:pPr>
              <w:jc w:val="center"/>
              <w:spacing w:after="0"/>
              <w:rPr>
                <w:sz w:val="20"/>
                <w:szCs w:val="20"/>
                <w:color w:val="auto"/>
              </w:rPr>
            </w:pPr>
            <w:r>
              <w:rPr>
                <w:rFonts w:ascii="Arial" w:cs="Arial" w:eastAsia="Arial" w:hAnsi="Arial"/>
                <w:sz w:val="18"/>
                <w:szCs w:val="18"/>
                <w:color w:val="auto"/>
              </w:rPr>
              <w:t>Arizona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Beach 77,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 Management,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 Realty,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Healthcare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Utah</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Alhambra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Belmont Pines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-3877945</wp:posOffset>
            </wp:positionV>
            <wp:extent cx="6276340" cy="39217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76340" cy="392176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4" w:name="page65"/>
    <w:bookmarkEnd w:id="64"/>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Jurisdiction of</w:t>
            </w:r>
          </w:p>
        </w:tc>
        <w:tc>
          <w:tcPr>
            <w:tcW w:w="230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Organization</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BHC Fairfax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Fox Run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Fremont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Health Services of Nevada,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Heritage Oaks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Holdings,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Intermountain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Mesilla Valley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Montevista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Of Indiana, General Partnership</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Pinnacle Pointe Hospital, LLC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Properties, LLC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Sierra Vista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BHC Streamwood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Brentwood Acquisition - Shreveport,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Brentwood Acquisition,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Brynn Marr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North Carolina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Calvary Center,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Canyon Ridge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California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CAT Realty,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CAT Seattle,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CCS/Lansing,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Michigan</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Cedar Springs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Columbus Hospital Partners, LLC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Coral Shores Behavioral Health,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Cumberland Hospital Partners,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Cumberland Hospital, LLC</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Del Amo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California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DHP 2131 K St,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Diamond Grove Center,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District Hospital Partners, L.P.</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District of Columbia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-7885430</wp:posOffset>
            </wp:positionV>
            <wp:extent cx="6276340" cy="79286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76340" cy="79286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65" w:name="page66"/>
    <w:bookmarkEnd w:id="65"/>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DVH Hospital Alliance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Fannin Management Services,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Forest View Psychiatric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Fort Duncan Medical Center,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Fort Lauderdale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FRN,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Frontline Behavioral Health,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Frontline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Garfield Park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Great Plains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Missouri</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Gulf Coast Treatment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Gulph Mills Associates,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 C.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H.C. Partnership</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Havenwyck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Augusta,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Delaware,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Indiana,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Indiana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Ohio,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Ohio</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Pennsylvania,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Poplar Springs,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River Park,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West 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South Carolina,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HHC St. Simons,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Hickory Trail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Holly Hill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Austin,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Hospital Services,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Horizon Mental Health Management,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-7885430</wp:posOffset>
            </wp:positionV>
            <wp:extent cx="6276340" cy="7928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76340" cy="79286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66" w:name="page67"/>
    <w:bookmarkEnd w:id="66"/>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HSA Hill Crest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Hughes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 Group Holdings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Continuum,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Marion,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Memphis,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Newport News,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NPS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Richland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Ohio</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 WSNC,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Keystone/CCS Partners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Kids Behavioral Health of Utah,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Utah</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Kingwood Pines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KMI Acquisition,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Lancaster Hospital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Lebanon Hospital Partners,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Manatee Memorial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Mayhill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McAllen Hospitals,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McAllen Medical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Meridell Achievement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Merion Building Management,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Michigan Psychiatric Services,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Millwood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Milwaukee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Wisconsin</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Neuro Institute of Austin,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Northern Indiana Partners,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-7662545</wp:posOffset>
            </wp:positionV>
            <wp:extent cx="6276340" cy="77063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76340" cy="77063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67" w:name="page68"/>
    <w:bookmarkEnd w:id="67"/>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Oak Plains Academy Of Tennessee,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Ocala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Palm Point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Park Healthcare 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Pasteur Healthcare Properties,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Pendleton Methodist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Pennsylvania Clinical Schools, Inc.</w:t>
            </w:r>
          </w:p>
        </w:tc>
        <w:tc>
          <w:tcPr>
            <w:tcW w:w="2500" w:type="dxa"/>
            <w:vAlign w:val="bottom"/>
          </w:tcPr>
          <w:p>
            <w:pPr>
              <w:jc w:val="center"/>
              <w:spacing w:after="0"/>
              <w:rPr>
                <w:sz w:val="20"/>
                <w:szCs w:val="20"/>
                <w:color w:val="auto"/>
              </w:rPr>
            </w:pPr>
            <w:r>
              <w:rPr>
                <w:rFonts w:ascii="Arial" w:cs="Arial" w:eastAsia="Arial" w:hAnsi="Arial"/>
                <w:sz w:val="18"/>
                <w:szCs w:val="18"/>
                <w:color w:val="auto"/>
              </w:rPr>
              <w:t>Pennsylvania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Premier Behavioral Solutions,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PSJ Acquisition,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North Dakota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Realty,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Hospitals,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Ramsay Managed Care,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Ramsay Youth Services of Georgia,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Ridge Outpatient Counseling,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Kentucky</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River Oaks, Inc.</w:t>
            </w:r>
          </w:p>
        </w:tc>
        <w:tc>
          <w:tcPr>
            <w:tcW w:w="2500" w:type="dxa"/>
            <w:vAlign w:val="bottom"/>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Riveredge Hospital Holdings,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Rolling Hills Hospital,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RR Recovery,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Salt Lake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Salt Lake Psychiatric Realty,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Samson Properties,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Schick Shadel Of Florida,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-7217410</wp:posOffset>
            </wp:positionV>
            <wp:extent cx="6276340" cy="72612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76340" cy="726122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68" w:name="page69"/>
    <w:bookmarkEnd w:id="68"/>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SHC-KPH,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Southeastern Hospital 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SP Behavioral,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Sparks Family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Springfield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Stonington Behavioral Health,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Summit Oaks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New Jersey</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Sunstone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TBD Acquisition II,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TBD Acquisition,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TBJ Behavioral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Temecula Valley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Tennessee Clinical Schools,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Cypress Creek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Hospital Holdings,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Laurel Ridge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Oaks Psychiatric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San Marcos Treatment Center,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Texas West Oaks Hospital, L.P.</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The Arbour,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The Bridgeway,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Arkansas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The National Deaf Academy,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Three Rivers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Three Rivers Healthcare Group,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Toledo Holding Co.,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Turning Point Care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Two Rivers Psychiatric Hospital,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UBH of Oregon,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UBH of Phoenix Realty,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UBH of Phoenix,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UHP,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Capitol Acquisition,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Children Services,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-7885430</wp:posOffset>
            </wp:positionV>
            <wp:extent cx="6276340" cy="79286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76340" cy="79286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69" w:name="page70"/>
    <w:bookmarkEnd w:id="69"/>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UHS Funding,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Holding Company,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Kentucky Holdings,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Midwest Behavioral Health,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Anchor,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Benton,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Bowling Green,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Centennial Peaks,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Cornerstone Holdings,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Cornerstone,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D.C.,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Delaware,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Denver,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Dover,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Doylestown,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Fairmount,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Fuller,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Georgia Holdings,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Georgia,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Greenville,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Hampton,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New Jersey</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Hartgrove,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Lakeside,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Lancaster,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Laurel Heights,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Madera,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New Orleans, LLC</w:t>
            </w:r>
          </w:p>
        </w:tc>
        <w:tc>
          <w:tcPr>
            <w:tcW w:w="2500" w:type="dxa"/>
            <w:vAlign w:val="bottom"/>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Oklahoma,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Oklahoma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Parkwood,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Peachford, L.P.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Pennsylvania,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Phoenix,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Provo Canyon,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Puerto Rico,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-7885430</wp:posOffset>
            </wp:positionV>
            <wp:extent cx="6276340" cy="79286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76340" cy="79286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70" w:name="page71"/>
    <w:bookmarkEnd w:id="70"/>
    <w:tbl>
      <w:tblPr>
        <w:tblLayout w:type="fixed"/>
        <w:tblInd w:w="41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18"/>
                <w:szCs w:val="18"/>
                <w:color w:val="auto"/>
              </w:rPr>
              <w:t>UHS of Ridge,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River Parishes, Inc.</w:t>
            </w:r>
          </w:p>
        </w:tc>
        <w:tc>
          <w:tcPr>
            <w:tcW w:w="2500" w:type="dxa"/>
            <w:vAlign w:val="bottom"/>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Rockford,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Salt Lake City,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Savannah,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Spring Mountain,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Springwoods,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Summitridge,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Texoma,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Timberlawn,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Timpanogos,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Tucson,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Westwood Pembroke,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of Wyoming,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Oklahoma City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Oklahoma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Sahara,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 Sub III,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UHS-Corona,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UHSD,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UHSL,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United Healthcare of Hardin,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University Behavioral,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Valle Vista Hospital Partners,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Valle Vista,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Valley Health System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Valley Hospital Medical Center, Inc.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Wekiva Springs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77"/>
        </w:trPr>
        <w:tc>
          <w:tcPr>
            <w:tcW w:w="5000" w:type="dxa"/>
            <w:vAlign w:val="bottom"/>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Indiana</w:t>
            </w:r>
          </w:p>
        </w:tc>
        <w:tc>
          <w:tcPr>
            <w:tcW w:w="238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-7440295</wp:posOffset>
            </wp:positionV>
            <wp:extent cx="6276340" cy="74834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76340" cy="748347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57785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71" w:name="page72"/>
    <w:bookmarkEnd w:id="71"/>
    <w:tbl>
      <w:tblPr>
        <w:tblLayout w:type="fixed"/>
        <w:tblInd w:w="850" w:type="dxa"/>
        <w:tblCellMar>
          <w:top w:w="0" w:type="dxa"/>
          <w:left w:w="0" w:type="dxa"/>
          <w:bottom w:w="0" w:type="dxa"/>
          <w:right w:w="0" w:type="dxa"/>
        </w:tblCellMar>
      </w:tblPr>
      <w:tr>
        <w:trPr>
          <w:trHeight w:val="26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5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0"/>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7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7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7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7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September 30, 2023, the obligations under the UHS Senior Secured Notes were secured by pledges of the equity of the following affiliates of the Company.</w:t>
      </w:r>
    </w:p>
    <w:p>
      <w:pPr>
        <w:spacing w:after="0" w:line="149" w:lineRule="exact"/>
        <w:rPr>
          <w:sz w:val="20"/>
          <w:szCs w:val="20"/>
          <w:color w:val="auto"/>
        </w:rPr>
      </w:pPr>
    </w:p>
    <w:tbl>
      <w:tblPr>
        <w:tblLayout w:type="fixed"/>
        <w:tblInd w:w="19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2012 W. University Properties,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2026 W. University Properties,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TN,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Alabama Clinical Schools,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Mississippi</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Ambulatory Surgery Center of Temecula Valley,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Aiken,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East New Orleans,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Las Vegas,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Midwest City,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Puerto Rico,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Wellington,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Auburn Regional Medical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Educational Services,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Connections,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 AZ Master,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51</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51</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BHC Fox Run Hospital, Inc.</w:t>
            </w:r>
          </w:p>
        </w:tc>
        <w:tc>
          <w:tcPr>
            <w:tcW w:w="2100" w:type="dxa"/>
            <w:vAlign w:val="bottom"/>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-5487670</wp:posOffset>
            </wp:positionV>
            <wp:extent cx="6704330" cy="5497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04330" cy="549719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32" w:right="8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BHC Fremont Hospital, Inc.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Management Services of Streamwood,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Canyon Ridge Real Estate,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Cape Girardeau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75</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75</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Central Montgomery Medical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Chalmette Medical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Clive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52</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52</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Columbus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Cornerstone Hospital Management,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58.3</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58.3</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Cornerstone Regional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50.2</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50.2</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Crossings Healthcare Solutions, Inc.</w:t>
            </w: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Cypress Creek Real Estate,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District of Columbia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Doctors’ Hospital of Shreveport,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Edinburg Ambulatory Surgical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Edinburg Holdings, Inc.</w:t>
            </w:r>
          </w:p>
        </w:tc>
        <w:tc>
          <w:tcPr>
            <w:tcW w:w="210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-7799705</wp:posOffset>
            </wp:positionV>
            <wp:extent cx="6704330" cy="780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04330" cy="78085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Edinburg MOB Properties,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Everglades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Duncan Medical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Foundations Recovery Network,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Friends Behavioral Health System,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79.92</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79.92</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Friends GP,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Children’s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Glen Oaks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 C. Partnership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Berkeley,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Kingwood Investment,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Oconee,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High Plains Behavioral Health,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Holly Hill Real Estate,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Physical Rehabilitation Services,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HRI Clinics, Inc.</w:t>
            </w:r>
          </w:p>
        </w:tc>
        <w:tc>
          <w:tcPr>
            <w:tcW w:w="2100" w:type="dxa"/>
            <w:vAlign w:val="bottom"/>
          </w:tcPr>
          <w:p>
            <w:pPr>
              <w:ind w:left="100"/>
              <w:spacing w:after="0"/>
              <w:rPr>
                <w:sz w:val="20"/>
                <w:szCs w:val="20"/>
                <w:color w:val="auto"/>
              </w:rPr>
            </w:pPr>
            <w:r>
              <w:rPr>
                <w:rFonts w:ascii="Arial" w:cs="Arial" w:eastAsia="Arial" w:hAnsi="Arial"/>
                <w:sz w:val="18"/>
                <w:szCs w:val="18"/>
                <w:color w:val="auto"/>
              </w:rPr>
              <w:t>Massachusetts</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-7954010</wp:posOffset>
            </wp:positionV>
            <wp:extent cx="6704330" cy="79629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04330" cy="796290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HRI Hospital, Inc.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Massachusetts</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Amarillo,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Denison,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Laredo,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McAllen,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Wellington,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Indiana Psychiatric Institutes,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InfoScriber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Island 77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Charlotte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KOP Limited</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Lancaster Behavioral Health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ASC,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Regional,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Regional Medical Center,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80.14</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80.14</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Mayhill Behavioral Properties,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Mental Health Outcomes,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Mesilla Valley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Mexico</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Michigan BH JV, LLC</w:t>
            </w:r>
          </w:p>
        </w:tc>
        <w:tc>
          <w:tcPr>
            <w:tcW w:w="2100" w:type="dxa"/>
            <w:vAlign w:val="bottom"/>
          </w:tcPr>
          <w:p>
            <w:pPr>
              <w:ind w:left="100"/>
              <w:spacing w:after="0"/>
              <w:rPr>
                <w:sz w:val="20"/>
                <w:szCs w:val="20"/>
                <w:color w:val="auto"/>
              </w:rPr>
            </w:pPr>
            <w:r>
              <w:rPr>
                <w:rFonts w:ascii="Arial" w:cs="Arial" w:eastAsia="Arial" w:hAnsi="Arial"/>
                <w:sz w:val="18"/>
                <w:szCs w:val="18"/>
                <w:color w:val="auto"/>
              </w:rPr>
              <w:t>Michigan</w:t>
            </w:r>
          </w:p>
        </w:tc>
        <w:tc>
          <w:tcPr>
            <w:tcW w:w="1560" w:type="dxa"/>
            <w:vAlign w:val="bottom"/>
          </w:tcPr>
          <w:p>
            <w:pPr>
              <w:ind w:left="160"/>
              <w:spacing w:after="0"/>
              <w:rPr>
                <w:sz w:val="20"/>
                <w:szCs w:val="20"/>
                <w:color w:val="auto"/>
              </w:rPr>
            </w:pPr>
            <w:r>
              <w:rPr>
                <w:rFonts w:ascii="Arial" w:cs="Arial" w:eastAsia="Arial" w:hAnsi="Arial"/>
                <w:sz w:val="18"/>
                <w:szCs w:val="18"/>
                <w:color w:val="auto"/>
              </w:rPr>
              <w:t>74</w:t>
            </w:r>
          </w:p>
        </w:tc>
        <w:tc>
          <w:tcPr>
            <w:tcW w:w="1720" w:type="dxa"/>
            <w:vAlign w:val="bottom"/>
          </w:tcPr>
          <w:p>
            <w:pPr>
              <w:ind w:left="12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-7954010</wp:posOffset>
            </wp:positionV>
            <wp:extent cx="6704330" cy="79629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04330" cy="796290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Michigan Healthcare Staffing,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Michigan</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Wisconsin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Nashville Rehab,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NEWCO Oregon,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Northern Nevada Diagnostic Imaging-Spanish Springs,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NWTHS Management,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Oregon Psychiatric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Solutions,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Pee Dee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Peak Behavioral Health Services,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 Holding II,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Puerto Rico</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Pride Institute,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Minnesota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Dakota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PsychManagement Group,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Radiation Oncology Center of Aiken,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95</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95</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Red Rock Solutions,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Relational Therapy Clinic,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Kentucky</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 Crest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Riveredge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Riveredge Real Estate, Inc.</w:t>
            </w:r>
          </w:p>
        </w:tc>
        <w:tc>
          <w:tcPr>
            <w:tcW w:w="2100" w:type="dxa"/>
            <w:vAlign w:val="bottom"/>
          </w:tcPr>
          <w:p>
            <w:pPr>
              <w:ind w:left="100"/>
              <w:spacing w:after="0"/>
              <w:rPr>
                <w:sz w:val="20"/>
                <w:szCs w:val="20"/>
                <w:color w:val="auto"/>
              </w:rPr>
            </w:pPr>
            <w:r>
              <w:rPr>
                <w:rFonts w:ascii="Arial" w:cs="Arial" w:eastAsia="Arial" w:hAnsi="Arial"/>
                <w:sz w:val="18"/>
                <w:szCs w:val="18"/>
                <w:color w:val="auto"/>
              </w:rPr>
              <w:t>Illinois</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-7799705</wp:posOffset>
            </wp:positionV>
            <wp:extent cx="6704330" cy="780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04330" cy="78085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Riverside Medical Clinic Patient Services,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RR Behavioral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99.1</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99.1</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Somerset, Incorporated</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Southside Imaging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Spokane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Spokane Valley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St. Louis Behavioral Medicine Institute,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Summerlin Hospital Medical Center,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93.2</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93.2</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Hospital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Arkansas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Residential Treatment/Midlands Campus,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SPE Holding,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Two Rivers Psychiatric Hospital, Inc.</w:t>
            </w:r>
          </w:p>
        </w:tc>
        <w:tc>
          <w:tcPr>
            <w:tcW w:w="210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-7645400</wp:posOffset>
            </wp:positionV>
            <wp:extent cx="6704330" cy="765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04330" cy="765492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UBH of Phoenix,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Advisory,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BH Telepsych,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Building Solutions,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Good Samaritan,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International,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Midwest Center for Youth and Families,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Receivables Corp.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Surgical Hospital of Texoma,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Benton Day School and Treatment Program,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GB,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Hampton Learning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Indiana,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Kootenai River,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UHS of Madera, Inc.</w:t>
            </w:r>
          </w:p>
        </w:tc>
        <w:tc>
          <w:tcPr>
            <w:tcW w:w="210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-7799705</wp:posOffset>
            </wp:positionV>
            <wp:extent cx="6704330" cy="780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04330" cy="78085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UHS of New Orleans, LLC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No. Nevada,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Oklahoma Receivables,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Sutton,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Talbot,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Tuscon,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UHS-Lakeland Medical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UHSF,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UK Acquisition No. 6, Ltd</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Kingdom</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65</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Community Behavioral Health,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HMO,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Network,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Recovery Centers,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Cedar Hill,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Treatment Centers,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Valley Hospital Medical Center, Inc.</w:t>
            </w:r>
          </w:p>
        </w:tc>
        <w:tc>
          <w:tcPr>
            <w:tcW w:w="2100" w:type="dxa"/>
            <w:vAlign w:val="bottom"/>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-7954010</wp:posOffset>
            </wp:positionV>
            <wp:extent cx="6704330" cy="79629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04330" cy="796290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425"/>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Percent of</w:t>
            </w:r>
          </w:p>
        </w:tc>
        <w:tc>
          <w:tcPr>
            <w:tcW w:w="1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Interest Owned</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6"/>
        </w:trPr>
        <w:tc>
          <w:tcPr>
            <w:tcW w:w="518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Virgin Islands Behavioral Services, Inc.</w:t>
            </w:r>
          </w:p>
        </w:tc>
        <w:tc>
          <w:tcPr>
            <w:tcW w:w="21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rPr>
              <w:t>Virginia</w:t>
            </w:r>
          </w:p>
        </w:tc>
        <w:tc>
          <w:tcPr>
            <w:tcW w:w="156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Vista Diagnostic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Wellington Physician Alliances,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Wellstone Holdings,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98</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98</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 Church Partnership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 Oaks Real Estate, L.P.</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Westside Outpatient Center,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Zeus Endeavors, LLC</w:t>
            </w:r>
          </w:p>
        </w:tc>
        <w:tc>
          <w:tcPr>
            <w:tcW w:w="2100" w:type="dxa"/>
            <w:vAlign w:val="bottom"/>
          </w:tcPr>
          <w:p>
            <w:pPr>
              <w:ind w:left="100"/>
              <w:spacing w:after="0"/>
              <w:rPr>
                <w:sz w:val="20"/>
                <w:szCs w:val="20"/>
                <w:color w:val="auto"/>
              </w:rPr>
            </w:pPr>
            <w:r>
              <w:rPr>
                <w:rFonts w:ascii="Arial" w:cs="Arial" w:eastAsia="Arial" w:hAnsi="Arial"/>
                <w:sz w:val="18"/>
                <w:szCs w:val="18"/>
                <w:color w:val="auto"/>
              </w:rPr>
              <w:t>Florida</w:t>
            </w:r>
          </w:p>
        </w:tc>
        <w:tc>
          <w:tcPr>
            <w:tcW w:w="1560" w:type="dxa"/>
            <w:vAlign w:val="bottom"/>
          </w:tcPr>
          <w:p>
            <w:pPr>
              <w:ind w:left="160"/>
              <w:spacing w:after="0"/>
              <w:rPr>
                <w:sz w:val="20"/>
                <w:szCs w:val="20"/>
                <w:color w:val="auto"/>
              </w:rPr>
            </w:pPr>
            <w:r>
              <w:rPr>
                <w:rFonts w:ascii="Arial" w:cs="Arial" w:eastAsia="Arial" w:hAnsi="Arial"/>
                <w:sz w:val="18"/>
                <w:szCs w:val="18"/>
                <w:color w:val="auto"/>
              </w:rPr>
              <w:t>100</w:t>
            </w:r>
          </w:p>
        </w:tc>
        <w:tc>
          <w:tcPr>
            <w:tcW w:w="1720" w:type="dxa"/>
            <w:vAlign w:val="bottom"/>
          </w:tcPr>
          <w:p>
            <w:pPr>
              <w:ind w:left="1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-2867660</wp:posOffset>
            </wp:positionV>
            <wp:extent cx="6704330" cy="28771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04330" cy="287718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55245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D. Miller, certify that:</w:t>
      </w:r>
    </w:p>
    <w:p>
      <w:pPr>
        <w:spacing w:after="0" w:line="117" w:lineRule="exact"/>
        <w:rPr>
          <w:sz w:val="20"/>
          <w:szCs w:val="20"/>
          <w:color w:val="auto"/>
        </w:rPr>
      </w:pPr>
    </w:p>
    <w:p>
      <w:pPr>
        <w:ind w:left="700" w:hanging="183"/>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Health Services, Inc.;</w:t>
      </w:r>
    </w:p>
    <w:p>
      <w:pPr>
        <w:spacing w:after="0" w:line="116" w:lineRule="exact"/>
        <w:rPr>
          <w:rFonts w:ascii="Arial" w:cs="Arial" w:eastAsia="Arial" w:hAnsi="Arial"/>
          <w:sz w:val="18"/>
          <w:szCs w:val="18"/>
          <w:color w:val="auto"/>
        </w:rPr>
      </w:pPr>
    </w:p>
    <w:p>
      <w:pPr>
        <w:ind w:right="80" w:firstLine="517"/>
        <w:spacing w:after="0" w:line="341" w:lineRule="auto"/>
        <w:tabs>
          <w:tab w:leader="none" w:pos="6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60" w:firstLine="517"/>
        <w:spacing w:after="0" w:line="277" w:lineRule="auto"/>
        <w:tabs>
          <w:tab w:leader="none" w:pos="6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ind w:right="100" w:firstLine="517"/>
        <w:spacing w:after="0" w:line="263" w:lineRule="auto"/>
        <w:tabs>
          <w:tab w:leader="none" w:pos="6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60" w:firstLine="506"/>
        <w:spacing w:after="0" w:line="263" w:lineRule="auto"/>
        <w:tabs>
          <w:tab w:leader="none" w:pos="121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20" w:firstLine="506"/>
        <w:spacing w:after="0" w:line="263" w:lineRule="auto"/>
        <w:tabs>
          <w:tab w:leader="none" w:pos="12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40" w:firstLine="506"/>
        <w:spacing w:after="0" w:line="341" w:lineRule="auto"/>
        <w:tabs>
          <w:tab w:leader="none" w:pos="121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63" w:lineRule="auto"/>
        <w:tabs>
          <w:tab w:leader="none" w:pos="12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240" w:firstLine="517"/>
        <w:spacing w:after="0" w:line="341" w:lineRule="auto"/>
        <w:tabs>
          <w:tab w:leader="none" w:pos="6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520" w:right="560" w:firstLine="506"/>
        <w:spacing w:after="0" w:line="307" w:lineRule="auto"/>
        <w:tabs>
          <w:tab w:leader="none" w:pos="1214"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40" w:firstLine="506"/>
        <w:spacing w:after="0" w:line="277" w:lineRule="auto"/>
        <w:tabs>
          <w:tab w:leader="none" w:pos="12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Marc D. Miller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 Filton, certify that:</w:t>
      </w:r>
    </w:p>
    <w:p>
      <w:pPr>
        <w:spacing w:after="0" w:line="117" w:lineRule="exact"/>
        <w:rPr>
          <w:sz w:val="20"/>
          <w:szCs w:val="20"/>
          <w:color w:val="auto"/>
        </w:rPr>
      </w:pPr>
    </w:p>
    <w:p>
      <w:pPr>
        <w:ind w:left="700" w:hanging="18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Health Services, Inc.;</w:t>
      </w:r>
    </w:p>
    <w:p>
      <w:pPr>
        <w:spacing w:after="0" w:line="116" w:lineRule="exact"/>
        <w:rPr>
          <w:rFonts w:ascii="Arial" w:cs="Arial" w:eastAsia="Arial" w:hAnsi="Arial"/>
          <w:sz w:val="18"/>
          <w:szCs w:val="18"/>
          <w:color w:val="auto"/>
        </w:rPr>
      </w:pPr>
    </w:p>
    <w:p>
      <w:pPr>
        <w:ind w:right="80" w:firstLine="517"/>
        <w:spacing w:after="0" w:line="341" w:lineRule="auto"/>
        <w:tabs>
          <w:tab w:leader="none" w:pos="68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60" w:firstLine="517"/>
        <w:spacing w:after="0" w:line="277"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ind w:right="100" w:firstLine="517"/>
        <w:spacing w:after="0" w:line="263"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60" w:firstLine="506"/>
        <w:spacing w:after="0" w:line="263" w:lineRule="auto"/>
        <w:tabs>
          <w:tab w:leader="none" w:pos="12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20" w:firstLine="506"/>
        <w:spacing w:after="0" w:line="263" w:lineRule="auto"/>
        <w:tabs>
          <w:tab w:leader="none" w:pos="12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40" w:firstLine="506"/>
        <w:spacing w:after="0" w:line="341" w:lineRule="auto"/>
        <w:tabs>
          <w:tab w:leader="none" w:pos="121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63" w:lineRule="auto"/>
        <w:tabs>
          <w:tab w:leader="none" w:pos="12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240" w:firstLine="517"/>
        <w:spacing w:after="0" w:line="341" w:lineRule="auto"/>
        <w:tabs>
          <w:tab w:leader="none" w:pos="68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520" w:right="560" w:firstLine="506"/>
        <w:spacing w:after="0" w:line="307" w:lineRule="auto"/>
        <w:tabs>
          <w:tab w:leader="none" w:pos="121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40" w:firstLine="506"/>
        <w:spacing w:after="0" w:line="277" w:lineRule="auto"/>
        <w:tabs>
          <w:tab w:leader="none" w:pos="12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 Filton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Universal Health Services, Inc. (the “Company”) on Form 10-Q for the quarter ended September 30, 2023,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40"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right="14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8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Marc D. Miller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8, 2023</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Universal Health Services, Inc. (the “Company”) on Form 10-Q for the quarter ended September 30, 2023,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7"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right="14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8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 Filton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8, 2023</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lvl w:ilvl="1">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2023-11-08T15:48:35Z</dcterms:created>
  <dcterms:modified xsi:type="dcterms:W3CDTF">2023-11-08T15:48:35Z</dcterms:modified>
</cp:coreProperties>
</file>