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gif" ContentType="image/gif"/>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bottom w:val="double" w:sz="6" w:space="1" w:color="000000"/>
        </w:pBdr>
        <w:bidi w:val="0"/>
        <w:jc w:val="left"/>
        <w:rPr/>
      </w:pPr>
      <w:bookmarkStart w:id="0" w:name="uhs-20251231.htm"/>
      <w:bookmarkStart w:id="1" w:name="ksuhs20251231"/>
      <w:bookmarkEnd w:id="0"/>
      <w:bookmarkEnd w:id="1"/>
      <w:r>
        <w:rPr/>
        <w:t> </w:t>
      </w:r>
    </w:p>
    <w:p>
      <w:pPr>
        <w:pStyle w:val="TextBody"/>
        <w:bidi w:val="0"/>
        <w:spacing w:before="40" w:after="283"/>
        <w:jc w:val="center"/>
        <w:rPr>
          <w:rFonts w:ascii="Times New Roman" w:hAnsi="Times New Roman"/>
          <w:b/>
          <w:color w:val="000000"/>
          <w:sz w:val="24"/>
        </w:rPr>
      </w:pPr>
      <w:r>
        <w:rPr>
          <w:rFonts w:ascii="Times New Roman" w:hAnsi="Times New Roman"/>
          <w:b/>
          <w:color w:val="000000"/>
          <w:sz w:val="24"/>
        </w:rPr>
        <w:t>UNITED STATES</w:t>
      </w:r>
    </w:p>
    <w:p>
      <w:pPr>
        <w:pStyle w:val="TextBody"/>
        <w:bidi w:val="0"/>
        <w:jc w:val="center"/>
        <w:rPr>
          <w:rFonts w:ascii="Times New Roman" w:hAnsi="Times New Roman"/>
          <w:b/>
          <w:color w:val="000000"/>
          <w:sz w:val="24"/>
        </w:rPr>
      </w:pPr>
      <w:r>
        <w:rPr>
          <w:rFonts w:ascii="Times New Roman" w:hAnsi="Times New Roman"/>
          <w:b/>
          <w:color w:val="000000"/>
          <w:sz w:val="24"/>
        </w:rPr>
        <w:t>SECURITIES AND EXCHANGE COMMISSION</w:t>
      </w:r>
    </w:p>
    <w:p>
      <w:pPr>
        <w:pStyle w:val="TextBody"/>
        <w:bidi w:val="0"/>
        <w:jc w:val="center"/>
        <w:rPr>
          <w:rFonts w:ascii="Times New Roman" w:hAnsi="Times New Roman"/>
          <w:b/>
          <w:color w:val="000000"/>
          <w:sz w:val="20"/>
        </w:rPr>
      </w:pPr>
      <w:r>
        <w:rPr>
          <w:rFonts w:ascii="Times New Roman" w:hAnsi="Times New Roman"/>
          <w:b/>
          <w:color w:val="000000"/>
          <w:sz w:val="20"/>
        </w:rPr>
        <w:t>Washington, D.C. 20549</w:t>
      </w:r>
    </w:p>
    <w:p>
      <w:pPr>
        <w:pStyle w:val="TextBody"/>
        <w:pBdr>
          <w:bottom w:val="single" w:sz="4" w:space="1" w:color="000000"/>
        </w:pBdr>
        <w:bidi w:val="0"/>
        <w:jc w:val="center"/>
        <w:rPr/>
      </w:pPr>
      <w:r>
        <w:rPr/>
        <w:t> </w:t>
      </w:r>
    </w:p>
    <w:p>
      <w:pPr>
        <w:pStyle w:val="TextBody"/>
        <w:bidi w:val="0"/>
        <w:spacing w:before="40" w:after="283"/>
        <w:jc w:val="center"/>
        <w:rPr>
          <w:rFonts w:ascii="Times New Roman" w:hAnsi="Times New Roman"/>
          <w:b/>
          <w:color w:val="000000"/>
          <w:sz w:val="24"/>
        </w:rPr>
      </w:pPr>
      <w:r>
        <w:rPr>
          <w:rFonts w:ascii="Times New Roman" w:hAnsi="Times New Roman"/>
          <w:b/>
          <w:color w:val="000000"/>
          <w:sz w:val="24"/>
        </w:rPr>
        <w:t>FORM 10-K</w:t>
      </w:r>
    </w:p>
    <w:p>
      <w:pPr>
        <w:pStyle w:val="TextBody"/>
        <w:pBdr>
          <w:bottom w:val="single" w:sz="4" w:space="1" w:color="000000"/>
        </w:pBdr>
        <w:bidi w:val="0"/>
        <w:jc w:val="center"/>
        <w:rPr/>
      </w:pPr>
      <w:r>
        <w:rPr/>
        <w:t> </w:t>
      </w:r>
    </w:p>
    <w:p>
      <w:pPr>
        <w:pStyle w:val="TextBody"/>
        <w:bidi w:val="0"/>
        <w:jc w:val="left"/>
        <w:rPr>
          <w:rFonts w:ascii="Times New Roman" w:hAnsi="Times New Roman"/>
          <w:b/>
          <w:color w:val="000000"/>
          <w:sz w:val="18"/>
        </w:rPr>
      </w:pPr>
      <w:r>
        <w:rPr>
          <w:rFonts w:ascii="Times New Roman" w:hAnsi="Times New Roman"/>
          <w:b/>
          <w:color w:val="000000"/>
          <w:sz w:val="18"/>
        </w:rPr>
        <w:t>(MARK ONE)</w:t>
      </w:r>
    </w:p>
    <w:p>
      <w:pPr>
        <w:pStyle w:val="TextBody"/>
        <w:bidi w:val="0"/>
        <w:jc w:val="left"/>
        <w:rPr/>
      </w:pPr>
      <w:r>
        <w:rPr/>
        <w:t> </w:t>
      </w:r>
    </w:p>
    <w:tbl>
      <w:tblPr>
        <w:tblW w:w="10063" w:type="dxa"/>
        <w:jc w:val="left"/>
        <w:tblInd w:w="0" w:type="dxa"/>
        <w:tblLayout w:type="fixed"/>
        <w:tblCellMar>
          <w:top w:w="28" w:type="dxa"/>
          <w:left w:w="28" w:type="dxa"/>
          <w:bottom w:w="28" w:type="dxa"/>
          <w:right w:w="28" w:type="dxa"/>
        </w:tblCellMar>
      </w:tblPr>
      <w:tblGrid>
        <w:gridCol w:w="331"/>
        <w:gridCol w:w="146"/>
        <w:gridCol w:w="9586"/>
      </w:tblGrid>
      <w:tr>
        <w:trPr/>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586"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5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ANNUAL REPORT PURSUANT TO SECTION 13 OR 15(d) OF THE SECURITIES EXCHANGE ACT OF 1934</w:t>
            </w:r>
          </w:p>
        </w:tc>
      </w:tr>
    </w:tbl>
    <w:p>
      <w:pPr>
        <w:pStyle w:val="TextBody"/>
        <w:bidi w:val="0"/>
        <w:jc w:val="left"/>
        <w:rPr/>
      </w:pPr>
      <w:r>
        <w:rPr/>
        <w:t> </w:t>
      </w:r>
    </w:p>
    <w:p>
      <w:pPr>
        <w:pStyle w:val="TextBody"/>
        <w:bidi w:val="0"/>
        <w:jc w:val="center"/>
        <w:rPr>
          <w:rFonts w:ascii="Times New Roman" w:hAnsi="Times New Roman"/>
          <w:b/>
          <w:color w:val="000000"/>
          <w:sz w:val="17"/>
        </w:rPr>
      </w:pPr>
      <w:r>
        <w:rPr>
          <w:rFonts w:ascii="Times New Roman" w:hAnsi="Times New Roman"/>
          <w:b/>
          <w:color w:val="000000"/>
          <w:sz w:val="17"/>
        </w:rPr>
        <w:t>For the fiscal year ended December 31, 2025</w:t>
      </w:r>
    </w:p>
    <w:p>
      <w:pPr>
        <w:pStyle w:val="TextBody"/>
        <w:bidi w:val="0"/>
        <w:spacing w:before="40" w:after="283"/>
        <w:jc w:val="center"/>
        <w:rPr>
          <w:rFonts w:ascii="Times New Roman" w:hAnsi="Times New Roman"/>
          <w:b/>
          <w:color w:val="000000"/>
          <w:sz w:val="17"/>
        </w:rPr>
      </w:pPr>
      <w:r>
        <w:rPr>
          <w:rFonts w:ascii="Times New Roman" w:hAnsi="Times New Roman"/>
          <w:b/>
          <w:color w:val="000000"/>
          <w:sz w:val="17"/>
        </w:rPr>
        <w:t>OR</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331"/>
        <w:gridCol w:w="146"/>
        <w:gridCol w:w="9728"/>
      </w:tblGrid>
      <w:tr>
        <w:trPr/>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28"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72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TRANSITION REPORT PURSUANT TO SECTION 13 OR 15(d) OF THE SECURITIES EXCHANGE ACT OF 1934</w:t>
            </w:r>
          </w:p>
        </w:tc>
      </w:tr>
    </w:tbl>
    <w:p>
      <w:pPr>
        <w:pStyle w:val="TextBody"/>
        <w:bidi w:val="0"/>
        <w:spacing w:before="40" w:after="283"/>
        <w:jc w:val="center"/>
        <w:rPr/>
      </w:pPr>
      <w:r>
        <w:rPr/>
        <w:t> </w:t>
      </w:r>
    </w:p>
    <w:p>
      <w:pPr>
        <w:pStyle w:val="TextBody"/>
        <w:bidi w:val="0"/>
        <w:jc w:val="center"/>
        <w:rPr>
          <w:rFonts w:ascii="Times New Roman" w:hAnsi="Times New Roman"/>
          <w:sz w:val="20"/>
        </w:rPr>
      </w:pPr>
      <w:r>
        <w:rPr>
          <w:rFonts w:ascii="Times New Roman" w:hAnsi="Times New Roman"/>
          <w:b/>
          <w:color w:val="000000"/>
          <w:sz w:val="17"/>
        </w:rPr>
        <w:t>For the transition period from to</w:t>
      </w:r>
      <w:r>
        <w:rPr>
          <w:rFonts w:ascii="Times New Roman" w:hAnsi="Times New Roman"/>
          <w:color w:val="000000"/>
          <w:sz w:val="20"/>
        </w:rPr>
        <w:t xml:space="preserve"> </w:t>
      </w:r>
    </w:p>
    <w:p>
      <w:pPr>
        <w:pStyle w:val="TextBody"/>
        <w:bidi w:val="0"/>
        <w:spacing w:before="40" w:after="283"/>
        <w:jc w:val="center"/>
        <w:rPr>
          <w:rFonts w:ascii="Times New Roman" w:hAnsi="Times New Roman"/>
          <w:b/>
          <w:color w:val="000000"/>
          <w:sz w:val="17"/>
        </w:rPr>
      </w:pPr>
      <w:r>
        <w:rPr>
          <w:rFonts w:ascii="Times New Roman" w:hAnsi="Times New Roman"/>
          <w:b/>
          <w:color w:val="000000"/>
          <w:sz w:val="17"/>
        </w:rPr>
        <w:t>Commission File No. 1-10765</w:t>
      </w:r>
    </w:p>
    <w:p>
      <w:pPr>
        <w:pStyle w:val="TextBody"/>
        <w:pBdr>
          <w:bottom w:val="single" w:sz="4" w:space="1" w:color="000000"/>
        </w:pBdr>
        <w:bidi w:val="0"/>
        <w:jc w:val="center"/>
        <w:rPr/>
      </w:pPr>
      <w:r>
        <w:rPr/>
        <w:t> </w:t>
      </w:r>
    </w:p>
    <w:p>
      <w:pPr>
        <w:pStyle w:val="TextBody"/>
        <w:bidi w:val="0"/>
        <w:spacing w:before="40" w:after="283"/>
        <w:jc w:val="center"/>
        <w:rPr>
          <w:rFonts w:ascii="Times New Roman" w:hAnsi="Times New Roman"/>
          <w:b/>
          <w:color w:val="000000"/>
          <w:sz w:val="28"/>
        </w:rPr>
      </w:pPr>
      <w:r>
        <w:rPr>
          <w:rFonts w:ascii="Times New Roman" w:hAnsi="Times New Roman"/>
          <w:b/>
          <w:color w:val="000000"/>
          <w:sz w:val="28"/>
        </w:rPr>
        <w:t>UNIVERSAL HEALTH SERVICES, INC.</w:t>
      </w:r>
    </w:p>
    <w:p>
      <w:pPr>
        <w:pStyle w:val="TextBody"/>
        <w:bidi w:val="0"/>
        <w:jc w:val="center"/>
        <w:rPr>
          <w:rFonts w:ascii="Times New Roman" w:hAnsi="Times New Roman"/>
          <w:b/>
          <w:color w:val="000000"/>
          <w:sz w:val="17"/>
        </w:rPr>
      </w:pPr>
      <w:r>
        <w:rPr>
          <w:rFonts w:ascii="Times New Roman" w:hAnsi="Times New Roman"/>
          <w:b/>
          <w:color w:val="000000"/>
          <w:sz w:val="17"/>
        </w:rPr>
        <w:t>(Exact name of registrant as specified in its charter)</w:t>
      </w:r>
    </w:p>
    <w:p>
      <w:pPr>
        <w:pStyle w:val="TextBody"/>
        <w:pBdr>
          <w:bottom w:val="single" w:sz="4" w:space="1" w:color="000000"/>
        </w:pBdr>
        <w:bidi w:val="0"/>
        <w:jc w:val="center"/>
        <w:rPr/>
      </w:pPr>
      <w:r>
        <w:rPr/>
        <w:t> </w:t>
      </w:r>
    </w:p>
    <w:p>
      <w:pPr>
        <w:pStyle w:val="TextBody"/>
        <w:bidi w:val="0"/>
        <w:jc w:val="left"/>
        <w:rPr/>
      </w:pPr>
      <w:r>
        <w:rPr/>
        <w:t> </w:t>
      </w:r>
    </w:p>
    <w:tbl>
      <w:tblPr>
        <w:tblW w:w="4536" w:type="dxa"/>
        <w:jc w:val="left"/>
        <w:tblInd w:w="0" w:type="dxa"/>
        <w:tblLayout w:type="fixed"/>
        <w:tblCellMar>
          <w:top w:w="28" w:type="dxa"/>
          <w:left w:w="28" w:type="dxa"/>
          <w:bottom w:w="28" w:type="dxa"/>
          <w:right w:w="28" w:type="dxa"/>
        </w:tblCellMar>
      </w:tblPr>
      <w:tblGrid>
        <w:gridCol w:w="2911"/>
        <w:gridCol w:w="109"/>
        <w:gridCol w:w="1516"/>
      </w:tblGrid>
      <w:tr>
        <w:trPr/>
        <w:tc>
          <w:tcPr>
            <w:tcW w:w="29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before="0" w:after="283"/>
              <w:jc w:val="left"/>
              <w:rPr>
                <w:sz w:val="4"/>
                <w:szCs w:val="4"/>
              </w:rPr>
            </w:pPr>
            <w:r>
              <w:rPr>
                <w:sz w:val="4"/>
                <w:szCs w:val="4"/>
              </w:rPr>
            </w:r>
          </w:p>
        </w:tc>
      </w:tr>
      <w:tr>
        <w:trPr/>
        <w:tc>
          <w:tcPr>
            <w:tcW w:w="29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Delaware</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23-2077891</w:t>
            </w:r>
          </w:p>
        </w:tc>
      </w:tr>
      <w:tr>
        <w:trPr/>
        <w:tc>
          <w:tcPr>
            <w:tcW w:w="291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4"/>
              </w:rPr>
            </w:pPr>
            <w:r>
              <w:rPr>
                <w:rFonts w:ascii="Times New Roman" w:hAnsi="Times New Roman"/>
                <w:b/>
                <w:color w:val="000000"/>
                <w:sz w:val="14"/>
              </w:rPr>
              <w:t>(State or other jurisdiction of</w:t>
            </w:r>
          </w:p>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incorporation or organization)</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4"/>
              </w:rPr>
            </w:pPr>
            <w:r>
              <w:rPr>
                <w:rFonts w:ascii="Times New Roman" w:hAnsi="Times New Roman"/>
                <w:b/>
                <w:color w:val="000000"/>
                <w:sz w:val="14"/>
              </w:rPr>
              <w:t>(I.R.S. Employer</w:t>
            </w:r>
          </w:p>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Identification Number)</w:t>
            </w:r>
          </w:p>
        </w:tc>
      </w:tr>
      <w:tr>
        <w:trPr/>
        <w:tc>
          <w:tcPr>
            <w:tcW w:w="2911" w:type="dxa"/>
            <w:tcBorders/>
            <w:tcMar>
              <w:top w:w="0" w:type="dxa"/>
              <w:left w:w="0" w:type="dxa"/>
              <w:bottom w:w="0" w:type="dxa"/>
              <w:right w:w="0" w:type="dxa"/>
            </w:tcMar>
            <w:vAlign w:val="center"/>
          </w:tcPr>
          <w:p>
            <w:pPr>
              <w:pStyle w:val="TableContents"/>
              <w:bidi w:val="0"/>
              <w:spacing w:before="0" w:after="283"/>
              <w:jc w:val="left"/>
              <w:rPr/>
            </w:pPr>
            <w:r>
              <w:rPr/>
              <w:t> </w:t>
            </w:r>
          </w:p>
        </w:tc>
        <w:tc>
          <w:tcPr>
            <w:tcW w:w="1625"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9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UNIVERSAL CORPORATE CENTER</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91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367 South Gulph Road</w:t>
            </w:r>
          </w:p>
          <w:p>
            <w:pPr>
              <w:pStyle w:val="TableContents"/>
              <w:bidi w:val="0"/>
              <w:jc w:val="center"/>
              <w:rPr>
                <w:rFonts w:ascii="Times New Roman" w:hAnsi="Times New Roman"/>
                <w:b/>
                <w:color w:val="000000"/>
                <w:sz w:val="16"/>
              </w:rPr>
            </w:pPr>
            <w:r>
              <w:rPr>
                <w:rFonts w:ascii="Times New Roman" w:hAnsi="Times New Roman"/>
                <w:b/>
                <w:color w:val="000000"/>
                <w:sz w:val="16"/>
              </w:rPr>
              <w:t>P.O. Box 61558</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King of Prussia, Pennsylvania</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19406-0958</w:t>
            </w:r>
          </w:p>
        </w:tc>
      </w:tr>
      <w:tr>
        <w:trPr/>
        <w:tc>
          <w:tcPr>
            <w:tcW w:w="29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(Address of principal executive offices)</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(Zip Code)</w:t>
            </w:r>
          </w:p>
        </w:tc>
      </w:tr>
    </w:tbl>
    <w:p>
      <w:pPr>
        <w:pStyle w:val="TextBody"/>
        <w:bidi w:val="0"/>
        <w:jc w:val="left"/>
        <w:rPr/>
      </w:pPr>
      <w:r>
        <w:rPr/>
        <w:t> </w:t>
      </w:r>
    </w:p>
    <w:p>
      <w:pPr>
        <w:pStyle w:val="TextBody"/>
        <w:bidi w:val="0"/>
        <w:jc w:val="center"/>
        <w:rPr>
          <w:rFonts w:ascii="Times New Roman" w:hAnsi="Times New Roman"/>
          <w:b/>
          <w:color w:val="000000"/>
          <w:sz w:val="17"/>
        </w:rPr>
      </w:pPr>
      <w:r>
        <w:rPr>
          <w:rFonts w:ascii="Times New Roman" w:hAnsi="Times New Roman"/>
          <w:b/>
          <w:color w:val="000000"/>
          <w:sz w:val="17"/>
        </w:rPr>
        <w:t>Registrant’s telephone number, including area code: (610) 768-3300</w:t>
      </w:r>
    </w:p>
    <w:p>
      <w:pPr>
        <w:pStyle w:val="TextBody"/>
        <w:pBdr>
          <w:bottom w:val="single" w:sz="4" w:space="1" w:color="000000"/>
        </w:pBdr>
        <w:bidi w:val="0"/>
        <w:jc w:val="center"/>
        <w:rPr/>
      </w:pPr>
      <w:r>
        <w:rPr/>
        <w:t> </w:t>
      </w:r>
    </w:p>
    <w:p>
      <w:pPr>
        <w:pStyle w:val="TextBody"/>
        <w:bidi w:val="0"/>
        <w:spacing w:before="40" w:after="80"/>
        <w:jc w:val="center"/>
        <w:rPr>
          <w:rFonts w:ascii="Times New Roman" w:hAnsi="Times New Roman"/>
          <w:b/>
          <w:color w:val="000000"/>
          <w:sz w:val="17"/>
        </w:rPr>
      </w:pPr>
      <w:r>
        <w:rPr>
          <w:rFonts w:ascii="Times New Roman" w:hAnsi="Times New Roman"/>
          <w:b/>
          <w:color w:val="000000"/>
          <w:sz w:val="17"/>
        </w:rPr>
        <w:t>Securities registered pursuant to Section 12(b) of the Act:</w:t>
      </w:r>
    </w:p>
    <w:tbl>
      <w:tblPr>
        <w:tblW w:w="7578" w:type="dxa"/>
        <w:jc w:val="left"/>
        <w:tblInd w:w="0" w:type="dxa"/>
        <w:tblLayout w:type="fixed"/>
        <w:tblCellMar>
          <w:top w:w="28" w:type="dxa"/>
          <w:left w:w="28" w:type="dxa"/>
          <w:bottom w:w="28" w:type="dxa"/>
          <w:right w:w="28" w:type="dxa"/>
        </w:tblCellMar>
      </w:tblPr>
      <w:tblGrid>
        <w:gridCol w:w="2926"/>
        <w:gridCol w:w="1426"/>
        <w:gridCol w:w="3226"/>
      </w:tblGrid>
      <w:tr>
        <w:trPr/>
        <w:tc>
          <w:tcPr>
            <w:tcW w:w="2926"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sz w:val="4"/>
                <w:szCs w:val="4"/>
              </w:rPr>
            </w:pPr>
            <w:r>
              <w:rPr>
                <w:sz w:val="4"/>
                <w:szCs w:val="4"/>
              </w:rPr>
            </w:r>
          </w:p>
        </w:tc>
        <w:tc>
          <w:tcPr>
            <w:tcW w:w="3226" w:type="dxa"/>
            <w:tcBorders/>
            <w:vAlign w:val="center"/>
          </w:tcPr>
          <w:p>
            <w:pPr>
              <w:pStyle w:val="TableContents"/>
              <w:bidi w:val="0"/>
              <w:spacing w:before="0" w:after="283"/>
              <w:jc w:val="left"/>
              <w:rPr>
                <w:sz w:val="4"/>
                <w:szCs w:val="4"/>
              </w:rPr>
            </w:pPr>
            <w:r>
              <w:rPr>
                <w:sz w:val="4"/>
                <w:szCs w:val="4"/>
              </w:rPr>
            </w:r>
          </w:p>
        </w:tc>
      </w:tr>
      <w:tr>
        <w:trPr/>
        <w:tc>
          <w:tcPr>
            <w:tcW w:w="2926"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TableContents"/>
              <w:bidi w:val="0"/>
              <w:spacing w:before="0" w:after="44"/>
              <w:jc w:val="center"/>
              <w:rPr>
                <w:rFonts w:ascii="Times New Roman" w:hAnsi="Times New Roman"/>
                <w:color w:val="000000"/>
                <w:sz w:val="16"/>
              </w:rPr>
            </w:pPr>
            <w:r>
              <w:rPr>
                <w:rFonts w:ascii="Times New Roman" w:hAnsi="Times New Roman"/>
                <w:color w:val="000000"/>
                <w:sz w:val="16"/>
              </w:rPr>
              <w:t>Title of each class</w:t>
            </w:r>
          </w:p>
        </w:tc>
        <w:tc>
          <w:tcPr>
            <w:tcW w:w="1426"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44"/>
              <w:jc w:val="center"/>
              <w:rPr>
                <w:rFonts w:ascii="Times New Roman" w:hAnsi="Times New Roman"/>
                <w:color w:val="000000"/>
                <w:sz w:val="16"/>
              </w:rPr>
            </w:pPr>
            <w:r>
              <w:rPr>
                <w:rFonts w:ascii="Times New Roman" w:hAnsi="Times New Roman"/>
                <w:color w:val="000000"/>
                <w:sz w:val="16"/>
              </w:rPr>
              <w:t>Trading Symbol(s)</w:t>
            </w:r>
          </w:p>
        </w:tc>
        <w:tc>
          <w:tcPr>
            <w:tcW w:w="3226"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44"/>
              <w:jc w:val="center"/>
              <w:rPr>
                <w:rFonts w:ascii="Times New Roman" w:hAnsi="Times New Roman"/>
                <w:color w:val="000000"/>
                <w:sz w:val="16"/>
              </w:rPr>
            </w:pPr>
            <w:r>
              <w:rPr>
                <w:rFonts w:ascii="Times New Roman" w:hAnsi="Times New Roman"/>
                <w:color w:val="000000"/>
                <w:sz w:val="16"/>
              </w:rPr>
              <w:t>Name of each exchange on which registered</w:t>
            </w:r>
          </w:p>
        </w:tc>
      </w:tr>
      <w:tr>
        <w:trPr/>
        <w:tc>
          <w:tcPr>
            <w:tcW w:w="292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44"/>
              <w:jc w:val="center"/>
              <w:rPr>
                <w:rFonts w:ascii="Times New Roman" w:hAnsi="Times New Roman"/>
                <w:color w:val="000000"/>
                <w:sz w:val="16"/>
              </w:rPr>
            </w:pPr>
            <w:r>
              <w:rPr>
                <w:rFonts w:ascii="Times New Roman" w:hAnsi="Times New Roman"/>
                <w:color w:val="000000"/>
                <w:sz w:val="16"/>
              </w:rPr>
              <w:t>Class B Common Stock, $0.01 par value</w:t>
            </w:r>
          </w:p>
        </w:tc>
        <w:tc>
          <w:tcPr>
            <w:tcW w:w="142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44"/>
              <w:jc w:val="center"/>
              <w:rPr>
                <w:rFonts w:ascii="Times New Roman" w:hAnsi="Times New Roman"/>
                <w:color w:val="000000"/>
                <w:sz w:val="16"/>
              </w:rPr>
            </w:pPr>
            <w:r>
              <w:rPr>
                <w:rFonts w:ascii="Times New Roman" w:hAnsi="Times New Roman"/>
                <w:color w:val="000000"/>
                <w:sz w:val="16"/>
              </w:rPr>
              <w:t>UHS</w:t>
            </w:r>
          </w:p>
        </w:tc>
        <w:tc>
          <w:tcPr>
            <w:tcW w:w="322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44"/>
              <w:jc w:val="center"/>
              <w:rPr>
                <w:rFonts w:ascii="Times New Roman" w:hAnsi="Times New Roman"/>
                <w:color w:val="000000"/>
                <w:sz w:val="16"/>
              </w:rPr>
            </w:pPr>
            <w:r>
              <w:rPr>
                <w:rFonts w:ascii="Times New Roman" w:hAnsi="Times New Roman"/>
                <w:color w:val="000000"/>
                <w:sz w:val="16"/>
              </w:rPr>
              <w:t>New York Stock Exchange</w:t>
            </w:r>
          </w:p>
        </w:tc>
      </w:tr>
    </w:tbl>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b/>
          <w:color w:val="000000"/>
          <w:sz w:val="16"/>
        </w:rPr>
      </w:pPr>
      <w:r>
        <w:rPr>
          <w:rFonts w:ascii="Times New Roman" w:hAnsi="Times New Roman"/>
          <w:b/>
          <w:color w:val="000000"/>
          <w:sz w:val="16"/>
        </w:rPr>
        <w:t>Securities registered pursuant to Section 12(g) of the Act:</w:t>
      </w:r>
    </w:p>
    <w:p>
      <w:pPr>
        <w:pStyle w:val="TextBody"/>
        <w:bidi w:val="0"/>
        <w:jc w:val="center"/>
        <w:rPr>
          <w:rFonts w:ascii="Times New Roman" w:hAnsi="Times New Roman"/>
          <w:b/>
          <w:color w:val="000000"/>
          <w:sz w:val="16"/>
        </w:rPr>
      </w:pPr>
      <w:r>
        <w:rPr>
          <w:rFonts w:ascii="Times New Roman" w:hAnsi="Times New Roman"/>
          <w:b/>
          <w:color w:val="000000"/>
          <w:sz w:val="16"/>
        </w:rPr>
        <w:t>Class D Common Stock, $.01 par value</w:t>
      </w:r>
    </w:p>
    <w:p>
      <w:pPr>
        <w:pStyle w:val="TextBody"/>
        <w:bidi w:val="0"/>
        <w:jc w:val="center"/>
        <w:rPr>
          <w:rFonts w:ascii="Times New Roman" w:hAnsi="Times New Roman"/>
          <w:b/>
          <w:color w:val="000000"/>
          <w:sz w:val="16"/>
        </w:rPr>
      </w:pPr>
      <w:r>
        <w:rPr>
          <w:rFonts w:ascii="Times New Roman" w:hAnsi="Times New Roman"/>
          <w:b/>
          <w:color w:val="000000"/>
          <w:sz w:val="16"/>
        </w:rPr>
        <w:t>(Title of each Class)</w:t>
      </w:r>
    </w:p>
    <w:p>
      <w:pPr>
        <w:pStyle w:val="TextBody"/>
        <w:pBdr>
          <w:bottom w:val="single" w:sz="4" w:space="1" w:color="000000"/>
        </w:pBdr>
        <w:bidi w:val="0"/>
        <w:jc w:val="center"/>
        <w:rPr/>
      </w:pPr>
      <w:r>
        <w:rPr/>
        <w:t> </w:t>
      </w:r>
    </w:p>
    <w:p>
      <w:pPr>
        <w:pStyle w:val="TextBody"/>
        <w:bidi w:val="0"/>
        <w:spacing w:before="60" w:after="283"/>
        <w:jc w:val="left"/>
        <w:rPr>
          <w:rFonts w:ascii="Times New Roman" w:hAnsi="Times New Roman"/>
          <w:sz w:val="20"/>
        </w:rPr>
      </w:pPr>
      <w:r>
        <w:rPr>
          <w:rFonts w:ascii="Times New Roman" w:hAnsi="Times New Roman"/>
          <w:color w:val="000000"/>
          <w:sz w:val="16"/>
        </w:rPr>
        <w:t>Indicate by check mark if the registrant is a well-known seasoned issuer, as defined in Rule 405 of the Securities Act. Yes</w:t>
      </w:r>
      <w:r>
        <w:rPr>
          <w:rFonts w:ascii="Times New Roman" w:hAnsi="Times New Roman"/>
          <w:color w:val="000000"/>
          <w:sz w:val="20"/>
        </w:rPr>
        <w:t xml:space="preserve"> ☒ </w:t>
      </w:r>
      <w:r>
        <w:rPr>
          <w:rFonts w:ascii="Times New Roman" w:hAnsi="Times New Roman"/>
          <w:color w:val="000000"/>
          <w:sz w:val="16"/>
        </w:rPr>
        <w:t xml:space="preserve">No </w:t>
      </w:r>
      <w:r>
        <w:rPr>
          <w:rFonts w:ascii="Times New Roman" w:hAnsi="Times New Roman"/>
          <w:color w:val="000000"/>
          <w:sz w:val="20"/>
        </w:rPr>
        <w:t>☐</w:t>
      </w:r>
    </w:p>
    <w:p>
      <w:pPr>
        <w:pStyle w:val="TextBody"/>
        <w:bidi w:val="0"/>
        <w:spacing w:before="60" w:after="283"/>
        <w:jc w:val="left"/>
        <w:rPr>
          <w:rFonts w:ascii="Times New Roman" w:hAnsi="Times New Roman"/>
          <w:sz w:val="20"/>
        </w:rPr>
      </w:pPr>
      <w:r>
        <w:rPr>
          <w:rFonts w:ascii="Times New Roman" w:hAnsi="Times New Roman"/>
          <w:color w:val="000000"/>
          <w:sz w:val="16"/>
        </w:rPr>
        <w:t xml:space="preserve">Indicate by check mark if the registrant is not required to file reports pursuant to Section 13 or Section 15(d) of the Exchange Act. Yes </w:t>
      </w:r>
      <w:r>
        <w:rPr>
          <w:rFonts w:ascii="Times New Roman" w:hAnsi="Times New Roman"/>
          <w:color w:val="000000"/>
          <w:sz w:val="20"/>
        </w:rPr>
        <w:t xml:space="preserve">☐ </w:t>
      </w:r>
      <w:r>
        <w:rPr>
          <w:rFonts w:ascii="Times New Roman" w:hAnsi="Times New Roman"/>
          <w:color w:val="000000"/>
          <w:sz w:val="16"/>
        </w:rPr>
        <w:t>No</w:t>
      </w:r>
      <w:r>
        <w:rPr>
          <w:rFonts w:ascii="Times New Roman" w:hAnsi="Times New Roman"/>
          <w:color w:val="000000"/>
          <w:sz w:val="20"/>
        </w:rPr>
        <w:t xml:space="preserve"> ☒</w:t>
      </w:r>
    </w:p>
    <w:p>
      <w:pPr>
        <w:pStyle w:val="TextBody"/>
        <w:bidi w:val="0"/>
        <w:spacing w:before="60" w:after="283"/>
        <w:jc w:val="left"/>
        <w:rPr>
          <w:rFonts w:ascii="Times New Roman" w:hAnsi="Times New Roman"/>
          <w:sz w:val="20"/>
        </w:rPr>
      </w:pPr>
      <w:r>
        <w:rPr>
          <w:rFonts w:ascii="Times New Roman" w:hAnsi="Times New Roman"/>
          <w:color w:val="000000"/>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Times New Roman" w:hAnsi="Times New Roman"/>
          <w:color w:val="000000"/>
          <w:sz w:val="16"/>
        </w:rPr>
        <w:t xml:space="preserve">No </w:t>
      </w:r>
      <w:r>
        <w:rPr>
          <w:rFonts w:ascii="Times New Roman" w:hAnsi="Times New Roman"/>
          <w:color w:val="000000"/>
          <w:sz w:val="20"/>
        </w:rPr>
        <w:t>☐</w:t>
      </w:r>
    </w:p>
    <w:p>
      <w:pPr>
        <w:pStyle w:val="TextBody"/>
        <w:bidi w:val="0"/>
        <w:spacing w:before="60" w:after="283"/>
        <w:jc w:val="left"/>
        <w:rPr>
          <w:rFonts w:ascii="Times New Roman" w:hAnsi="Times New Roman"/>
          <w:sz w:val="20"/>
        </w:rPr>
      </w:pPr>
      <w:r>
        <w:rPr>
          <w:rFonts w:ascii="Times New Roman" w:hAnsi="Times New Roman"/>
          <w:color w:val="000000"/>
          <w:sz w:val="16"/>
        </w:rPr>
        <w:t>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w:t>
      </w:r>
      <w:r>
        <w:rPr>
          <w:rFonts w:ascii="Times New Roman" w:hAnsi="Times New Roman"/>
          <w:color w:val="000000"/>
          <w:sz w:val="20"/>
        </w:rPr>
        <w:t xml:space="preserve"> ☒ </w:t>
      </w:r>
      <w:r>
        <w:rPr>
          <w:rFonts w:ascii="Times New Roman" w:hAnsi="Times New Roman"/>
          <w:color w:val="000000"/>
          <w:sz w:val="16"/>
        </w:rPr>
        <w:t xml:space="preserve">No </w:t>
      </w:r>
      <w:r>
        <w:rPr>
          <w:rFonts w:ascii="Times New Roman" w:hAnsi="Times New Roman"/>
          <w:color w:val="000000"/>
          <w:sz w:val="20"/>
        </w:rPr>
        <w:t>☐</w:t>
      </w:r>
    </w:p>
    <w:p>
      <w:pPr>
        <w:pStyle w:val="TextBody"/>
        <w:bidi w:val="0"/>
        <w:spacing w:before="60" w:after="283"/>
        <w:jc w:val="left"/>
        <w:rPr>
          <w:rFonts w:ascii="Times New Roman" w:hAnsi="Times New Roman"/>
          <w:color w:val="000000"/>
          <w:sz w:val="16"/>
        </w:rPr>
      </w:pPr>
      <w:r>
        <w:rPr>
          <w:rFonts w:ascii="Times New Roman" w:hAnsi="Times New Roman"/>
          <w:color w:val="000000"/>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4807" w:type="dxa"/>
        <w:jc w:val="left"/>
        <w:tblInd w:w="0" w:type="dxa"/>
        <w:tblLayout w:type="fixed"/>
        <w:tblCellMar>
          <w:top w:w="28" w:type="dxa"/>
          <w:left w:w="28" w:type="dxa"/>
          <w:bottom w:w="28" w:type="dxa"/>
          <w:right w:w="28" w:type="dxa"/>
        </w:tblCellMar>
      </w:tblPr>
      <w:tblGrid>
        <w:gridCol w:w="1666"/>
        <w:gridCol w:w="146"/>
        <w:gridCol w:w="316"/>
        <w:gridCol w:w="146"/>
        <w:gridCol w:w="2026"/>
        <w:gridCol w:w="146"/>
        <w:gridCol w:w="361"/>
      </w:tblGrid>
      <w:tr>
        <w:trPr/>
        <w:tc>
          <w:tcPr>
            <w:tcW w:w="16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6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Large 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666" w:type="dxa"/>
            <w:tcBorders/>
            <w:tcMar>
              <w:top w:w="0" w:type="dxa"/>
              <w:left w:w="0" w:type="dxa"/>
              <w:bottom w:w="0" w:type="dxa"/>
              <w:right w:w="0" w:type="dxa"/>
            </w:tcMar>
            <w:vAlign w:val="center"/>
          </w:tcPr>
          <w:p>
            <w:pPr>
              <w:pStyle w:val="TableContents"/>
              <w:bidi w:val="0"/>
              <w:spacing w:before="0" w:after="283"/>
              <w:jc w:val="left"/>
              <w:rPr/>
            </w:pPr>
            <w:r>
              <w:rPr/>
              <w:t> </w:t>
            </w:r>
          </w:p>
        </w:tc>
        <w:tc>
          <w:tcPr>
            <w:tcW w:w="46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217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50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Non-accelerated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Smaller reporting company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666" w:type="dxa"/>
            <w:tcBorders/>
            <w:tcMar>
              <w:top w:w="0" w:type="dxa"/>
              <w:left w:w="0" w:type="dxa"/>
              <w:bottom w:w="0" w:type="dxa"/>
              <w:right w:w="0" w:type="dxa"/>
            </w:tcMar>
            <w:vAlign w:val="center"/>
          </w:tcPr>
          <w:p>
            <w:pPr>
              <w:pStyle w:val="TableContents"/>
              <w:bidi w:val="0"/>
              <w:spacing w:before="0" w:after="283"/>
              <w:jc w:val="left"/>
              <w:rPr/>
            </w:pPr>
            <w:r>
              <w:rPr/>
              <w:t> </w:t>
            </w:r>
          </w:p>
        </w:tc>
        <w:tc>
          <w:tcPr>
            <w:tcW w:w="46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217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50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Emerging growth company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bl>
    <w:p>
      <w:pPr>
        <w:pStyle w:val="TextBody"/>
        <w:bidi w:val="0"/>
        <w:spacing w:before="40" w:after="283"/>
        <w:jc w:val="left"/>
        <w:rPr>
          <w:rFonts w:ascii="Times New Roman" w:hAnsi="Times New Roman"/>
          <w:sz w:val="20"/>
        </w:rPr>
      </w:pPr>
      <w:r>
        <w:rPr>
          <w:rFonts w:ascii="Times New Roman" w:hAnsi="Times New Roman"/>
          <w:color w:val="000000"/>
          <w:sz w:val="15"/>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w:t>
      </w:r>
    </w:p>
    <w:p>
      <w:pPr>
        <w:pStyle w:val="TextBody"/>
        <w:bidi w:val="0"/>
        <w:jc w:val="left"/>
        <w:rPr>
          <w:rFonts w:ascii="Times New Roman" w:hAnsi="Times New Roman"/>
          <w:sz w:val="20"/>
        </w:rPr>
      </w:pPr>
      <w:r>
        <w:rPr>
          <w:rFonts w:ascii="Times New Roman" w:hAnsi="Times New Roman"/>
          <w:color w:val="000000"/>
          <w:sz w:val="15"/>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Times New Roman" w:hAnsi="Times New Roman"/>
          <w:color w:val="000000"/>
          <w:sz w:val="20"/>
        </w:rPr>
        <w:t>☒</w:t>
      </w:r>
    </w:p>
    <w:p>
      <w:pPr>
        <w:pStyle w:val="TextBody"/>
        <w:bidi w:val="0"/>
        <w:spacing w:before="60" w:after="283"/>
        <w:jc w:val="left"/>
        <w:rPr>
          <w:rFonts w:ascii="Times New Roman" w:hAnsi="Times New Roman"/>
          <w:sz w:val="20"/>
        </w:rPr>
      </w:pPr>
      <w:r>
        <w:rPr>
          <w:rFonts w:ascii="Times New Roman" w:hAnsi="Times New Roman"/>
          <w:color w:val="231F20"/>
          <w:sz w:val="15"/>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Times New Roman" w:hAnsi="Times New Roman"/>
          <w:color w:val="000000"/>
          <w:sz w:val="20"/>
        </w:rPr>
        <w:t>☐</w:t>
      </w:r>
    </w:p>
    <w:p>
      <w:pPr>
        <w:pStyle w:val="TextBody"/>
        <w:bidi w:val="0"/>
        <w:spacing w:before="120" w:after="283"/>
        <w:jc w:val="left"/>
        <w:rPr>
          <w:rFonts w:ascii="Times New Roman" w:hAnsi="Times New Roman"/>
          <w:sz w:val="20"/>
        </w:rPr>
      </w:pPr>
      <w:r>
        <w:rPr>
          <w:rFonts w:ascii="Times New Roman" w:hAnsi="Times New Roman"/>
          <w:color w:val="231F20"/>
          <w:sz w:val="15"/>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Times New Roman" w:hAnsi="Times New Roman"/>
          <w:color w:val="000000"/>
          <w:sz w:val="20"/>
        </w:rPr>
        <w:t>☐</w:t>
      </w:r>
    </w:p>
    <w:p>
      <w:pPr>
        <w:pStyle w:val="TextBody"/>
        <w:bidi w:val="0"/>
        <w:spacing w:before="40" w:after="283"/>
        <w:jc w:val="left"/>
        <w:rPr>
          <w:rFonts w:ascii="Times New Roman" w:hAnsi="Times New Roman"/>
          <w:sz w:val="20"/>
        </w:rPr>
      </w:pPr>
      <w:r>
        <w:rPr>
          <w:rFonts w:ascii="Times New Roman" w:hAnsi="Times New Roman"/>
          <w:color w:val="000000"/>
          <w:sz w:val="15"/>
        </w:rPr>
        <w:t xml:space="preserve">Indicate by check mark whether the registrant is a shell company (as defined in Rule 12b-2 of the Exchange Act). Yes </w:t>
      </w:r>
      <w:r>
        <w:rPr>
          <w:rFonts w:ascii="Times New Roman" w:hAnsi="Times New Roman"/>
          <w:color w:val="000000"/>
          <w:sz w:val="20"/>
        </w:rPr>
        <w:t xml:space="preserve">☐ </w:t>
      </w:r>
      <w:r>
        <w:rPr>
          <w:rFonts w:ascii="Times New Roman" w:hAnsi="Times New Roman"/>
          <w:color w:val="000000"/>
          <w:sz w:val="15"/>
        </w:rPr>
        <w:t xml:space="preserve">No </w:t>
      </w:r>
      <w:r>
        <w:rPr>
          <w:rFonts w:ascii="Times New Roman" w:hAnsi="Times New Roman"/>
          <w:color w:val="000000"/>
          <w:sz w:val="20"/>
        </w:rPr>
        <w:t>☒</w:t>
      </w:r>
    </w:p>
    <w:p>
      <w:pPr>
        <w:pStyle w:val="TextBody"/>
        <w:bidi w:val="0"/>
        <w:spacing w:before="40" w:after="283"/>
        <w:jc w:val="left"/>
        <w:rPr>
          <w:rFonts w:ascii="Times New Roman" w:hAnsi="Times New Roman"/>
          <w:sz w:val="20"/>
        </w:rPr>
      </w:pPr>
      <w:r>
        <w:rPr>
          <w:rFonts w:ascii="Times New Roman" w:hAnsi="Times New Roman"/>
          <w:color w:val="000000"/>
          <w:sz w:val="15"/>
        </w:rPr>
        <w:t>The aggregate market value of voting stock held by non-affiliates at June 30, 2025 was $9.7</w:t>
      </w:r>
      <w:r>
        <w:rPr>
          <w:rFonts w:ascii="Times New Roman" w:hAnsi="Times New Roman"/>
          <w:color w:val="000000"/>
          <w:sz w:val="20"/>
        </w:rPr>
        <w:t xml:space="preserve"> </w:t>
      </w:r>
      <w:r>
        <w:rPr>
          <w:rFonts w:ascii="Times New Roman" w:hAnsi="Times New Roman"/>
          <w:color w:val="000000"/>
          <w:sz w:val="15"/>
        </w:rPr>
        <w:t>billion. (For the purpose of this calculation, it was assumed that Class A, Class C, and Class D Common Stock, which are not traded but are convertible share-for-share into Class B Common Stock, have the same market value as Class B Common Stock. Also, for purposes of this calculation only, all directors and certain executive officers are deemed to be affiliates.)</w:t>
      </w:r>
    </w:p>
    <w:p>
      <w:pPr>
        <w:pStyle w:val="TextBody"/>
        <w:bidi w:val="0"/>
        <w:spacing w:before="40" w:after="283"/>
        <w:jc w:val="left"/>
        <w:rPr>
          <w:rFonts w:ascii="Times New Roman" w:hAnsi="Times New Roman"/>
          <w:sz w:val="20"/>
        </w:rPr>
      </w:pPr>
      <w:r>
        <w:rPr>
          <w:rFonts w:ascii="Times New Roman" w:hAnsi="Times New Roman"/>
          <w:color w:val="000000"/>
          <w:sz w:val="15"/>
        </w:rPr>
        <w:t>The number of shares of the registrant’s Class A Common Stock, $.01 par value, Class B Common Stock, $.01 par value, Class C Common Stock, $.01 par value, and Class D Common Stock, $.01 par value, outstanding as of January 31, 2026, were 6,574,600; 53,837,855; 661,688</w:t>
      </w:r>
      <w:r>
        <w:rPr>
          <w:rFonts w:ascii="Times New Roman" w:hAnsi="Times New Roman"/>
          <w:color w:val="000000"/>
          <w:sz w:val="20"/>
        </w:rPr>
        <w:t xml:space="preserve"> </w:t>
      </w:r>
      <w:r>
        <w:rPr>
          <w:rFonts w:ascii="Times New Roman" w:hAnsi="Times New Roman"/>
          <w:color w:val="000000"/>
          <w:sz w:val="15"/>
        </w:rPr>
        <w:t>and 12,497, respectively.</w:t>
      </w:r>
    </w:p>
    <w:p>
      <w:pPr>
        <w:pStyle w:val="TextBody"/>
        <w:bidi w:val="0"/>
        <w:spacing w:before="40" w:after="283"/>
        <w:jc w:val="center"/>
        <w:rPr>
          <w:rFonts w:ascii="Times New Roman" w:hAnsi="Times New Roman"/>
          <w:b/>
          <w:color w:val="000000"/>
          <w:sz w:val="16"/>
        </w:rPr>
      </w:pPr>
      <w:r>
        <w:rPr>
          <w:rFonts w:ascii="Times New Roman" w:hAnsi="Times New Roman"/>
          <w:b/>
          <w:color w:val="000000"/>
          <w:sz w:val="16"/>
        </w:rPr>
        <w:t>DOCUMENTS INCORPORATED BY REFERENCE:</w:t>
      </w:r>
    </w:p>
    <w:p>
      <w:pPr>
        <w:pStyle w:val="TextBody"/>
        <w:bidi w:val="0"/>
        <w:spacing w:before="40" w:after="283"/>
        <w:jc w:val="left"/>
        <w:rPr>
          <w:rFonts w:ascii="Times New Roman" w:hAnsi="Times New Roman"/>
          <w:color w:val="000000"/>
          <w:sz w:val="16"/>
        </w:rPr>
      </w:pPr>
      <w:r>
        <w:rPr>
          <w:rFonts w:ascii="Times New Roman" w:hAnsi="Times New Roman"/>
          <w:color w:val="000000"/>
          <w:sz w:val="16"/>
        </w:rPr>
        <w:t>Portions of the registrant’s definitive proxy statement for our 2026 Annual Meeting of Stockholders, which will be filed with the Securities and Exchange Commission within 120 days after December 31, 2025 (incorporated by reference under Part III).</w:t>
      </w:r>
    </w:p>
    <w:p>
      <w:pPr>
        <w:pStyle w:val="TextBody"/>
        <w:pBdr>
          <w:bottom w:val="double" w:sz="6" w:space="1" w:color="000000"/>
        </w:pBdr>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UNIVERSAL HEALTH SERVICES, INC.</w:t>
      </w:r>
    </w:p>
    <w:p>
      <w:pPr>
        <w:pStyle w:val="TextBody"/>
        <w:bidi w:val="0"/>
        <w:jc w:val="center"/>
        <w:rPr>
          <w:rFonts w:ascii="Times New Roman" w:hAnsi="Times New Roman"/>
          <w:b/>
          <w:color w:val="000000"/>
          <w:sz w:val="20"/>
        </w:rPr>
      </w:pPr>
      <w:r>
        <w:rPr>
          <w:rFonts w:ascii="Times New Roman" w:hAnsi="Times New Roman"/>
          <w:b/>
          <w:color w:val="000000"/>
          <w:sz w:val="20"/>
        </w:rPr>
        <w:t>2025 FORM 10-K ANNUAL REPORT</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TABLE OF CONTENTS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44"/>
        <w:gridCol w:w="346"/>
        <w:gridCol w:w="8753"/>
        <w:gridCol w:w="362"/>
      </w:tblGrid>
      <w:tr>
        <w:trPr/>
        <w:tc>
          <w:tcPr>
            <w:tcW w:w="7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8753"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r>
      <w:tr>
        <w:trPr/>
        <w:tc>
          <w:tcPr>
            <w:tcW w:w="9843"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PART I</w:t>
            </w:r>
          </w:p>
        </w:tc>
        <w:tc>
          <w:tcPr>
            <w:tcW w:w="36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4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346" w:type="dxa"/>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8753" w:type="dxa"/>
            <w:tcBorders/>
            <w:tcMar>
              <w:top w:w="0" w:type="dxa"/>
              <w:left w:w="0" w:type="dxa"/>
              <w:bottom w:w="0" w:type="dxa"/>
              <w:right w:w="0" w:type="dxa"/>
            </w:tcMar>
            <w:vAlign w:val="center"/>
          </w:tcPr>
          <w:p>
            <w:pPr>
              <w:pStyle w:val="TableContents"/>
              <w:bidi w:val="0"/>
              <w:spacing w:before="0" w:after="283"/>
              <w:ind w:left="0" w:right="0" w:firstLine="200"/>
              <w:jc w:val="left"/>
              <w:rPr/>
            </w:pPr>
            <w:hyperlink w:anchor="item_1_business">
              <w:r>
                <w:rPr>
                  <w:rStyle w:val="InternetLink"/>
                  <w:rFonts w:ascii="Times New Roman" w:hAnsi="Times New Roman"/>
                  <w:color w:val="0000FF"/>
                  <w:sz w:val="20"/>
                  <w:u w:val="single"/>
                </w:rPr>
                <w:t>Business</w:t>
              </w:r>
            </w:hyperlink>
          </w:p>
        </w:tc>
        <w:tc>
          <w:tcPr>
            <w:tcW w:w="36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r>
      <w:tr>
        <w:trPr/>
        <w:tc>
          <w:tcPr>
            <w:tcW w:w="74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1A</w:t>
            </w:r>
          </w:p>
        </w:tc>
        <w:tc>
          <w:tcPr>
            <w:tcW w:w="346" w:type="dxa"/>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8753" w:type="dxa"/>
            <w:tcBorders/>
            <w:tcMar>
              <w:top w:w="0" w:type="dxa"/>
              <w:left w:w="0" w:type="dxa"/>
              <w:bottom w:w="0" w:type="dxa"/>
              <w:right w:w="0" w:type="dxa"/>
            </w:tcMar>
            <w:vAlign w:val="center"/>
          </w:tcPr>
          <w:p>
            <w:pPr>
              <w:pStyle w:val="TableContents"/>
              <w:bidi w:val="0"/>
              <w:spacing w:before="0" w:after="283"/>
              <w:ind w:left="0" w:right="0" w:firstLine="200"/>
              <w:jc w:val="left"/>
              <w:rPr/>
            </w:pPr>
            <w:hyperlink w:anchor="item_1a_risk_factors">
              <w:r>
                <w:rPr>
                  <w:rStyle w:val="InternetLink"/>
                  <w:rFonts w:ascii="Times New Roman" w:hAnsi="Times New Roman"/>
                  <w:color w:val="0000FF"/>
                  <w:sz w:val="20"/>
                  <w:u w:val="single"/>
                </w:rPr>
                <w:t>Risk Factors</w:t>
              </w:r>
            </w:hyperlink>
          </w:p>
        </w:tc>
        <w:tc>
          <w:tcPr>
            <w:tcW w:w="36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r>
      <w:tr>
        <w:trPr/>
        <w:tc>
          <w:tcPr>
            <w:tcW w:w="74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1B</w:t>
            </w:r>
          </w:p>
        </w:tc>
        <w:tc>
          <w:tcPr>
            <w:tcW w:w="346" w:type="dxa"/>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8753" w:type="dxa"/>
            <w:tcBorders/>
            <w:tcMar>
              <w:top w:w="0" w:type="dxa"/>
              <w:left w:w="0" w:type="dxa"/>
              <w:bottom w:w="0" w:type="dxa"/>
              <w:right w:w="0" w:type="dxa"/>
            </w:tcMar>
            <w:vAlign w:val="center"/>
          </w:tcPr>
          <w:p>
            <w:pPr>
              <w:pStyle w:val="TableContents"/>
              <w:bidi w:val="0"/>
              <w:spacing w:before="0" w:after="283"/>
              <w:ind w:left="0" w:right="0" w:firstLine="200"/>
              <w:jc w:val="left"/>
              <w:rPr/>
            </w:pPr>
            <w:hyperlink w:anchor="item_1b_unresolved_staff_comments">
              <w:r>
                <w:rPr>
                  <w:rStyle w:val="InternetLink"/>
                  <w:rFonts w:ascii="Times New Roman" w:hAnsi="Times New Roman"/>
                  <w:color w:val="0000FF"/>
                  <w:sz w:val="20"/>
                  <w:u w:val="single"/>
                </w:rPr>
                <w:t>Unresolved Staff Comments</w:t>
              </w:r>
            </w:hyperlink>
          </w:p>
        </w:tc>
        <w:tc>
          <w:tcPr>
            <w:tcW w:w="36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r>
      <w:tr>
        <w:trPr/>
        <w:tc>
          <w:tcPr>
            <w:tcW w:w="74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1C</w:t>
            </w:r>
          </w:p>
        </w:tc>
        <w:tc>
          <w:tcPr>
            <w:tcW w:w="346" w:type="dxa"/>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8753" w:type="dxa"/>
            <w:tcBorders/>
            <w:tcMar>
              <w:top w:w="0" w:type="dxa"/>
              <w:left w:w="0" w:type="dxa"/>
              <w:bottom w:w="0" w:type="dxa"/>
              <w:right w:w="0" w:type="dxa"/>
            </w:tcMar>
            <w:vAlign w:val="center"/>
          </w:tcPr>
          <w:p>
            <w:pPr>
              <w:pStyle w:val="TableContents"/>
              <w:bidi w:val="0"/>
              <w:spacing w:before="0" w:after="283"/>
              <w:ind w:left="0" w:right="0" w:firstLine="200"/>
              <w:jc w:val="left"/>
              <w:rPr/>
            </w:pPr>
            <w:hyperlink w:anchor="item_1c_cybersecurity">
              <w:r>
                <w:rPr>
                  <w:rStyle w:val="InternetLink"/>
                  <w:rFonts w:ascii="Times New Roman" w:hAnsi="Times New Roman"/>
                  <w:color w:val="0000FF"/>
                  <w:sz w:val="20"/>
                  <w:u w:val="single"/>
                </w:rPr>
                <w:t>Cybersecurity</w:t>
              </w:r>
            </w:hyperlink>
          </w:p>
        </w:tc>
        <w:tc>
          <w:tcPr>
            <w:tcW w:w="36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r>
      <w:tr>
        <w:trPr/>
        <w:tc>
          <w:tcPr>
            <w:tcW w:w="74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346" w:type="dxa"/>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8753" w:type="dxa"/>
            <w:tcBorders/>
            <w:tcMar>
              <w:top w:w="0" w:type="dxa"/>
              <w:left w:w="0" w:type="dxa"/>
              <w:bottom w:w="0" w:type="dxa"/>
              <w:right w:w="0" w:type="dxa"/>
            </w:tcMar>
            <w:vAlign w:val="center"/>
          </w:tcPr>
          <w:p>
            <w:pPr>
              <w:pStyle w:val="TableContents"/>
              <w:bidi w:val="0"/>
              <w:spacing w:before="0" w:after="283"/>
              <w:ind w:left="0" w:right="0" w:firstLine="200"/>
              <w:jc w:val="left"/>
              <w:rPr/>
            </w:pPr>
            <w:hyperlink w:anchor="item_2_properties">
              <w:r>
                <w:rPr>
                  <w:rStyle w:val="InternetLink"/>
                  <w:rFonts w:ascii="Times New Roman" w:hAnsi="Times New Roman"/>
                  <w:color w:val="0000FF"/>
                  <w:sz w:val="20"/>
                  <w:u w:val="single"/>
                </w:rPr>
                <w:t>Properties</w:t>
              </w:r>
            </w:hyperlink>
          </w:p>
        </w:tc>
        <w:tc>
          <w:tcPr>
            <w:tcW w:w="36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r>
      <w:tr>
        <w:trPr/>
        <w:tc>
          <w:tcPr>
            <w:tcW w:w="74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346" w:type="dxa"/>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8753" w:type="dxa"/>
            <w:tcBorders/>
            <w:tcMar>
              <w:top w:w="0" w:type="dxa"/>
              <w:left w:w="0" w:type="dxa"/>
              <w:bottom w:w="0" w:type="dxa"/>
              <w:right w:w="0" w:type="dxa"/>
            </w:tcMar>
            <w:vAlign w:val="center"/>
          </w:tcPr>
          <w:p>
            <w:pPr>
              <w:pStyle w:val="TableContents"/>
              <w:bidi w:val="0"/>
              <w:spacing w:before="0" w:after="283"/>
              <w:ind w:left="0" w:right="0" w:firstLine="200"/>
              <w:jc w:val="left"/>
              <w:rPr/>
            </w:pPr>
            <w:hyperlink w:anchor="item_3_legal_proceedings">
              <w:r>
                <w:rPr>
                  <w:rStyle w:val="InternetLink"/>
                  <w:rFonts w:ascii="Times New Roman" w:hAnsi="Times New Roman"/>
                  <w:color w:val="0000FF"/>
                  <w:sz w:val="20"/>
                  <w:u w:val="single"/>
                </w:rPr>
                <w:t>Legal Proceedings</w:t>
              </w:r>
            </w:hyperlink>
          </w:p>
        </w:tc>
        <w:tc>
          <w:tcPr>
            <w:tcW w:w="36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r>
      <w:tr>
        <w:trPr/>
        <w:tc>
          <w:tcPr>
            <w:tcW w:w="74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346" w:type="dxa"/>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8753" w:type="dxa"/>
            <w:tcBorders/>
            <w:tcMar>
              <w:top w:w="0" w:type="dxa"/>
              <w:left w:w="0" w:type="dxa"/>
              <w:bottom w:w="0" w:type="dxa"/>
              <w:right w:w="0" w:type="dxa"/>
            </w:tcMar>
            <w:vAlign w:val="center"/>
          </w:tcPr>
          <w:p>
            <w:pPr>
              <w:pStyle w:val="TableContents"/>
              <w:bidi w:val="0"/>
              <w:spacing w:before="0" w:after="283"/>
              <w:ind w:left="0" w:right="0" w:firstLine="200"/>
              <w:jc w:val="left"/>
              <w:rPr/>
            </w:pPr>
            <w:hyperlink w:anchor="item_4_mine_safety_disclosures">
              <w:r>
                <w:rPr>
                  <w:rStyle w:val="InternetLink"/>
                  <w:rFonts w:ascii="Times New Roman" w:hAnsi="Times New Roman"/>
                  <w:color w:val="0000FF"/>
                  <w:sz w:val="20"/>
                  <w:u w:val="single"/>
                </w:rPr>
                <w:t>Mine Safety Disclosure</w:t>
              </w:r>
            </w:hyperlink>
          </w:p>
        </w:tc>
        <w:tc>
          <w:tcPr>
            <w:tcW w:w="36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r>
      <w:tr>
        <w:trPr/>
        <w:tc>
          <w:tcPr>
            <w:tcW w:w="9843" w:type="dxa"/>
            <w:gridSpan w:val="3"/>
            <w:tcBorders/>
            <w:tcMar>
              <w:top w:w="0" w:type="dxa"/>
              <w:left w:w="0" w:type="dxa"/>
              <w:bottom w:w="0" w:type="dxa"/>
              <w:right w:w="0" w:type="dxa"/>
            </w:tcMar>
            <w:vAlign w:val="center"/>
          </w:tcPr>
          <w:p>
            <w:pPr>
              <w:pStyle w:val="TableContents"/>
              <w:bidi w:val="0"/>
              <w:spacing w:before="0" w:after="283"/>
              <w:jc w:val="left"/>
              <w:rPr/>
            </w:pPr>
            <w:r>
              <w:rPr/>
              <w:t> </w:t>
            </w:r>
          </w:p>
        </w:tc>
        <w:tc>
          <w:tcPr>
            <w:tcW w:w="36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843"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PART II</w:t>
            </w:r>
          </w:p>
        </w:tc>
        <w:tc>
          <w:tcPr>
            <w:tcW w:w="36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4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5</w:t>
            </w:r>
          </w:p>
        </w:tc>
        <w:tc>
          <w:tcPr>
            <w:tcW w:w="346" w:type="dxa"/>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8753" w:type="dxa"/>
            <w:tcBorders/>
            <w:tcMar>
              <w:top w:w="0" w:type="dxa"/>
              <w:left w:w="0" w:type="dxa"/>
              <w:bottom w:w="0" w:type="dxa"/>
              <w:right w:w="0" w:type="dxa"/>
            </w:tcMar>
            <w:vAlign w:val="center"/>
          </w:tcPr>
          <w:p>
            <w:pPr>
              <w:pStyle w:val="TableContents"/>
              <w:bidi w:val="0"/>
              <w:spacing w:before="0" w:after="283"/>
              <w:ind w:left="0" w:right="0" w:firstLine="200"/>
              <w:jc w:val="left"/>
              <w:rPr/>
            </w:pPr>
            <w:hyperlink w:anchor="item_5_market">
              <w:r>
                <w:rPr>
                  <w:rStyle w:val="InternetLink"/>
                  <w:rFonts w:ascii="Times New Roman" w:hAnsi="Times New Roman"/>
                  <w:color w:val="0000FF"/>
                  <w:sz w:val="20"/>
                  <w:u w:val="single"/>
                </w:rPr>
                <w:t>Market for Registrant’s Common Equity, Related Stockholder Matters and Issuer Purchases of Equity Securities</w:t>
              </w:r>
            </w:hyperlink>
          </w:p>
        </w:tc>
        <w:tc>
          <w:tcPr>
            <w:tcW w:w="36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r>
      <w:tr>
        <w:trPr/>
        <w:tc>
          <w:tcPr>
            <w:tcW w:w="74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6</w:t>
            </w:r>
          </w:p>
        </w:tc>
        <w:tc>
          <w:tcPr>
            <w:tcW w:w="346" w:type="dxa"/>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8753" w:type="dxa"/>
            <w:tcBorders/>
            <w:tcMar>
              <w:top w:w="0" w:type="dxa"/>
              <w:left w:w="0" w:type="dxa"/>
              <w:bottom w:w="0" w:type="dxa"/>
              <w:right w:w="0" w:type="dxa"/>
            </w:tcMar>
            <w:vAlign w:val="center"/>
          </w:tcPr>
          <w:p>
            <w:pPr>
              <w:pStyle w:val="TableContents"/>
              <w:bidi w:val="0"/>
              <w:spacing w:before="0" w:after="283"/>
              <w:ind w:left="0" w:right="0" w:firstLine="200"/>
              <w:jc w:val="left"/>
              <w:rPr/>
            </w:pPr>
            <w:hyperlink w:anchor="item_6_reserved">
              <w:r>
                <w:rPr>
                  <w:rStyle w:val="InternetLink"/>
                  <w:rFonts w:ascii="Times New Roman" w:hAnsi="Times New Roman"/>
                  <w:color w:val="0000FF"/>
                  <w:sz w:val="20"/>
                  <w:u w:val="single"/>
                </w:rPr>
                <w:t>[RESERVED]</w:t>
              </w:r>
            </w:hyperlink>
          </w:p>
        </w:tc>
        <w:tc>
          <w:tcPr>
            <w:tcW w:w="36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r>
      <w:tr>
        <w:trPr/>
        <w:tc>
          <w:tcPr>
            <w:tcW w:w="74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7</w:t>
            </w:r>
          </w:p>
        </w:tc>
        <w:tc>
          <w:tcPr>
            <w:tcW w:w="346" w:type="dxa"/>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8753" w:type="dxa"/>
            <w:tcBorders/>
            <w:tcMar>
              <w:top w:w="0" w:type="dxa"/>
              <w:left w:w="0" w:type="dxa"/>
              <w:bottom w:w="0" w:type="dxa"/>
              <w:right w:w="0" w:type="dxa"/>
            </w:tcMar>
            <w:vAlign w:val="center"/>
          </w:tcPr>
          <w:p>
            <w:pPr>
              <w:pStyle w:val="TableContents"/>
              <w:bidi w:val="0"/>
              <w:spacing w:before="0" w:after="283"/>
              <w:ind w:left="0" w:right="0" w:firstLine="200"/>
              <w:jc w:val="left"/>
              <w:rPr/>
            </w:pPr>
            <w:hyperlink w:anchor="item_7_managements_discussion_analysis_f">
              <w:r>
                <w:rPr>
                  <w:rStyle w:val="InternetLink"/>
                  <w:rFonts w:ascii="Times New Roman" w:hAnsi="Times New Roman"/>
                  <w:color w:val="0000FF"/>
                  <w:sz w:val="20"/>
                  <w:u w:val="single"/>
                </w:rPr>
                <w:t>Management’s Discussion and Analysis of Financial Condition and Results of Operations</w:t>
              </w:r>
            </w:hyperlink>
          </w:p>
        </w:tc>
        <w:tc>
          <w:tcPr>
            <w:tcW w:w="36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r>
      <w:tr>
        <w:trPr/>
        <w:tc>
          <w:tcPr>
            <w:tcW w:w="74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7A</w:t>
            </w:r>
          </w:p>
        </w:tc>
        <w:tc>
          <w:tcPr>
            <w:tcW w:w="346" w:type="dxa"/>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8753" w:type="dxa"/>
            <w:tcBorders/>
            <w:tcMar>
              <w:top w:w="0" w:type="dxa"/>
              <w:left w:w="0" w:type="dxa"/>
              <w:bottom w:w="0" w:type="dxa"/>
              <w:right w:w="0" w:type="dxa"/>
            </w:tcMar>
            <w:vAlign w:val="center"/>
          </w:tcPr>
          <w:p>
            <w:pPr>
              <w:pStyle w:val="TableContents"/>
              <w:bidi w:val="0"/>
              <w:spacing w:before="0" w:after="283"/>
              <w:ind w:left="0" w:right="0" w:firstLine="200"/>
              <w:jc w:val="left"/>
              <w:rPr/>
            </w:pPr>
            <w:hyperlink w:anchor="item_7a_quantitative_qualitative_disclos">
              <w:r>
                <w:rPr>
                  <w:rStyle w:val="InternetLink"/>
                  <w:rFonts w:ascii="Times New Roman" w:hAnsi="Times New Roman"/>
                  <w:color w:val="0000FF"/>
                  <w:sz w:val="20"/>
                  <w:u w:val="single"/>
                </w:rPr>
                <w:t>Quantitative and Qualitative Disclosures About Market Risk</w:t>
              </w:r>
            </w:hyperlink>
          </w:p>
        </w:tc>
        <w:tc>
          <w:tcPr>
            <w:tcW w:w="36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w:t>
            </w:r>
          </w:p>
        </w:tc>
      </w:tr>
      <w:tr>
        <w:trPr/>
        <w:tc>
          <w:tcPr>
            <w:tcW w:w="74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8</w:t>
            </w:r>
          </w:p>
        </w:tc>
        <w:tc>
          <w:tcPr>
            <w:tcW w:w="346" w:type="dxa"/>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8753" w:type="dxa"/>
            <w:tcBorders/>
            <w:tcMar>
              <w:top w:w="0" w:type="dxa"/>
              <w:left w:w="0" w:type="dxa"/>
              <w:bottom w:w="0" w:type="dxa"/>
              <w:right w:w="0" w:type="dxa"/>
            </w:tcMar>
            <w:vAlign w:val="center"/>
          </w:tcPr>
          <w:p>
            <w:pPr>
              <w:pStyle w:val="TableContents"/>
              <w:bidi w:val="0"/>
              <w:spacing w:before="0" w:after="283"/>
              <w:ind w:left="0" w:right="0" w:firstLine="200"/>
              <w:jc w:val="left"/>
              <w:rPr/>
            </w:pPr>
            <w:hyperlink w:anchor="item_8_financial_statements_supplementar">
              <w:r>
                <w:rPr>
                  <w:rStyle w:val="InternetLink"/>
                  <w:rFonts w:ascii="Times New Roman" w:hAnsi="Times New Roman"/>
                  <w:color w:val="0000FF"/>
                  <w:sz w:val="20"/>
                  <w:u w:val="single"/>
                </w:rPr>
                <w:t>Financial Statements and Supplementary Data</w:t>
              </w:r>
            </w:hyperlink>
          </w:p>
        </w:tc>
        <w:tc>
          <w:tcPr>
            <w:tcW w:w="36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w:t>
            </w:r>
          </w:p>
        </w:tc>
      </w:tr>
      <w:tr>
        <w:trPr/>
        <w:tc>
          <w:tcPr>
            <w:tcW w:w="74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9</w:t>
            </w:r>
          </w:p>
        </w:tc>
        <w:tc>
          <w:tcPr>
            <w:tcW w:w="346" w:type="dxa"/>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8753" w:type="dxa"/>
            <w:tcBorders/>
            <w:tcMar>
              <w:top w:w="0" w:type="dxa"/>
              <w:left w:w="0" w:type="dxa"/>
              <w:bottom w:w="0" w:type="dxa"/>
              <w:right w:w="0" w:type="dxa"/>
            </w:tcMar>
            <w:vAlign w:val="center"/>
          </w:tcPr>
          <w:p>
            <w:pPr>
              <w:pStyle w:val="TableContents"/>
              <w:bidi w:val="0"/>
              <w:spacing w:before="0" w:after="283"/>
              <w:ind w:left="0" w:right="0" w:firstLine="200"/>
              <w:jc w:val="left"/>
              <w:rPr/>
            </w:pPr>
            <w:hyperlink w:anchor="item_9_changes_in_disagreements_with_acc">
              <w:r>
                <w:rPr>
                  <w:rStyle w:val="InternetLink"/>
                  <w:rFonts w:ascii="Times New Roman" w:hAnsi="Times New Roman"/>
                  <w:color w:val="0000FF"/>
                  <w:sz w:val="20"/>
                  <w:u w:val="single"/>
                </w:rPr>
                <w:t>Changes in and Disagreements with Accountants on Accounting and Financial Disclosure</w:t>
              </w:r>
            </w:hyperlink>
          </w:p>
        </w:tc>
        <w:tc>
          <w:tcPr>
            <w:tcW w:w="36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w:t>
            </w:r>
          </w:p>
        </w:tc>
      </w:tr>
      <w:tr>
        <w:trPr/>
        <w:tc>
          <w:tcPr>
            <w:tcW w:w="74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9A</w:t>
            </w:r>
          </w:p>
        </w:tc>
        <w:tc>
          <w:tcPr>
            <w:tcW w:w="346" w:type="dxa"/>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8753" w:type="dxa"/>
            <w:tcBorders/>
            <w:tcMar>
              <w:top w:w="0" w:type="dxa"/>
              <w:left w:w="0" w:type="dxa"/>
              <w:bottom w:w="0" w:type="dxa"/>
              <w:right w:w="0" w:type="dxa"/>
            </w:tcMar>
            <w:vAlign w:val="center"/>
          </w:tcPr>
          <w:p>
            <w:pPr>
              <w:pStyle w:val="TableContents"/>
              <w:bidi w:val="0"/>
              <w:spacing w:before="0" w:after="283"/>
              <w:ind w:left="0" w:right="0" w:firstLine="200"/>
              <w:jc w:val="left"/>
              <w:rPr/>
            </w:pPr>
            <w:hyperlink w:anchor="item_9a_controls_procedures">
              <w:r>
                <w:rPr>
                  <w:rStyle w:val="InternetLink"/>
                  <w:rFonts w:ascii="Times New Roman" w:hAnsi="Times New Roman"/>
                  <w:color w:val="0000FF"/>
                  <w:sz w:val="20"/>
                  <w:u w:val="single"/>
                </w:rPr>
                <w:t>Controls and Procedures</w:t>
              </w:r>
            </w:hyperlink>
          </w:p>
        </w:tc>
        <w:tc>
          <w:tcPr>
            <w:tcW w:w="36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w:t>
            </w:r>
          </w:p>
        </w:tc>
      </w:tr>
      <w:tr>
        <w:trPr/>
        <w:tc>
          <w:tcPr>
            <w:tcW w:w="74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9B</w:t>
            </w:r>
          </w:p>
        </w:tc>
        <w:tc>
          <w:tcPr>
            <w:tcW w:w="346" w:type="dxa"/>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8753" w:type="dxa"/>
            <w:tcBorders/>
            <w:tcMar>
              <w:top w:w="0" w:type="dxa"/>
              <w:left w:w="0" w:type="dxa"/>
              <w:bottom w:w="0" w:type="dxa"/>
              <w:right w:w="0" w:type="dxa"/>
            </w:tcMar>
            <w:vAlign w:val="center"/>
          </w:tcPr>
          <w:p>
            <w:pPr>
              <w:pStyle w:val="TableContents"/>
              <w:bidi w:val="0"/>
              <w:spacing w:before="0" w:after="283"/>
              <w:ind w:left="0" w:right="0" w:firstLine="200"/>
              <w:jc w:val="left"/>
              <w:rPr/>
            </w:pPr>
            <w:hyperlink w:anchor="item_9b_or_information">
              <w:r>
                <w:rPr>
                  <w:rStyle w:val="InternetLink"/>
                  <w:rFonts w:ascii="Times New Roman" w:hAnsi="Times New Roman"/>
                  <w:color w:val="0000FF"/>
                  <w:sz w:val="20"/>
                  <w:u w:val="single"/>
                </w:rPr>
                <w:t>Other Information</w:t>
              </w:r>
            </w:hyperlink>
          </w:p>
        </w:tc>
        <w:tc>
          <w:tcPr>
            <w:tcW w:w="36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w:t>
            </w:r>
          </w:p>
        </w:tc>
      </w:tr>
      <w:tr>
        <w:trPr/>
        <w:tc>
          <w:tcPr>
            <w:tcW w:w="74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9C</w:t>
            </w:r>
          </w:p>
        </w:tc>
        <w:tc>
          <w:tcPr>
            <w:tcW w:w="346" w:type="dxa"/>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8753" w:type="dxa"/>
            <w:tcBorders/>
            <w:tcMar>
              <w:top w:w="0" w:type="dxa"/>
              <w:left w:w="0" w:type="dxa"/>
              <w:bottom w:w="0" w:type="dxa"/>
              <w:right w:w="0" w:type="dxa"/>
            </w:tcMar>
            <w:vAlign w:val="center"/>
          </w:tcPr>
          <w:p>
            <w:pPr>
              <w:pStyle w:val="TableContents"/>
              <w:bidi w:val="0"/>
              <w:spacing w:before="0" w:after="283"/>
              <w:ind w:left="0" w:right="0" w:firstLine="200"/>
              <w:jc w:val="left"/>
              <w:rPr/>
            </w:pPr>
            <w:hyperlink w:anchor="item_9c_disclosure_regarding_foreign">
              <w:r>
                <w:rPr>
                  <w:rStyle w:val="InternetLink"/>
                  <w:rFonts w:ascii="Times New Roman" w:hAnsi="Times New Roman"/>
                  <w:color w:val="0000FF"/>
                  <w:sz w:val="20"/>
                  <w:u w:val="single"/>
                </w:rPr>
                <w:t>Disclosure Regarding Foreign Jurisdictions that Prevent Inspections</w:t>
              </w:r>
            </w:hyperlink>
          </w:p>
        </w:tc>
        <w:tc>
          <w:tcPr>
            <w:tcW w:w="36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w:t>
            </w:r>
          </w:p>
        </w:tc>
      </w:tr>
      <w:tr>
        <w:trPr/>
        <w:tc>
          <w:tcPr>
            <w:tcW w:w="744" w:type="dxa"/>
            <w:tcBorders/>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8753" w:type="dxa"/>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6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843" w:type="dxa"/>
            <w:gridSpan w:val="3"/>
            <w:tcBorders/>
            <w:tcMar>
              <w:top w:w="0" w:type="dxa"/>
              <w:left w:w="0" w:type="dxa"/>
              <w:bottom w:w="0" w:type="dxa"/>
              <w:right w:w="0" w:type="dxa"/>
            </w:tcMar>
            <w:vAlign w:val="center"/>
          </w:tcPr>
          <w:p>
            <w:pPr>
              <w:pStyle w:val="TableContents"/>
              <w:bidi w:val="0"/>
              <w:spacing w:before="0" w:after="283"/>
              <w:jc w:val="left"/>
              <w:rPr/>
            </w:pPr>
            <w:r>
              <w:rPr/>
              <w:t> </w:t>
            </w:r>
          </w:p>
        </w:tc>
        <w:tc>
          <w:tcPr>
            <w:tcW w:w="36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843"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PART III</w:t>
            </w:r>
          </w:p>
        </w:tc>
        <w:tc>
          <w:tcPr>
            <w:tcW w:w="36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4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10</w:t>
            </w:r>
          </w:p>
        </w:tc>
        <w:tc>
          <w:tcPr>
            <w:tcW w:w="346" w:type="dxa"/>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8753" w:type="dxa"/>
            <w:tcBorders/>
            <w:tcMar>
              <w:top w:w="0" w:type="dxa"/>
              <w:left w:w="0" w:type="dxa"/>
              <w:bottom w:w="0" w:type="dxa"/>
              <w:right w:w="0" w:type="dxa"/>
            </w:tcMar>
            <w:vAlign w:val="center"/>
          </w:tcPr>
          <w:p>
            <w:pPr>
              <w:pStyle w:val="TableContents"/>
              <w:bidi w:val="0"/>
              <w:spacing w:before="0" w:after="283"/>
              <w:ind w:left="0" w:right="0" w:firstLine="200"/>
              <w:jc w:val="left"/>
              <w:rPr/>
            </w:pPr>
            <w:hyperlink w:anchor="item_10_directors_executive_ficers_corpo">
              <w:r>
                <w:rPr>
                  <w:rStyle w:val="InternetLink"/>
                  <w:rFonts w:ascii="Times New Roman" w:hAnsi="Times New Roman"/>
                  <w:color w:val="0000FF"/>
                  <w:sz w:val="20"/>
                  <w:u w:val="single"/>
                </w:rPr>
                <w:t>Directors, Executive Officers and Corporate Governance</w:t>
              </w:r>
            </w:hyperlink>
          </w:p>
        </w:tc>
        <w:tc>
          <w:tcPr>
            <w:tcW w:w="36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w:t>
            </w:r>
          </w:p>
        </w:tc>
      </w:tr>
      <w:tr>
        <w:trPr/>
        <w:tc>
          <w:tcPr>
            <w:tcW w:w="74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11</w:t>
            </w:r>
          </w:p>
        </w:tc>
        <w:tc>
          <w:tcPr>
            <w:tcW w:w="346" w:type="dxa"/>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8753" w:type="dxa"/>
            <w:tcBorders/>
            <w:tcMar>
              <w:top w:w="0" w:type="dxa"/>
              <w:left w:w="0" w:type="dxa"/>
              <w:bottom w:w="0" w:type="dxa"/>
              <w:right w:w="0" w:type="dxa"/>
            </w:tcMar>
            <w:vAlign w:val="center"/>
          </w:tcPr>
          <w:p>
            <w:pPr>
              <w:pStyle w:val="TableContents"/>
              <w:bidi w:val="0"/>
              <w:spacing w:before="0" w:after="283"/>
              <w:ind w:left="0" w:right="0" w:firstLine="200"/>
              <w:jc w:val="left"/>
              <w:rPr/>
            </w:pPr>
            <w:hyperlink w:anchor="item_11_executive_compensation">
              <w:r>
                <w:rPr>
                  <w:rStyle w:val="InternetLink"/>
                  <w:rFonts w:ascii="Times New Roman" w:hAnsi="Times New Roman"/>
                  <w:color w:val="0000FF"/>
                  <w:sz w:val="20"/>
                  <w:u w:val="single"/>
                </w:rPr>
                <w:t>Executive Compensation</w:t>
              </w:r>
            </w:hyperlink>
          </w:p>
        </w:tc>
        <w:tc>
          <w:tcPr>
            <w:tcW w:w="36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w:t>
            </w:r>
          </w:p>
        </w:tc>
      </w:tr>
      <w:tr>
        <w:trPr/>
        <w:tc>
          <w:tcPr>
            <w:tcW w:w="74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12</w:t>
            </w:r>
          </w:p>
        </w:tc>
        <w:tc>
          <w:tcPr>
            <w:tcW w:w="346" w:type="dxa"/>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8753" w:type="dxa"/>
            <w:tcBorders/>
            <w:tcMar>
              <w:top w:w="0" w:type="dxa"/>
              <w:left w:w="0" w:type="dxa"/>
              <w:bottom w:w="0" w:type="dxa"/>
              <w:right w:w="0" w:type="dxa"/>
            </w:tcMar>
            <w:vAlign w:val="center"/>
          </w:tcPr>
          <w:p>
            <w:pPr>
              <w:pStyle w:val="TableContents"/>
              <w:bidi w:val="0"/>
              <w:spacing w:before="0" w:after="283"/>
              <w:ind w:left="0" w:right="0" w:firstLine="200"/>
              <w:jc w:val="left"/>
              <w:rPr/>
            </w:pPr>
            <w:hyperlink w:anchor="item_12_security_ownership_certain_benef">
              <w:r>
                <w:rPr>
                  <w:rStyle w:val="InternetLink"/>
                  <w:rFonts w:ascii="Times New Roman" w:hAnsi="Times New Roman"/>
                  <w:color w:val="0000FF"/>
                  <w:sz w:val="20"/>
                  <w:u w:val="single"/>
                </w:rPr>
                <w:t>Security Ownership of Certain Beneficial Owners and Management and Related Stockholder Matters</w:t>
              </w:r>
            </w:hyperlink>
          </w:p>
        </w:tc>
        <w:tc>
          <w:tcPr>
            <w:tcW w:w="36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w:t>
            </w:r>
          </w:p>
        </w:tc>
      </w:tr>
      <w:tr>
        <w:trPr/>
        <w:tc>
          <w:tcPr>
            <w:tcW w:w="74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13</w:t>
            </w:r>
          </w:p>
        </w:tc>
        <w:tc>
          <w:tcPr>
            <w:tcW w:w="346" w:type="dxa"/>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8753" w:type="dxa"/>
            <w:tcBorders/>
            <w:tcMar>
              <w:top w:w="0" w:type="dxa"/>
              <w:left w:w="0" w:type="dxa"/>
              <w:bottom w:w="0" w:type="dxa"/>
              <w:right w:w="0" w:type="dxa"/>
            </w:tcMar>
            <w:vAlign w:val="center"/>
          </w:tcPr>
          <w:p>
            <w:pPr>
              <w:pStyle w:val="TableContents"/>
              <w:bidi w:val="0"/>
              <w:spacing w:before="0" w:after="283"/>
              <w:ind w:left="0" w:right="0" w:firstLine="200"/>
              <w:jc w:val="left"/>
              <w:rPr/>
            </w:pPr>
            <w:hyperlink w:anchor="item_13_certain_relationships_related_tr">
              <w:r>
                <w:rPr>
                  <w:rStyle w:val="InternetLink"/>
                  <w:rFonts w:ascii="Times New Roman" w:hAnsi="Times New Roman"/>
                  <w:color w:val="0000FF"/>
                  <w:sz w:val="20"/>
                  <w:u w:val="single"/>
                </w:rPr>
                <w:t>Certain Relationships and Related Transactions, and Director Independence</w:t>
              </w:r>
            </w:hyperlink>
          </w:p>
        </w:tc>
        <w:tc>
          <w:tcPr>
            <w:tcW w:w="36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w:t>
            </w:r>
          </w:p>
        </w:tc>
      </w:tr>
      <w:tr>
        <w:trPr/>
        <w:tc>
          <w:tcPr>
            <w:tcW w:w="74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14</w:t>
            </w:r>
          </w:p>
        </w:tc>
        <w:tc>
          <w:tcPr>
            <w:tcW w:w="346" w:type="dxa"/>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8753" w:type="dxa"/>
            <w:tcBorders/>
            <w:tcMar>
              <w:top w:w="0" w:type="dxa"/>
              <w:left w:w="0" w:type="dxa"/>
              <w:bottom w:w="0" w:type="dxa"/>
              <w:right w:w="0" w:type="dxa"/>
            </w:tcMar>
            <w:vAlign w:val="center"/>
          </w:tcPr>
          <w:p>
            <w:pPr>
              <w:pStyle w:val="TableContents"/>
              <w:bidi w:val="0"/>
              <w:spacing w:before="0" w:after="283"/>
              <w:ind w:left="0" w:right="0" w:firstLine="200"/>
              <w:jc w:val="left"/>
              <w:rPr/>
            </w:pPr>
            <w:hyperlink w:anchor="item_14_principal_accountant_fees_servic">
              <w:r>
                <w:rPr>
                  <w:rStyle w:val="InternetLink"/>
                  <w:rFonts w:ascii="Times New Roman" w:hAnsi="Times New Roman"/>
                  <w:color w:val="0000FF"/>
                  <w:sz w:val="20"/>
                  <w:u w:val="single"/>
                </w:rPr>
                <w:t>Principal Accountant Fees and Services</w:t>
              </w:r>
            </w:hyperlink>
          </w:p>
        </w:tc>
        <w:tc>
          <w:tcPr>
            <w:tcW w:w="36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w:t>
            </w:r>
          </w:p>
        </w:tc>
      </w:tr>
      <w:tr>
        <w:trPr/>
        <w:tc>
          <w:tcPr>
            <w:tcW w:w="9843" w:type="dxa"/>
            <w:gridSpan w:val="3"/>
            <w:tcBorders/>
            <w:tcMar>
              <w:top w:w="0" w:type="dxa"/>
              <w:left w:w="0" w:type="dxa"/>
              <w:bottom w:w="0" w:type="dxa"/>
              <w:right w:w="0" w:type="dxa"/>
            </w:tcMar>
            <w:vAlign w:val="center"/>
          </w:tcPr>
          <w:p>
            <w:pPr>
              <w:pStyle w:val="TableContents"/>
              <w:bidi w:val="0"/>
              <w:spacing w:before="0" w:after="283"/>
              <w:jc w:val="left"/>
              <w:rPr/>
            </w:pPr>
            <w:r>
              <w:rPr/>
              <w:t> </w:t>
            </w:r>
          </w:p>
        </w:tc>
        <w:tc>
          <w:tcPr>
            <w:tcW w:w="36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843"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PART IV</w:t>
            </w:r>
          </w:p>
        </w:tc>
        <w:tc>
          <w:tcPr>
            <w:tcW w:w="36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4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15</w:t>
            </w:r>
          </w:p>
        </w:tc>
        <w:tc>
          <w:tcPr>
            <w:tcW w:w="346" w:type="dxa"/>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8753" w:type="dxa"/>
            <w:tcBorders/>
            <w:tcMar>
              <w:top w:w="0" w:type="dxa"/>
              <w:left w:w="0" w:type="dxa"/>
              <w:bottom w:w="0" w:type="dxa"/>
              <w:right w:w="0" w:type="dxa"/>
            </w:tcMar>
            <w:vAlign w:val="center"/>
          </w:tcPr>
          <w:p>
            <w:pPr>
              <w:pStyle w:val="TableContents"/>
              <w:bidi w:val="0"/>
              <w:spacing w:before="0" w:after="283"/>
              <w:ind w:left="0" w:right="0" w:firstLine="200"/>
              <w:jc w:val="left"/>
              <w:rPr/>
            </w:pPr>
            <w:hyperlink w:anchor="item_15_exhibits_financial_statement_sch">
              <w:r>
                <w:rPr>
                  <w:rStyle w:val="InternetLink"/>
                  <w:rFonts w:ascii="Times New Roman" w:hAnsi="Times New Roman"/>
                  <w:color w:val="0000FF"/>
                  <w:sz w:val="20"/>
                  <w:u w:val="single"/>
                </w:rPr>
                <w:t>Exhibits and Financial Statement Schedules</w:t>
              </w:r>
            </w:hyperlink>
          </w:p>
        </w:tc>
        <w:tc>
          <w:tcPr>
            <w:tcW w:w="36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w:t>
            </w:r>
          </w:p>
        </w:tc>
      </w:tr>
      <w:tr>
        <w:trPr/>
        <w:tc>
          <w:tcPr>
            <w:tcW w:w="74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16</w:t>
            </w:r>
          </w:p>
        </w:tc>
        <w:tc>
          <w:tcPr>
            <w:tcW w:w="346" w:type="dxa"/>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8753" w:type="dxa"/>
            <w:tcBorders/>
            <w:tcMar>
              <w:top w:w="0" w:type="dxa"/>
              <w:left w:w="0" w:type="dxa"/>
              <w:bottom w:w="0" w:type="dxa"/>
              <w:right w:w="0" w:type="dxa"/>
            </w:tcMar>
            <w:vAlign w:val="center"/>
          </w:tcPr>
          <w:p>
            <w:pPr>
              <w:pStyle w:val="TableContents"/>
              <w:bidi w:val="0"/>
              <w:spacing w:before="0" w:after="283"/>
              <w:ind w:left="0" w:right="0" w:firstLine="200"/>
              <w:jc w:val="left"/>
              <w:rPr/>
            </w:pPr>
            <w:hyperlink w:anchor="item_16_form_10_k_summary">
              <w:r>
                <w:rPr>
                  <w:rStyle w:val="InternetLink"/>
                  <w:rFonts w:ascii="Times New Roman" w:hAnsi="Times New Roman"/>
                  <w:color w:val="0000FF"/>
                  <w:sz w:val="20"/>
                  <w:u w:val="single"/>
                </w:rPr>
                <w:t>Form 10-K Summary</w:t>
              </w:r>
            </w:hyperlink>
          </w:p>
        </w:tc>
        <w:tc>
          <w:tcPr>
            <w:tcW w:w="36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w:t>
            </w:r>
          </w:p>
        </w:tc>
      </w:tr>
      <w:tr>
        <w:trPr/>
        <w:tc>
          <w:tcPr>
            <w:tcW w:w="744" w:type="dxa"/>
            <w:tcBorders/>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8753" w:type="dxa"/>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6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843" w:type="dxa"/>
            <w:gridSpan w:val="3"/>
            <w:tcBorders/>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Times New Roman" w:hAnsi="Times New Roman"/>
                  <w:color w:val="0000FF"/>
                  <w:sz w:val="20"/>
                  <w:u w:val="single"/>
                </w:rPr>
                <w:t>SIGNATURES</w:t>
              </w:r>
            </w:hyperlink>
          </w:p>
        </w:tc>
        <w:tc>
          <w:tcPr>
            <w:tcW w:w="36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w:t>
            </w:r>
          </w:p>
        </w:tc>
      </w:tr>
    </w:tbl>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This Annual Report on Form 10-K is for the year ended December 31, 2025. This Annual Report modifies and supersedes documents filed prior to this Annual Report. Information that we file with the Securities and Exchange Commission (the “SEC”) in the future will automatically update and supersede information contained in this Annual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this Annual Report, “we,” “us,” “our” “UHS” and the “Company” refer to Universal Health Services, Inc. and its subsidiaries. UHS is a registered trademark of UHS of Delaware, Inc., the management company for, and a wholly-owned subsidiary of Universal Health Services, Inc. Universal Health Services, Inc. is a holding company and operates through its subsidiaries including its management company, UHS of Delaware, Inc. All healthcare and management operations are conducted by subsidiaries of Universal Health Services, Inc. To the extent any reference to “UHS” or “UHS facilities” in this report including letters, narratives or other forms contained herein relates to our healthcare or management operations it is referring to Universal Health Services, Inc.’s subsidiaries including UHS of Delaware, Inc. Further, the terms “we,” “us,” “our” or the “Company” in such context similarly refer to the operations of Universal Health Services Inc.’s subsidiaries including UHS of Delaware, Inc. Any reference to employees or employment contained herein refers to employment with or employees of the subsidiaries of Universal Health Services, Inc. including UHS of Delaware, Inc.</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2" w:name="part_i"/>
      <w:bookmarkEnd w:id="2"/>
      <w:r>
        <w:rPr>
          <w:rFonts w:ascii="Times New Roman" w:hAnsi="Times New Roman"/>
          <w:b/>
          <w:color w:val="000000"/>
          <w:sz w:val="20"/>
        </w:rPr>
        <w:t>PART</w:t>
      </w:r>
      <w:r>
        <w:rPr>
          <w:rFonts w:ascii="Times New Roman" w:hAnsi="Times New Roman"/>
          <w:color w:val="000000"/>
          <w:sz w:val="20"/>
        </w:rPr>
        <w:t xml:space="preserve"> </w:t>
      </w:r>
      <w:r>
        <w:rPr>
          <w:rFonts w:ascii="Times New Roman" w:hAnsi="Times New Roman"/>
          <w:b/>
          <w:color w:val="000000"/>
          <w:sz w:val="20"/>
        </w:rPr>
        <w:t>I</w:t>
      </w:r>
    </w:p>
    <w:p>
      <w:pPr>
        <w:pStyle w:val="TextBody"/>
        <w:bidi w:val="0"/>
        <w:spacing w:before="240" w:after="283"/>
        <w:jc w:val="left"/>
        <w:rPr>
          <w:rFonts w:ascii="Times New Roman" w:hAnsi="Times New Roman"/>
          <w:sz w:val="20"/>
        </w:rPr>
      </w:pPr>
      <w:bookmarkStart w:id="3" w:name="item_1_business"/>
      <w:bookmarkEnd w:id="3"/>
      <w:r>
        <w:rPr>
          <w:rFonts w:ascii="Times New Roman" w:hAnsi="Times New Roman"/>
          <w:b/>
          <w:color w:val="000000"/>
          <w:sz w:val="20"/>
        </w:rPr>
        <w:t xml:space="preserve">ITEM 1. </w:t>
      </w:r>
      <w:r>
        <w:rPr>
          <w:rFonts w:ascii="Times New Roman" w:hAnsi="Times New Roman"/>
          <w:b/>
          <w:i/>
          <w:color w:val="000000"/>
          <w:sz w:val="20"/>
        </w:rPr>
        <w:t>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principal business is owning and operating, through our subsidiaries, acute care hospitals and outpatient facilities and behavioral health care facilities.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February 25, 2026, we owned and/or operated 375 inpatient facilities and 168 outpatient and other facilities located in 40 states, Washington, D.C., the United Kingdom and Puerto Rico. We have changed the method of our outpatient behavioral health care facility counts during the third quarter of 2025 and substantially all of the increase from prior periods is related to that change in convention. </w:t>
      </w:r>
    </w:p>
    <w:p>
      <w:pPr>
        <w:pStyle w:val="TextBody"/>
        <w:bidi w:val="0"/>
        <w:spacing w:before="120" w:after="283"/>
        <w:jc w:val="left"/>
        <w:rPr>
          <w:rFonts w:ascii="Times New Roman" w:hAnsi="Times New Roman"/>
          <w:b/>
          <w:i/>
          <w:color w:val="000000"/>
          <w:sz w:val="20"/>
          <w:u w:val="single"/>
        </w:rPr>
      </w:pPr>
      <w:r>
        <w:rPr>
          <w:rFonts w:ascii="Times New Roman" w:hAnsi="Times New Roman"/>
          <w:b/>
          <w:i/>
          <w:color w:val="000000"/>
          <w:sz w:val="20"/>
          <w:u w:val="single"/>
        </w:rPr>
        <w:t>Acute care facilities located in the U.S.:</w:t>
      </w:r>
    </w:p>
    <w:p>
      <w:pPr>
        <w:pStyle w:val="TextBody"/>
        <w:bidi w:val="0"/>
        <w:spacing w:before="60" w:after="283"/>
        <w:jc w:val="left"/>
        <w:rPr>
          <w:color w:val="000000"/>
        </w:rPr>
      </w:pPr>
      <w:r>
        <w:rPr>
          <w:color w:val="000000"/>
        </w:rPr>
        <w:t>•</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29 inpatient acute care hospitals;</w:t>
      </w:r>
    </w:p>
    <w:p>
      <w:pPr>
        <w:pStyle w:val="TextBody"/>
        <w:bidi w:val="0"/>
        <w:spacing w:before="60" w:after="283"/>
        <w:jc w:val="left"/>
        <w:rPr>
          <w:color w:val="000000"/>
        </w:rPr>
      </w:pPr>
      <w:r>
        <w:rPr>
          <w:color w:val="000000"/>
        </w:rPr>
        <w:t>•</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35 free-standing emergency departments, and;</w:t>
      </w:r>
    </w:p>
    <w:p>
      <w:pPr>
        <w:pStyle w:val="TextBody"/>
        <w:bidi w:val="0"/>
        <w:spacing w:before="60" w:after="283"/>
        <w:jc w:val="left"/>
        <w:rPr>
          <w:color w:val="000000"/>
        </w:rPr>
      </w:pPr>
      <w:r>
        <w:rPr>
          <w:color w:val="000000"/>
        </w:rPr>
        <w:t>•</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13 outpatient centers &amp; 1 surgical hospital.</w:t>
      </w:r>
    </w:p>
    <w:p>
      <w:pPr>
        <w:pStyle w:val="TextBody"/>
        <w:bidi w:val="0"/>
        <w:spacing w:before="120" w:after="283"/>
        <w:jc w:val="left"/>
        <w:rPr>
          <w:rFonts w:ascii="Times New Roman" w:hAnsi="Times New Roman"/>
          <w:sz w:val="20"/>
        </w:rPr>
      </w:pPr>
      <w:r>
        <w:rPr>
          <w:rFonts w:ascii="Times New Roman" w:hAnsi="Times New Roman"/>
          <w:b/>
          <w:i/>
          <w:color w:val="000000"/>
          <w:sz w:val="20"/>
          <w:u w:val="single"/>
        </w:rPr>
        <w:t>Behavioral health care facilities (346 inpatient facilities and 119 outpatient facilities):</w:t>
      </w:r>
      <w:r>
        <w:rPr>
          <w:rFonts w:ascii="Times New Roman" w:hAnsi="Times New Roman"/>
          <w:color w:val="000000"/>
          <w:sz w:val="20"/>
        </w:rPr>
        <w:t xml:space="preserve"> </w:t>
      </w:r>
    </w:p>
    <w:p>
      <w:pPr>
        <w:pStyle w:val="TextBody"/>
        <w:bidi w:val="0"/>
        <w:spacing w:before="120" w:after="283"/>
        <w:jc w:val="left"/>
        <w:rPr>
          <w:rFonts w:ascii="Times New Roman" w:hAnsi="Times New Roman"/>
          <w:b/>
          <w:i/>
          <w:color w:val="000000"/>
          <w:sz w:val="20"/>
          <w:u w:val="single"/>
        </w:rPr>
      </w:pPr>
      <w:r>
        <w:rPr>
          <w:rFonts w:ascii="Times New Roman" w:hAnsi="Times New Roman"/>
          <w:b/>
          <w:i/>
          <w:color w:val="000000"/>
          <w:sz w:val="20"/>
          <w:u w:val="single"/>
        </w:rPr>
        <w:t>Located in the U.S.:</w:t>
      </w:r>
    </w:p>
    <w:p>
      <w:pPr>
        <w:pStyle w:val="TextBody"/>
        <w:bidi w:val="0"/>
        <w:spacing w:before="60" w:after="283"/>
        <w:jc w:val="left"/>
        <w:rPr>
          <w:color w:val="000000"/>
        </w:rPr>
      </w:pPr>
      <w:r>
        <w:rPr>
          <w:color w:val="000000"/>
        </w:rPr>
        <w:t>•</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182 inpatient behavioral health care facilities, and;</w:t>
      </w:r>
    </w:p>
    <w:p>
      <w:pPr>
        <w:pStyle w:val="TextBody"/>
        <w:bidi w:val="0"/>
        <w:spacing w:before="60" w:after="283"/>
        <w:jc w:val="left"/>
        <w:rPr>
          <w:color w:val="000000"/>
        </w:rPr>
      </w:pPr>
      <w:r>
        <w:rPr>
          <w:color w:val="000000"/>
        </w:rPr>
        <w:t>•</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 xml:space="preserve">110 outpatient behavioral health care facilities. </w:t>
      </w:r>
    </w:p>
    <w:p>
      <w:pPr>
        <w:pStyle w:val="TextBody"/>
        <w:bidi w:val="0"/>
        <w:spacing w:before="120" w:after="283"/>
        <w:jc w:val="left"/>
        <w:rPr>
          <w:rFonts w:ascii="Times New Roman" w:hAnsi="Times New Roman"/>
          <w:b/>
          <w:i/>
          <w:color w:val="000000"/>
          <w:sz w:val="20"/>
          <w:u w:val="single"/>
        </w:rPr>
      </w:pPr>
      <w:r>
        <w:rPr>
          <w:rFonts w:ascii="Times New Roman" w:hAnsi="Times New Roman"/>
          <w:b/>
          <w:i/>
          <w:color w:val="000000"/>
          <w:sz w:val="20"/>
          <w:u w:val="single"/>
        </w:rPr>
        <w:t>Located in the U.K.:</w:t>
      </w:r>
    </w:p>
    <w:p>
      <w:pPr>
        <w:pStyle w:val="TextBody"/>
        <w:bidi w:val="0"/>
        <w:spacing w:before="60" w:after="283"/>
        <w:jc w:val="left"/>
        <w:rPr>
          <w:color w:val="000000"/>
        </w:rPr>
      </w:pPr>
      <w:r>
        <w:rPr>
          <w:color w:val="000000"/>
        </w:rPr>
        <w:t>•</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161 inpatient behavioral health care facilities, and;</w:t>
      </w:r>
    </w:p>
    <w:p>
      <w:pPr>
        <w:pStyle w:val="TextBody"/>
        <w:bidi w:val="0"/>
        <w:spacing w:before="60" w:after="283"/>
        <w:jc w:val="left"/>
        <w:rPr>
          <w:color w:val="000000"/>
        </w:rPr>
      </w:pPr>
      <w:r>
        <w:rPr>
          <w:color w:val="000000"/>
        </w:rPr>
        <w:t>•</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2 outpatient behavioral health care facilities.</w:t>
      </w:r>
    </w:p>
    <w:p>
      <w:pPr>
        <w:pStyle w:val="TextBody"/>
        <w:bidi w:val="0"/>
        <w:spacing w:before="120" w:after="283"/>
        <w:jc w:val="left"/>
        <w:rPr>
          <w:rFonts w:ascii="Times New Roman" w:hAnsi="Times New Roman"/>
          <w:b/>
          <w:i/>
          <w:color w:val="000000"/>
          <w:sz w:val="20"/>
          <w:u w:val="single"/>
        </w:rPr>
      </w:pPr>
      <w:r>
        <w:rPr>
          <w:rFonts w:ascii="Times New Roman" w:hAnsi="Times New Roman"/>
          <w:b/>
          <w:i/>
          <w:color w:val="000000"/>
          <w:sz w:val="20"/>
          <w:u w:val="single"/>
        </w:rPr>
        <w:t>Located in Puerto Rico:</w:t>
      </w:r>
    </w:p>
    <w:p>
      <w:pPr>
        <w:pStyle w:val="TextBody"/>
        <w:bidi w:val="0"/>
        <w:spacing w:before="60" w:after="283"/>
        <w:jc w:val="left"/>
        <w:rPr>
          <w:color w:val="000000"/>
        </w:rPr>
      </w:pPr>
      <w:r>
        <w:rPr>
          <w:color w:val="000000"/>
        </w:rPr>
        <w:t>•</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3 inpatient behavioral health care facilities;</w:t>
      </w:r>
    </w:p>
    <w:p>
      <w:pPr>
        <w:pStyle w:val="TextBody"/>
        <w:bidi w:val="0"/>
        <w:spacing w:before="60" w:after="283"/>
        <w:jc w:val="left"/>
        <w:rPr>
          <w:color w:val="000000"/>
        </w:rPr>
      </w:pPr>
      <w:r>
        <w:rPr>
          <w:color w:val="000000"/>
        </w:rPr>
        <w:t>•</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7 outpatient behavioral health care facilities.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Net revenues from our acute care hospitals, outpatient facilities and commercial health insurer accounted for approximately 57% of our consolidated net revenues during each of 2025 and 2024. Net revenues from our behavioral health care facilities and commercial health insurer accounted for approximately 43% of our consolidated net revenues during each of 2025 and 2024.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behavioral health care facilities located in the U.K. generated net revenues of approximately $1.001 billion in 2025 and $880 million in 2024. Total assets at our U.K. behavioral health care facilities were approximately $1.531 billion as of December 31, 2025 and $1.358 billion as of December 31, 2024.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Services provided by our hospitals include general and specialty surgery, internal medicine, obstetrics, emergency room care, radiology, oncology, diagnostic care, coronary care, pediatric services, pharmacy services and/or behavioral health services. We provide capital resources as well as a variety of management services to our facilities, including central purchasing, information services, finance and control systems, facilities planning, physician recruitment services, administrative personnel management, marketing and public relations.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Available Information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a Delaware corporation that was organized in 1979. Our principal executive offices are located at Universal Corporate Center, 367 South Gulph Road, P.O. Box 61558, King of Prussia, PA 19406. Our telephone number is (610) 768-3300.</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Our website is located at </w:t>
      </w:r>
      <w:r>
        <w:rPr>
          <w:rFonts w:ascii="Times New Roman" w:hAnsi="Times New Roman"/>
          <w:sz w:val="20"/>
        </w:rPr>
        <w:t>www.uhs.com</w:t>
      </w:r>
      <w:r>
        <w:rPr>
          <w:rFonts w:ascii="Times New Roman" w:hAnsi="Times New Roman"/>
          <w:color w:val="000000"/>
          <w:sz w:val="20"/>
        </w:rPr>
        <w:t xml:space="preserve">. Copies of our annual, quarterly and current reports that we file with the SEC, and any amendments to those reports, are available free of charge on our website. Our filings are also available to the public at the website maintained by the SEC, </w:t>
      </w:r>
      <w:r>
        <w:rPr>
          <w:rFonts w:ascii="Times New Roman" w:hAnsi="Times New Roman"/>
          <w:sz w:val="20"/>
        </w:rPr>
        <w:t>www.sec.gov</w:t>
      </w:r>
      <w:r>
        <w:rPr>
          <w:rFonts w:ascii="Times New Roman" w:hAnsi="Times New Roman"/>
          <w:color w:val="000000"/>
          <w:sz w:val="20"/>
        </w:rPr>
        <w:t>. The information posted on our website is not incorporated into this Annual Report. Our Board of Directors’ committee charters (Audit Committee, Compensation Committee, Nominating &amp; Governance Committee and Quality and Compliance Committee), Code of Business Conduct and Corporate Standards applicable to all employees, Code of Ethics for Senior Financial Officers, Corporate Governance Guidelines and our Code of Conduct, Corporate Compliance Manual and Compliance Policies and Procedures are available free of charge on our website. Copies of such reports and charters are available in print to any stockholder who makes a request. Such requests should be made to our Secretary at our King of Prussia, PA corporate headquarters. We intend to satisfy the disclosure requirement under Item 5.05 of Form 8-K relating to amendments to or waivers of any provision of our Code of Ethics for Senior Financial Officers by promptly posting this information on our website.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accordance with Section 303A.12(a) of the New York Stock Exchange Listed Company Manual, we submitted our CEO’s certification to the New York Stock Exchange in 2025. Additionally, contained in Exhibits 31.1 and 31.2 of this Annual Report on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Form 10-K, are our CEO’s and CFO’s certifications regarding the quality of our public disclosures under Section 302 of the Sarbanes-Oxley Act of 2002.</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Our Mission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company mission is: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To provide superior quality healthcare services that </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 xml:space="preserve">PATIENTS recommend to families and friends, </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 xml:space="preserve">PHYSICIANS prefer for their patients, </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 xml:space="preserve">PURCHASERS select for their clients, </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 xml:space="preserve">EMPLOYEES are proud of, and </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INVESTORS seek for long-term returns.</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br/>
        <w:t>To achieve this, we have a commitment to:</w:t>
      </w:r>
    </w:p>
    <w:p>
      <w:pPr>
        <w:pStyle w:val="TextBody"/>
        <w:bidi w:val="0"/>
        <w:spacing w:before="60" w:after="283"/>
        <w:jc w:val="left"/>
        <w:rPr>
          <w:color w:val="000000"/>
        </w:rPr>
      </w:pPr>
      <w:r>
        <w:rPr>
          <w:color w:val="000000"/>
        </w:rPr>
        <w:t>•</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service excellence</w:t>
      </w:r>
    </w:p>
    <w:p>
      <w:pPr>
        <w:pStyle w:val="TextBody"/>
        <w:bidi w:val="0"/>
        <w:spacing w:before="60" w:after="283"/>
        <w:jc w:val="left"/>
        <w:rPr>
          <w:color w:val="000000"/>
        </w:rPr>
      </w:pPr>
      <w:r>
        <w:rPr>
          <w:color w:val="000000"/>
        </w:rPr>
        <w:t>•</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continuous improvement in measurable ways</w:t>
      </w:r>
    </w:p>
    <w:p>
      <w:pPr>
        <w:pStyle w:val="TextBody"/>
        <w:bidi w:val="0"/>
        <w:spacing w:before="60" w:after="283"/>
        <w:jc w:val="left"/>
        <w:rPr>
          <w:color w:val="000000"/>
        </w:rPr>
      </w:pPr>
      <w:r>
        <w:rPr>
          <w:color w:val="000000"/>
        </w:rPr>
        <w:t>•</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employee development</w:t>
      </w:r>
    </w:p>
    <w:p>
      <w:pPr>
        <w:pStyle w:val="TextBody"/>
        <w:bidi w:val="0"/>
        <w:spacing w:before="60" w:after="283"/>
        <w:jc w:val="left"/>
        <w:rPr>
          <w:color w:val="000000"/>
        </w:rPr>
      </w:pPr>
      <w:r>
        <w:rPr>
          <w:color w:val="000000"/>
        </w:rPr>
        <w:t>•</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ethical and fair treatment of all</w:t>
      </w:r>
    </w:p>
    <w:p>
      <w:pPr>
        <w:pStyle w:val="TextBody"/>
        <w:bidi w:val="0"/>
        <w:spacing w:before="60" w:after="283"/>
        <w:jc w:val="left"/>
        <w:rPr>
          <w:color w:val="000000"/>
        </w:rPr>
      </w:pPr>
      <w:r>
        <w:rPr>
          <w:color w:val="000000"/>
        </w:rPr>
        <w:t>•</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teamwork</w:t>
      </w:r>
    </w:p>
    <w:p>
      <w:pPr>
        <w:pStyle w:val="TextBody"/>
        <w:bidi w:val="0"/>
        <w:spacing w:before="60" w:after="283"/>
        <w:jc w:val="left"/>
        <w:rPr>
          <w:color w:val="000000"/>
        </w:rPr>
      </w:pPr>
      <w:r>
        <w:rPr>
          <w:color w:val="000000"/>
        </w:rPr>
        <w:t>•</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compassion</w:t>
      </w:r>
    </w:p>
    <w:p>
      <w:pPr>
        <w:pStyle w:val="TextBody"/>
        <w:bidi w:val="0"/>
        <w:spacing w:before="60" w:after="283"/>
        <w:jc w:val="left"/>
        <w:rPr>
          <w:color w:val="000000"/>
        </w:rPr>
      </w:pPr>
      <w:r>
        <w:rPr>
          <w:color w:val="000000"/>
        </w:rPr>
        <w:t>•</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innovation in service delivery</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Business Strategy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believe community-based hospitals will remain the focal point of the healthcare delivery network and we are committed to a philosophy of self-determination for both the company and our hospitals.</w:t>
      </w:r>
    </w:p>
    <w:p>
      <w:pPr>
        <w:pStyle w:val="TextBody"/>
        <w:bidi w:val="0"/>
        <w:spacing w:before="120" w:after="283"/>
        <w:jc w:val="left"/>
        <w:rPr>
          <w:rFonts w:ascii="Times New Roman" w:hAnsi="Times New Roman"/>
          <w:sz w:val="20"/>
        </w:rPr>
      </w:pPr>
      <w:r>
        <w:rPr>
          <w:rFonts w:ascii="Times New Roman" w:hAnsi="Times New Roman"/>
          <w:b/>
          <w:color w:val="000000"/>
          <w:sz w:val="20"/>
        </w:rPr>
        <w:t>Acquisition of Additional Hospitals.</w:t>
      </w:r>
      <w:r>
        <w:rPr>
          <w:rFonts w:ascii="Times New Roman" w:hAnsi="Times New Roman"/>
          <w:color w:val="000000"/>
          <w:sz w:val="20"/>
        </w:rPr>
        <w:t xml:space="preserve"> We selectively seek opportunities to expand our base of operations by acquiring, constructing or leasing additional hospital facilities. We are committed to a program of rational growth around our core businesses, while retaining the missions of the hospitals we manage and the communities we serve. Such expansion may provide us with access to new markets and new healthcare delivery capabilities. We also continue to examine our facilities and consider divestiture of those facilities that we believe do not have the potential to contribute to our growth or operating strategy. In recent years our behavioral health services segment has been focused on efforts to partner with non-UHS acute care hospitals to help operate their behavioral health services. These arrangements include hospital purchases, leased beds and joint venture operating agreements.</w:t>
      </w:r>
    </w:p>
    <w:p>
      <w:pPr>
        <w:pStyle w:val="TextBody"/>
        <w:bidi w:val="0"/>
        <w:spacing w:before="120" w:after="283"/>
        <w:jc w:val="left"/>
        <w:rPr>
          <w:rFonts w:ascii="Times New Roman" w:hAnsi="Times New Roman"/>
          <w:sz w:val="20"/>
        </w:rPr>
      </w:pPr>
      <w:r>
        <w:rPr>
          <w:rFonts w:ascii="Times New Roman" w:hAnsi="Times New Roman"/>
          <w:b/>
          <w:color w:val="000000"/>
          <w:sz w:val="20"/>
        </w:rPr>
        <w:t>Improvement of Operations of Existing Hospitals and Services.</w:t>
      </w:r>
      <w:r>
        <w:rPr>
          <w:rFonts w:ascii="Times New Roman" w:hAnsi="Times New Roman"/>
          <w:color w:val="000000"/>
          <w:sz w:val="20"/>
        </w:rPr>
        <w:t xml:space="preserve"> We also seek to increase the operating revenues and profitability of owned hospitals by the introduction of new services, improvement of existing services, physician recruitment and the application of financial and operational controls.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involved in continual development activities for the benefit of our existing facilities. From time-to-time applications are filed with state health planning agencies to add new services in existing hospitals in states which require certificates of need, or CONs. Although we expect that some of these applications will result in the addition of new facilities or services to our operations, no assurances can be made for ultimate success by us in these efforts.</w:t>
      </w:r>
    </w:p>
    <w:p>
      <w:pPr>
        <w:pStyle w:val="TextBody"/>
        <w:bidi w:val="0"/>
        <w:spacing w:before="120" w:after="283"/>
        <w:jc w:val="left"/>
        <w:rPr>
          <w:rFonts w:ascii="Times New Roman" w:hAnsi="Times New Roman"/>
          <w:sz w:val="20"/>
        </w:rPr>
      </w:pPr>
      <w:r>
        <w:rPr>
          <w:rFonts w:ascii="Times New Roman" w:hAnsi="Times New Roman"/>
          <w:b/>
          <w:color w:val="000000"/>
          <w:sz w:val="20"/>
        </w:rPr>
        <w:t>Quality and Efficiency of Services.</w:t>
      </w:r>
      <w:r>
        <w:rPr>
          <w:rFonts w:ascii="Times New Roman" w:hAnsi="Times New Roman"/>
          <w:color w:val="000000"/>
          <w:sz w:val="20"/>
        </w:rPr>
        <w:t xml:space="preserve"> Pressures to contain healthcare costs and technological developments allowing more procedures to be performed on an outpatient basis have led payers to demand a shift to ambulatory or outpatient care wherever possible. We are responding to this trend by emphasizing the expansion of outpatient services. In addition, in response to cost containment pressures, we continue to implement programs at our facilities designed to improve financial performance and efficiency while continuing to provide quality care, including more efficient use of professional and paraprofessional staff, monitoring and adjusting staffing levels and equipment usage, improving patient management and reporting procedures and implementing more efficient billing and collection procedures. In addition, we will continue to emphasize innovation in our response to the rapid changes in regulatory trends and market conditions while fulfilling our commitment to patients, physicians, employees, communities and our stockholders.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our aggressive recruiting of highly qualified physicians and developing provider networks help to establish our facilities as an important source of quality healthcare in their respective communities.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Hospital Utilization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believe that the most important factors relating to the overall utilization of a hospital include the quality and market position of the hospital and the number, quality and specialties of physicians providing patient care within the facility. Generally, we believe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that the ability of a hospital to meet the health care needs of its community is determined by its breadth of services, level of technology, emphasis on quality of care and convenience for patients and physicians. Other factors that affect utilization include general and local economic conditions, market penetration of managed care programs, the degree of outpatient use, the availability of reimbursement programs such as Medicare and Medicaid, and demographic changes such as the growth in local populations. Utilization across the industry also is being affected by improvements in clinical practice, medical technology and pharmacology. Current industry trends in utilization and occupancy have been significantly affected by changes in reimbursement policies of third party payers. We are also unable to predict the extent to which these industry trends will continue or accelerate. In addition, our acute care services business is typically subject to certain seasonal fluctuations, such as higher patient volumes and net patient service revenues in the first and fourth quarters of the year.</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Sources of Revenue</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We receive payments for services rendered from private insurers, including managed care plans, the federal government under the Medicare program, state governments under their respective Medicaid programs and directly from patients. See </w:t>
      </w:r>
      <w:r>
        <w:rPr>
          <w:rFonts w:ascii="Times New Roman" w:hAnsi="Times New Roman"/>
          <w:i/>
          <w:color w:val="000000"/>
          <w:sz w:val="20"/>
        </w:rPr>
        <w:t>Item 7. Management’s Discussion and Analysis of Financial Condition and Results of Operations—Sources of Revenue</w:t>
      </w:r>
      <w:r>
        <w:rPr>
          <w:rFonts w:ascii="Times New Roman" w:hAnsi="Times New Roman"/>
          <w:color w:val="000000"/>
          <w:sz w:val="20"/>
        </w:rPr>
        <w:t xml:space="preserve"> for additional disclosure. Other information related to our revenues, income and other operating information for each reporting segment of our business is provided in </w:t>
      </w:r>
      <w:r>
        <w:rPr>
          <w:rFonts w:ascii="Times New Roman" w:hAnsi="Times New Roman"/>
          <w:i/>
          <w:color w:val="000000"/>
          <w:sz w:val="20"/>
        </w:rPr>
        <w:t>Note 12 to our Consolidated Financial Statements, Segment Reporting.</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Regulation and Other Factors</w:t>
      </w:r>
    </w:p>
    <w:p>
      <w:pPr>
        <w:pStyle w:val="TextBody"/>
        <w:bidi w:val="0"/>
        <w:spacing w:before="120" w:after="283"/>
        <w:jc w:val="left"/>
        <w:rPr>
          <w:rFonts w:ascii="Times New Roman" w:hAnsi="Times New Roman"/>
          <w:sz w:val="20"/>
        </w:rPr>
      </w:pPr>
      <w:r>
        <w:rPr>
          <w:rFonts w:ascii="Times New Roman" w:hAnsi="Times New Roman"/>
          <w:b/>
          <w:color w:val="000000"/>
          <w:sz w:val="20"/>
        </w:rPr>
        <w:t>Overview:</w:t>
      </w:r>
      <w:r>
        <w:rPr>
          <w:rFonts w:ascii="Times New Roman" w:hAnsi="Times New Roman"/>
          <w:color w:val="000000"/>
          <w:sz w:val="20"/>
        </w:rPr>
        <w:t xml:space="preserve"> The healthcare industry is subject to numerous laws, regulations and rules including, among others, those related to government healthcare participation requirements, various licensure and accreditations, reimbursement for patient services, health information privacy and security rules, and Medicare and Medicaid fraud and abuse provisions (including, but not limited to, federal statutes and regulations prohibiting kickbacks and other illegal inducements to potential referral sources, false claims submitted to federal or state health care programs and self-referrals by physicians). Providers that are found to have violated any of these laws and regulations may be excluded from participating in government healthcare programs, subjected to significant fines or penalties and/or required to repay amounts received from the government for previously billed patient services. Although we believe our policies, procedures and practices comply with governmental regulations, no assurance can be given that we will not be subjected to additional governmental inquiries or actions, or that we would not be faced with sanctions, fines or penalties if so subjected. Even if we were to ultimately prevail, a significant governmental inquiry or action under one of the above laws, regulations or rules could have a material adverse impact on us.</w:t>
      </w:r>
    </w:p>
    <w:p>
      <w:pPr>
        <w:pStyle w:val="TextBody"/>
        <w:bidi w:val="0"/>
        <w:spacing w:before="120" w:after="283"/>
        <w:jc w:val="left"/>
        <w:rPr>
          <w:rFonts w:ascii="Times New Roman" w:hAnsi="Times New Roman"/>
          <w:sz w:val="20"/>
        </w:rPr>
      </w:pPr>
      <w:r>
        <w:rPr>
          <w:rFonts w:ascii="Times New Roman" w:hAnsi="Times New Roman"/>
          <w:b/>
          <w:color w:val="000000"/>
          <w:sz w:val="20"/>
        </w:rPr>
        <w:t>Licensing, Certification and Accreditation:</w:t>
      </w:r>
      <w:r>
        <w:rPr>
          <w:rFonts w:ascii="Times New Roman" w:hAnsi="Times New Roman"/>
          <w:color w:val="000000"/>
          <w:sz w:val="20"/>
        </w:rPr>
        <w:t xml:space="preserve"> All of our U.S. hospitals are subject to compliance with various federal, state and local statutes and regulations in the U.S. and receive periodic inspection by state licensing agencies to review standards of medical care, equipment and cleanliness. Our hospitals must also comply with the conditions of participation and licensing requirements of federal, state and local health agencies, as well as the requirements of municipal building codes, health codes and local fire departments. Various other licenses and permits are also required in order to dispense narcotics, operate pharmacies, handle radioactive materials and operate certain equipment. Our facilities in the United Kingdom are also subject to various laws and regulations.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of our eligible hospitals have been accredited by The Joint Commission. All of our acute care hospitals and most of our behavioral health centers in the U.S. are certified as providers of Medicare and Medicaid services by the appropriate governmental authorities.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any of our facilities were to lose its Joint Commission accreditation or otherwise lose its certification under the Medicare and Medicaid programs, the facility may be unable to receive reimbursement from the Medicare and Medicaid programs and other payers. We believe our facilities are in substantial compliance with current applicable federal, state, local and independent review body regulations and standards. The requirements for licensure, certification and accreditation are subject to change and, in order to remain qualified, it may become necessary for us to make changes in our facilities, equipment, personnel and services in the future, which could have a material adverse impact on operations.</w:t>
      </w:r>
    </w:p>
    <w:p>
      <w:pPr>
        <w:pStyle w:val="TextBody"/>
        <w:bidi w:val="0"/>
        <w:spacing w:before="120" w:after="283"/>
        <w:jc w:val="left"/>
        <w:rPr>
          <w:rFonts w:ascii="Times New Roman" w:hAnsi="Times New Roman"/>
          <w:sz w:val="20"/>
        </w:rPr>
      </w:pPr>
      <w:r>
        <w:rPr>
          <w:rFonts w:ascii="Times New Roman" w:hAnsi="Times New Roman"/>
          <w:b/>
          <w:color w:val="000000"/>
          <w:sz w:val="20"/>
        </w:rPr>
        <w:t>Certificates of Need:</w:t>
      </w:r>
      <w:r>
        <w:rPr>
          <w:rFonts w:ascii="Times New Roman" w:hAnsi="Times New Roman"/>
          <w:color w:val="000000"/>
          <w:sz w:val="20"/>
        </w:rPr>
        <w:t xml:space="preserve"> Certain of the states in which we operate hospitals have certificates of need (“CON”) laws as a condition prior to hospital capital expenditures, construction, expansion, modernization or initiation of major new services. Failure to obtain necessary state approval can result in our inability to complete an acquisition, expansion or replacement, the imposition of civil or, in some cases, criminal sanctions, the inability to receive Medicare or Medicaid reimbursement or the revocation of a facility’s license, which could harm our business. In addition, significant CON reforms have been proposed in a number of states that would increase the capital spending thresholds and provide exemptions of various services from review requirements. In the past, we have not experienced any material adverse effects from those requirements, but we cannot predict the impact of these changes upon our operations.</w:t>
      </w:r>
    </w:p>
    <w:p>
      <w:pPr>
        <w:pStyle w:val="TextBody"/>
        <w:bidi w:val="0"/>
        <w:spacing w:before="120" w:after="283"/>
        <w:jc w:val="left"/>
        <w:rPr>
          <w:rFonts w:ascii="Times New Roman" w:hAnsi="Times New Roman"/>
          <w:sz w:val="20"/>
        </w:rPr>
      </w:pPr>
      <w:r>
        <w:rPr>
          <w:rFonts w:ascii="Times New Roman" w:hAnsi="Times New Roman"/>
          <w:b/>
          <w:color w:val="000000"/>
          <w:sz w:val="20"/>
        </w:rPr>
        <w:t>Conversion Legislation:</w:t>
      </w:r>
      <w:r>
        <w:rPr>
          <w:rFonts w:ascii="Times New Roman" w:hAnsi="Times New Roman"/>
          <w:color w:val="000000"/>
          <w:sz w:val="20"/>
        </w:rPr>
        <w:t xml:space="preserve"> Many states have enacted or are considering enacting laws affecting the conversion or sale of not-for-profit hospitals to for-profit entities. These laws generally require prior approval from the attorney general, advance notification and community involvement. In addition, attorneys general in states without specific conversion legislation may exercise discretionary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authority over these transactions. Although the level of government involvement varies from state to state, the trend is to provide for increased governmental review and, in some cases, approval of a transaction in which a not-for-profit entity sells a health care facility to a for-profit entity. The adoption of new or expanded conversion legislation and the increased review of not-for-profit hospital conversions may limit our ability to grow through acquisitions of not-for-profit hospitals.</w:t>
      </w:r>
    </w:p>
    <w:p>
      <w:pPr>
        <w:pStyle w:val="TextBody"/>
        <w:bidi w:val="0"/>
        <w:spacing w:before="120" w:after="283"/>
        <w:jc w:val="left"/>
        <w:rPr>
          <w:rFonts w:ascii="Times New Roman" w:hAnsi="Times New Roman"/>
          <w:sz w:val="20"/>
        </w:rPr>
      </w:pPr>
      <w:r>
        <w:rPr>
          <w:rFonts w:ascii="Times New Roman" w:hAnsi="Times New Roman"/>
          <w:b/>
          <w:color w:val="000000"/>
          <w:sz w:val="20"/>
        </w:rPr>
        <w:t>Utilization Review:</w:t>
      </w:r>
      <w:r>
        <w:rPr>
          <w:rFonts w:ascii="Times New Roman" w:hAnsi="Times New Roman"/>
          <w:color w:val="000000"/>
          <w:sz w:val="20"/>
        </w:rPr>
        <w:t xml:space="preserve"> Federal regulations require that admissions and utilization of facilities by Medicare and Medicaid patients must be reviewed in order to ensure efficient utilization of facilities and services. The law and regulations require Quality Improvement Organizations (“QIOs”) to review the appropriateness of Medicare and Medicaid patient admissions and discharges, the quality of care provided, the validity of diagnosis related group (“DRG”) classifications and the appropriateness of cases of extraordinary length of stay. QIOs may deny payment for services provided, assess fines and also have the authority to recommend to the Department of Health and Human Services (“HHS”) that a provider that is in substantial non-compliance with the standards of the QIO be excluded from participating in the Medicare program. We have contracted with QIOs in each state where we do business to perform the required reviews.</w:t>
      </w:r>
    </w:p>
    <w:p>
      <w:pPr>
        <w:pStyle w:val="TextBody"/>
        <w:bidi w:val="0"/>
        <w:spacing w:before="120" w:after="283"/>
        <w:jc w:val="left"/>
        <w:rPr>
          <w:rFonts w:ascii="Times New Roman" w:hAnsi="Times New Roman"/>
          <w:sz w:val="20"/>
        </w:rPr>
      </w:pPr>
      <w:r>
        <w:rPr>
          <w:rFonts w:ascii="Times New Roman" w:hAnsi="Times New Roman"/>
          <w:b/>
          <w:color w:val="000000"/>
          <w:sz w:val="20"/>
        </w:rPr>
        <w:t>Audits:</w:t>
      </w:r>
      <w:r>
        <w:rPr>
          <w:rFonts w:ascii="Times New Roman" w:hAnsi="Times New Roman"/>
          <w:color w:val="000000"/>
          <w:sz w:val="20"/>
        </w:rPr>
        <w:t xml:space="preserve"> Most hospitals are subject to federal audits to validate the accuracy of Medicare and Medicaid program submitted claims. If these audits identify overpayments, we could be required to pay a substantial rebate of prior years’ payments subject to various administrative appeal rights. The federal government contracts with third-party “recovery audit contractors” (“RACs”) and “Medicaid integrity contractors” (“MICs”), on a contingent fee basis, to audit the propriety of payments to Medicare and Medicaid providers. Similarly, Medicare zone program integrity contractors (“ZPICs”) target claims for potential fraud and abuse. Additionally, Medicare administrative contractors (“MACs”) must ensure they pay the right amount for covered and correctly coded services rendered to eligible beneficiaries by legitimate providers. The Centers for Medicare and Medicaid Services (“CMS”) consolidated many of these Medicare and Medicaid program integrity functions into new unified program integrity contractors (“UPICs”), though it remains unclear what effect, if any, this consolidation may have. We have undergone claims audits related to our receipt of federal healthcare payments during the last three years, the results of which have not required material adjustments to our consolidated results of operations. However, potential liability from future federal or state audits could ultimately exceed established reserves, and any excess could potentially be substantial. Further, Medicare and Medicaid regulations also provide for withholding Medicare and Medicaid overpayments in certain circumstances, which could adversely affect our cash flow.</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Self-Referral and Anti-Kickback Legislation</w:t>
      </w:r>
    </w:p>
    <w:p>
      <w:pPr>
        <w:pStyle w:val="TextBody"/>
        <w:bidi w:val="0"/>
        <w:spacing w:before="120" w:after="283"/>
        <w:jc w:val="left"/>
        <w:rPr>
          <w:rFonts w:ascii="Times New Roman" w:hAnsi="Times New Roman"/>
          <w:sz w:val="20"/>
        </w:rPr>
      </w:pPr>
      <w:r>
        <w:rPr>
          <w:rFonts w:ascii="Times New Roman" w:hAnsi="Times New Roman"/>
          <w:b/>
          <w:color w:val="000000"/>
          <w:sz w:val="20"/>
        </w:rPr>
        <w:t>The Stark Law:</w:t>
      </w:r>
      <w:r>
        <w:rPr>
          <w:rFonts w:ascii="Times New Roman" w:hAnsi="Times New Roman"/>
          <w:color w:val="000000"/>
          <w:sz w:val="20"/>
        </w:rPr>
        <w:t xml:space="preserve"> The Social Security Act includes a provision commonly known as the “Stark Law.” This law prohibits physicians from referring Medicare and Medicaid patients to entities with which they or any of their immediate family members have a financial relationship, unless an exception is met. These types of referrals are known as “self-referrals.” Medicare may deny payment for all services related to a prohibited referral and a hospital that has billed for prohibited services may be obligated to refund the amounts collected. In addition, sanctions for violation of the Stark Law may include civil penalties or exclusion from the Medicare and Medicaid programs. There are a number of exceptions to the self-referral prohibition, including an exception for a physician’s ownership interest in an entire hospital as opposed to an ownership interest in a hospital department unit, service or subpart. However, federal laws and regulations now limit the ability of hospitals relying on this exception to expand aggregate physician ownership interest or to expand certain hospital facilities. This regulation also places a number of compliance requirements on physician-owned hospitals related to reporting of ownership interest. There are also exceptions for many of the customary financial arrangements between physicians and providers, including employment contracts, leases and recruitment agreements that adhere to certain enumerated requirements. CMS issued a final rule in 2020 that created a new Stark exception for value-based models. Although the final regulations provide exceptions to the Stark Law, there may remain regulatory risks for participating hospitals, as well as financial and operational risks.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monitor all aspects of our business and have developed a comprehensive ethics and compliance program that is designed to meet or exceed applicable federal guidelines and industry standards. Nonetheless, because the law in this area is complex and constantly evolving, there can be no assurance that federal regulatory authorities will not determine that any of our arrangements with physicians violate the Stark Law.</w:t>
      </w:r>
    </w:p>
    <w:p>
      <w:pPr>
        <w:pStyle w:val="TextBody"/>
        <w:bidi w:val="0"/>
        <w:spacing w:before="120" w:after="283"/>
        <w:jc w:val="left"/>
        <w:rPr>
          <w:rFonts w:ascii="Times New Roman" w:hAnsi="Times New Roman"/>
          <w:sz w:val="20"/>
        </w:rPr>
      </w:pPr>
      <w:r>
        <w:rPr>
          <w:rFonts w:ascii="Times New Roman" w:hAnsi="Times New Roman"/>
          <w:b/>
          <w:color w:val="000000"/>
          <w:sz w:val="20"/>
        </w:rPr>
        <w:t>Anti-kickback Statute:</w:t>
      </w:r>
      <w:r>
        <w:rPr>
          <w:rFonts w:ascii="Times New Roman" w:hAnsi="Times New Roman"/>
          <w:color w:val="000000"/>
          <w:sz w:val="20"/>
        </w:rPr>
        <w:t xml:space="preserve"> A provision of the Social Security Act known as the “anti-kickback statute” prohibits healthcare providers and others from directly or indirectly soliciting, receiving, offering or paying money or other remuneration to other individuals and entities in return for using, referring, ordering, recommending or arranging for such referrals or orders of services or other items covered by a federal or state health care program. However, changes to the anti-kickback statute have reduced the intent required for violation; one is no longer required to have actual knowledge or specific intent to commit a violation of the anti-kickback statute in order to be found in violation of such law.</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anti-kickback statute contains certain exceptions, and the Office of the Inspector General of the Department of Health and Human Services (“OIG”) has issued regulations that provide for “safe harbors,” from the federal anti-kickback statute for various activities. These activities, which must meet certain requirements, include (but are not limited to) the following: investment interests, space rental, equipment rental, practitioner recruitment, personnel services and management contracts, sale of practice, referral services, warranties, discounts, employees, group purchasing organizations, waiver of beneficiary coinsurance and deductible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amounts, managed care arrangements, obstetrical malpractice insurance subsidies, investments in group practices, freestanding surgery centers, donation of technology for electronic health records and referral agreements for specialty services. In 2020, the OIG issued a final rule that established an anti-kickback statute safe harbor for value based models. Although the final regulations provide safe harbors, there may remain regulatory risks for participating hospitals, as well as financial and operational risks. The fact that conduct or a business arrangement does not fall within a safe harbor or exception does not automatically render the conduct or business arrangement illegal under the anti-kickback statute. However, such conduct and business arrangements may lead to increased scrutiny by government enforcement authorities.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Although we believe that our arrangements with physicians and other referral sources have been structured to comply with current law and available interpretations, there can be no assurance that all arrangements comply with an available safe harbor or that regulatory authorities enforcing these laws will determine these financial arrangements do not violate the anti-kickback statute or other applicable laws. Violations of the anti-kickback statute may be punished by a criminal fine of up to $100,000 for each violation or imprisonment, however, under 18 U.S.C. Section 3571, this fine may be increased to $250,000 for individuals and $500,000 for organizations. Civil money penalties may include fines and damages of up to three times the total amount of the remuneration and/or exclusion from participation in Medicare and Medicaid.</w:t>
      </w:r>
    </w:p>
    <w:p>
      <w:pPr>
        <w:pStyle w:val="TextBody"/>
        <w:bidi w:val="0"/>
        <w:spacing w:before="120" w:after="283"/>
        <w:jc w:val="left"/>
        <w:rPr>
          <w:rFonts w:ascii="Times New Roman" w:hAnsi="Times New Roman"/>
          <w:sz w:val="20"/>
        </w:rPr>
      </w:pPr>
      <w:r>
        <w:rPr>
          <w:rFonts w:ascii="Times New Roman" w:hAnsi="Times New Roman"/>
          <w:b/>
          <w:color w:val="000000"/>
          <w:sz w:val="20"/>
        </w:rPr>
        <w:t>Similar State Laws:</w:t>
      </w:r>
      <w:r>
        <w:rPr>
          <w:rFonts w:ascii="Times New Roman" w:hAnsi="Times New Roman"/>
          <w:color w:val="000000"/>
          <w:sz w:val="20"/>
        </w:rPr>
        <w:t xml:space="preserve"> Many of the states in which we operate have adopted laws that prohibit payments to physicians in exchange for referrals similar to the anti-kickback statute and the Stark Law, some of which apply regardless of the source of payment for care. These statutes typically provide criminal and civil penalties as well as loss of licensure. In many instances, the state statutes provide that any arrangement falling in a federal safe harbor will be immune from scrutiny under the state statutes. However, in most cases, little precedent exists for the interpretation or enforcement of these state laws.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These laws and regulations are extremely complex and, in many cases, we don’t have the benefit of regulatory or judicial interpretation. It is possible that different interpretations or enforcement of these laws and regulations could subject our current or past practices to allegations of impropriety or illegality or could require us to make changes in our facilities, equipment, personnel, services, capital expenditure programs and operating expenses. A determination that we have violated one or more of these laws, or the public announcement that we are being investigated for possible violations of one or more of these laws (see Item 3. Legal Proceedings), could have a material adverse effect on our business, financial condition or results of operations and our business reputation could suffer significantly. In addition, we cannot predict whether other legislation or regulations at the federal or state level will be adopted, what form such legislation or regulations may take or what their impact on us may be.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are deemed to have failed to comply with the anti-kickback statute, the Stark Law or other applicable laws and regulations, we could be subjected to liabilities, including criminal penalties, civil penalties (including the loss of our licenses to operate one or more facilities), and exclusion of one or more facilities from participation in the Medicare, Medicaid and other federal and state health care programs. The imposition of such penalties could have a material adverse effect on our business, financial condition or results of operations.</w:t>
      </w:r>
    </w:p>
    <w:p>
      <w:pPr>
        <w:pStyle w:val="TextBody"/>
        <w:bidi w:val="0"/>
        <w:spacing w:before="120" w:after="283"/>
        <w:jc w:val="left"/>
        <w:rPr>
          <w:rFonts w:ascii="Times New Roman" w:hAnsi="Times New Roman"/>
          <w:sz w:val="20"/>
        </w:rPr>
      </w:pPr>
      <w:r>
        <w:rPr>
          <w:rFonts w:ascii="Times New Roman" w:hAnsi="Times New Roman"/>
          <w:b/>
          <w:color w:val="000000"/>
          <w:sz w:val="20"/>
        </w:rPr>
        <w:t>Federal False Claims Act and Similar State Regulations:</w:t>
      </w:r>
      <w:r>
        <w:rPr>
          <w:rFonts w:ascii="Times New Roman" w:hAnsi="Times New Roman"/>
          <w:color w:val="000000"/>
          <w:sz w:val="20"/>
        </w:rPr>
        <w:t xml:space="preserve"> A current trend affecting the health care industry is the increased use of the federal False Claims Act, and, in particular, actions being brought by individuals on the government’s behalf under the False Claims Act’s qui tam, or whistleblower, provisions. Whistleblower provisions allow private individuals to bring actions on behalf of the government by alleging that the defendant has defrauded the Federal government.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When a defendant is determined by a court of law to have violated the False Claims Act, the defendant may be liable for up to three times the actual damages sustained by the government, plus mandatory civil penalties for each separate false claim. There are many potential bases for liability under the False Claims Act. Liability often arises when an entity knowingly submits a false claim for reimbursement to the federal government. The Fraud Enforcement and Recovery Act of 2009 (“FERA”) amended and expanded the number of actions for which liability may attach under the False Claims Act, eliminating requirements that false claims be presented to federal officials or directly involve federal funds. FERA also clarifies that a false claim violation occurs upon the knowing retention, as well as the receipt, of overpayments. In addition, anti-kickback statute violations may be punishable under the civil False Claims Act. Further, a number of states have adopted their own false claims provisions as well as their own whistleblower provisions whereby a private party may file a civil lawsuit on behalf of the state in state court. The False Claims Act require that federal healthcare program overpayments be returned within 60 days from the date the overpayment was identified, or by the date any corresponding cost report was due, whichever is later. Failure to return an overpayment within this period may result in additional civil False Claims Act liability.</w:t>
      </w:r>
    </w:p>
    <w:p>
      <w:pPr>
        <w:pStyle w:val="TextBody"/>
        <w:bidi w:val="0"/>
        <w:spacing w:before="120" w:after="283"/>
        <w:jc w:val="left"/>
        <w:rPr>
          <w:rFonts w:ascii="Times New Roman" w:hAnsi="Times New Roman"/>
          <w:sz w:val="20"/>
        </w:rPr>
      </w:pPr>
      <w:r>
        <w:rPr>
          <w:rFonts w:ascii="Times New Roman" w:hAnsi="Times New Roman"/>
          <w:b/>
          <w:color w:val="000000"/>
          <w:sz w:val="20"/>
        </w:rPr>
        <w:t>Other Fraud and Abuse Provisions:</w:t>
      </w:r>
      <w:r>
        <w:rPr>
          <w:rFonts w:ascii="Times New Roman" w:hAnsi="Times New Roman"/>
          <w:color w:val="000000"/>
          <w:sz w:val="20"/>
        </w:rPr>
        <w:t xml:space="preserve"> The Social Security Act also imposes criminal and civil penalties for submitting false claims to Medicare and Medicaid. False claims include, but are not limited to, billing for services not rendered, billing for services without prescribed documentation, misrepresenting actual services rendered in order to obtain higher reimbursement and cost report fraud. Like the anti-kickback statute, these provisions are very broad.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Further, the Health Insurance Portability and Accountability Act of 1996 (“HIPAA”) broadened the scope of the fraud and abuse laws by adding several criminal provisions for health care fraud offenses that apply to all health benefit programs, whether or not payments under such programs are paid pursuant to federal programs. HIPAA also introduced enforcement mechanisms to prevent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fraud and abuse in Medicare. There are civil penalties for prohibited conduct, including, but not limited to billing for medically unnecessary products or services.</w:t>
      </w:r>
    </w:p>
    <w:p>
      <w:pPr>
        <w:pStyle w:val="TextBody"/>
        <w:bidi w:val="0"/>
        <w:spacing w:before="120" w:after="283"/>
        <w:jc w:val="left"/>
        <w:rPr>
          <w:rFonts w:ascii="Times New Roman" w:hAnsi="Times New Roman"/>
          <w:sz w:val="20"/>
        </w:rPr>
      </w:pPr>
      <w:r>
        <w:rPr>
          <w:rFonts w:ascii="Times New Roman" w:hAnsi="Times New Roman"/>
          <w:b/>
          <w:color w:val="000000"/>
          <w:sz w:val="20"/>
        </w:rPr>
        <w:t>HIPAA Administrative Simplification and Privacy Requirements:</w:t>
      </w:r>
      <w:r>
        <w:rPr>
          <w:rFonts w:ascii="Times New Roman" w:hAnsi="Times New Roman"/>
          <w:color w:val="000000"/>
          <w:sz w:val="20"/>
        </w:rPr>
        <w:t xml:space="preserve"> The administrative simplification provisions of HIPAA, as amended by the Health Information Technology for Economic and Clinical Health Act (“HITECH”), require the use of uniform electronic data transmission standards for health care claims and payment transactions submitted or received electronically. These provisions are intended to encourage electronic commerce in the health care industry. HIPAA also established federal rules protecting the privacy and security of personal health information, including recently proposed updates to HIPAA security rule requirements. The privacy and security regulations address the use and disclosure of individual health care information and the rights of patients to understand and control how such information is used and disclosed. Violations of HIPAA can result in both criminal and civil fines and penalties.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believe that we are in material compliance with the privacy regulations of HIPAA, as we continue to develop training and revise procedures to address ongoing compliance. The HIPAA security regulations require health care providers to implement administrative, physical and technical safeguards to protect the confidentiality, integrity and availability of patient information. HITECH has since strengthened certain HIPAA rules regarding the use and disclosure of protected health information, extended certain HIPAA provisions to business associates, and created new security breach notification requirements. HITECH has also extended the ability to impose civil money penalties on providers not knowing that a HIPAA violation has occurred. We believe that we have been in substantial compliance with HIPAA and HITECH requirements to date. HIPAA regulations may result in greater compliance requirements for healthcare providers, including obligations to report breaches of unsecured patient data, as well as potential liabilities resulting from the actions of parties acting as business associates on our behalf.</w:t>
      </w:r>
    </w:p>
    <w:p>
      <w:pPr>
        <w:pStyle w:val="TextBody"/>
        <w:bidi w:val="0"/>
        <w:spacing w:before="120" w:after="283"/>
        <w:jc w:val="left"/>
        <w:rPr>
          <w:rFonts w:ascii="Times New Roman" w:hAnsi="Times New Roman"/>
          <w:sz w:val="20"/>
        </w:rPr>
      </w:pPr>
      <w:r>
        <w:rPr>
          <w:rFonts w:ascii="Times New Roman" w:hAnsi="Times New Roman"/>
          <w:b/>
          <w:color w:val="000000"/>
          <w:sz w:val="20"/>
        </w:rPr>
        <w:t>Red Flags Rule:</w:t>
      </w:r>
      <w:r>
        <w:rPr>
          <w:rFonts w:ascii="Times New Roman" w:hAnsi="Times New Roman"/>
          <w:color w:val="000000"/>
          <w:sz w:val="20"/>
        </w:rPr>
        <w:t xml:space="preserve"> In addition, the Federal Trade Commission (“FTC”) Red Flags Rule requires financial institutions and businesses maintaining accounts to address the risk of identity theft. The Red Flag Program Clarification Act of 2010, signed on December 18, 2010, appears to exclude certain healthcare providers from the Red Flags Rule, but permits the FTC or relevant agencies to designate additional creditors subject to the Red Flags Rule through future rulemaking if the agencies determine that the person in question maintains accounts subject to foreseeable risk of identity theft. Compliance with any such future rulemaking may require additional expenditures in the future.</w:t>
      </w:r>
    </w:p>
    <w:p>
      <w:pPr>
        <w:pStyle w:val="TextBody"/>
        <w:bidi w:val="0"/>
        <w:spacing w:before="120" w:after="283"/>
        <w:jc w:val="left"/>
        <w:rPr>
          <w:rFonts w:ascii="Times New Roman" w:hAnsi="Times New Roman"/>
          <w:sz w:val="20"/>
        </w:rPr>
      </w:pPr>
      <w:r>
        <w:rPr>
          <w:rFonts w:ascii="Times New Roman" w:hAnsi="Times New Roman"/>
          <w:b/>
          <w:color w:val="000000"/>
          <w:sz w:val="20"/>
        </w:rPr>
        <w:t>Patient Safety and Quality Improvement Act of 2005:</w:t>
      </w:r>
      <w:r>
        <w:rPr>
          <w:rFonts w:ascii="Times New Roman" w:hAnsi="Times New Roman"/>
          <w:color w:val="000000"/>
          <w:sz w:val="20"/>
        </w:rPr>
        <w:t xml:space="preserve"> On July 29, 2005, the Patient Safety and Quality Improvement Act of 2005 was enacted, which has the goal of reducing medical errors and increasing patient safety. This legislation establishes a confidential reporting structure in which providers can voluntarily report “Patient Safety Work Product” (“PSWP”) to “Patient Safety Organizations” (“PSOs”). Under the system, PSWP is made privileged, confidential and legally protected from disclosure. PSWP does not include medical, discharge or billing records or any other original patient or provider records but does include information gathered specifically in connection with the reporting of medical errors and improving patient safety. This legislation does not preempt state or federal mandatory disclosure laws concerning information that does not constitute PSWP. PSOs are certified by the Secretary of the HHS for three-year periods and analyze PSWP, provide feedback to providers and may report non-identifiable PSWP to a database. In addition, PSOs are expected to generate patient safety improvement strategies.</w:t>
      </w:r>
    </w:p>
    <w:p>
      <w:pPr>
        <w:pStyle w:val="TextBody"/>
        <w:bidi w:val="0"/>
        <w:spacing w:before="120" w:after="283"/>
        <w:jc w:val="left"/>
        <w:rPr>
          <w:rFonts w:ascii="Times New Roman" w:hAnsi="Times New Roman"/>
          <w:sz w:val="20"/>
        </w:rPr>
      </w:pPr>
      <w:r>
        <w:rPr>
          <w:rFonts w:ascii="Times New Roman" w:hAnsi="Times New Roman"/>
          <w:b/>
          <w:color w:val="000000"/>
          <w:sz w:val="20"/>
        </w:rPr>
        <w:t>Environmental Regulations:</w:t>
      </w:r>
      <w:r>
        <w:rPr>
          <w:rFonts w:ascii="Times New Roman" w:hAnsi="Times New Roman"/>
          <w:color w:val="000000"/>
          <w:sz w:val="20"/>
        </w:rPr>
        <w:t xml:space="preserve"> Our healthcare operations generate medical waste that must be disposed of in compliance with federal, state and local environmental laws, rules and regulations. Infectious waste generators, including hospitals, face substantial penalties for improper disposal of medical waste, including civil penalties of up to $25,000 per day of noncompliance, criminal penalties of up to $50,000 per day, imprisonment, and remedial costs. In addition, our operations, as well as our purchases and sales of facilities are subject to various other environmental laws, rules and regulations. We believe that our disposal of such wastes is in material compliance with all state and federal laws.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connection with recently enacted California Senate Bills 261 and 253, we are strengthening our climate</w:t>
        <w:noBreakHyphen/>
        <w:t>related risk assessment processes and enhancing our greenhouse gas emissions reporting capabilities. We are developing robust emissions data</w:t>
        <w:noBreakHyphen/>
        <w:t>collection system and internal controls to identify and disclose climate</w:t>
        <w:noBreakHyphen/>
        <w:t>related financial risks in alignment with recognized reporting frameworks, and we are implementing methodologies to measure, verify, and report Scope 1 and Scope 2 emissions in accordance with statutory timelines.</w:t>
      </w:r>
    </w:p>
    <w:p>
      <w:pPr>
        <w:pStyle w:val="TextBody"/>
        <w:bidi w:val="0"/>
        <w:spacing w:before="120" w:after="283"/>
        <w:jc w:val="left"/>
        <w:rPr>
          <w:rFonts w:ascii="Times New Roman" w:hAnsi="Times New Roman"/>
          <w:sz w:val="20"/>
        </w:rPr>
      </w:pPr>
      <w:r>
        <w:rPr>
          <w:rFonts w:ascii="Times New Roman" w:hAnsi="Times New Roman"/>
          <w:b/>
          <w:color w:val="000000"/>
          <w:sz w:val="20"/>
        </w:rPr>
        <w:t>Corporate Practice of Medicine:</w:t>
      </w:r>
      <w:r>
        <w:rPr>
          <w:rFonts w:ascii="Times New Roman" w:hAnsi="Times New Roman"/>
          <w:color w:val="000000"/>
          <w:sz w:val="20"/>
        </w:rPr>
        <w:t xml:space="preserve"> Several states, including Florida, Nevada, California and Texas, have laws and/or regulations that prohibit corporations and other entities from employing physicians and practicing medicine for a profit or that prohibit certain direct and indirect payments or fee-splitting arrangements between health care providers that are designed to induce or encourage the referral of patients to, or the recommendation of, particular providers for medical products and services. Possible sanctions for violation of these restrictions include loss of license and civil and criminal penalties. In addition, agreements between the corporation and the physician may be considered void and unenforceable. These statutes and/or regulations vary from state to state, are often vague and have seldom been interpreted by the courts or regulatory agencies. We do not expect these state corporate practice of medicine proscriptions to significantly affect our operations. Many states have laws and regulations which prohibit payments for referral of patients and fee-splitting with physicians. We do not make any such payments or have any such arrangements.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color w:val="000000"/>
          <w:sz w:val="20"/>
        </w:rPr>
        <w:t>EMTALA:</w:t>
      </w:r>
      <w:r>
        <w:rPr>
          <w:rFonts w:ascii="Times New Roman" w:hAnsi="Times New Roman"/>
          <w:color w:val="000000"/>
          <w:sz w:val="20"/>
        </w:rPr>
        <w:t xml:space="preserve"> All of our hospitals are subject to the Emergency Medical Treatment and Active Labor Act (“EMTALA”). This federal law generally requires hospitals with an emergency department that are certified providers under Medicare to conduct a medical screening examination of every person who visits the hospital’s emergency room for treatment and, if the patient is suffering from a medical emergency, to either stabilize the patient’s condition or transfer the patient to a facility that can better handle the condition. Our obligation to screen and stabilize emergency medical conditions exists regardless of a patient’s ability to pay for treatment. There are severe penalties under EMTALA if a hospital fails to screen or appropriately stabilize or transfer a patient or if the hospital delays appropriate treatment in order to first inquire about the patient’s ability to pay. Penalties for violations of EMTALA include civil monetary penalties and exclusion from participation in the Medicare program. In addition to any liabilities that a hospital may incur under EMTALA, an injured patient, the patient’s family or a medical facility that suffers a financial loss as a direct result of another hospital’s violation of the law can bring a civil suit against the hospital unrelated to the rights granted under that statute.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federal government broadly interprets EMTALA to cover situations in which patients do not actually present to a hospital’s emergency room, but present for emergency examination or treatment to the hospital’s campus, generally, or to a hospital-based clinic that treats emergency medical conditions or are transported in a hospital-owned ambulance, subject to certain exceptions. EMTALA does not generally apply to patients admitted for inpatient services; however, CMS has sought industry comments on the potential applicability of EMTALA to hospital inpatients and the responsibilities of hospitals with specialized capabilities, respectively. CMS has not yet issued regulations or guidance in response to that request for comments. The government also has expressed its intent to investigate and enforce EMTALA violations actively in the future. We believe that we operate in substantial compliance with EMTALA.</w:t>
      </w:r>
    </w:p>
    <w:p>
      <w:pPr>
        <w:pStyle w:val="TextBody"/>
        <w:bidi w:val="0"/>
        <w:spacing w:before="120" w:after="283"/>
        <w:jc w:val="left"/>
        <w:rPr>
          <w:rFonts w:ascii="Times New Roman" w:hAnsi="Times New Roman"/>
          <w:sz w:val="20"/>
        </w:rPr>
      </w:pPr>
      <w:r>
        <w:rPr>
          <w:rFonts w:ascii="Times New Roman" w:hAnsi="Times New Roman"/>
          <w:b/>
          <w:color w:val="000000"/>
          <w:sz w:val="20"/>
        </w:rPr>
        <w:t>Health Care Industry Investigations:</w:t>
      </w:r>
      <w:r>
        <w:rPr>
          <w:rFonts w:ascii="Times New Roman" w:hAnsi="Times New Roman"/>
          <w:color w:val="000000"/>
          <w:sz w:val="20"/>
        </w:rPr>
        <w:t xml:space="preserve"> We are subject to claims and suits in the ordinary course of business, including those arising from care and treatment afforded by our hospitals and are party to various government investigations and litigation. Please see </w:t>
      </w:r>
      <w:r>
        <w:rPr>
          <w:rFonts w:ascii="Times New Roman" w:hAnsi="Times New Roman"/>
          <w:i/>
          <w:color w:val="000000"/>
          <w:sz w:val="20"/>
        </w:rPr>
        <w:t>Item 3. Legal Proceedings</w:t>
      </w:r>
      <w:r>
        <w:rPr>
          <w:rFonts w:ascii="Times New Roman" w:hAnsi="Times New Roman"/>
          <w:color w:val="000000"/>
          <w:sz w:val="20"/>
        </w:rPr>
        <w:t xml:space="preserve"> included herein for additional disclosure. In addition, currently, and from time to time, some of our facilities are subjected to inquiries and/or actions and receive notices of potential non-compliance of laws and regulations from various federal and state agencies. Providers that are found to have violated these laws and regulations may be excluded from participating in government healthcare programs, subjected to potential licensure, certification, and/or accreditation revocation, subjected to fines or penalties or required to repay amounts received from the government for previously billed patient services.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monitor all aspects of our business and have developed a comprehensive ethics and compliance program that is designed to meet or exceed applicable federal guidelines and industry standards. Because the law in this area is complex and constantly evolving, governmental investigation or litigation may result in interpretations that are inconsistent with industry practices, including ours. Although we believe our policies, procedures and practices comply with governmental regulations, no assurance can be given that we will not be subjected to inquiries or actions, or that we will not be faced with sanctions, fines or penalties in connection with the investigations. Even if we were to ultimately prevail, the government’s inquiry and/or action in connection with these matters could have a material adverse effect on our future operating results.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substantial Medicare, Medicaid and other governmental billings may result in heightened scrutiny of our operations. It is possible that governmental entities could initiate additional investigations or litigation in the future and that such matters could result in significant penalties as well as adverse publicity. It is also possible that our executives and/or managers could be included as targets or witnesses in governmental investigations or litigation and/or named as defendants in private litigation.</w:t>
      </w:r>
    </w:p>
    <w:p>
      <w:pPr>
        <w:pStyle w:val="TextBody"/>
        <w:bidi w:val="0"/>
        <w:spacing w:before="120" w:after="283"/>
        <w:jc w:val="left"/>
        <w:rPr>
          <w:rFonts w:ascii="Times New Roman" w:hAnsi="Times New Roman"/>
          <w:sz w:val="20"/>
        </w:rPr>
      </w:pPr>
      <w:r>
        <w:rPr>
          <w:rFonts w:ascii="Times New Roman" w:hAnsi="Times New Roman"/>
          <w:b/>
          <w:color w:val="000000"/>
          <w:sz w:val="20"/>
        </w:rPr>
        <w:t>Revenue Rulings 98-15 and 2004-51:</w:t>
      </w:r>
      <w:r>
        <w:rPr>
          <w:rFonts w:ascii="Times New Roman" w:hAnsi="Times New Roman"/>
          <w:color w:val="000000"/>
          <w:sz w:val="20"/>
        </w:rPr>
        <w:t xml:space="preserve"> In March 1998 and May 2004, the IRS issued guidance regarding the tax consequences of joint ventures between for-profit and not-for-profit hospitals. As a result of the tax rulings, the IRS has proposed, and may in the future propose, to revoke the tax-exempt or public charity status of certain not-for-profit entities which participate in such joint ventures or to treat joint venture income as unrelated business taxable income to them. The tax rulings have limited development of joint ventures and any adverse determination by the IRS or the courts regarding the tax-exempt or public charity status of a not-for-profit partner or the characterization of joint venture income as unrelated business taxable income could further limit joint venture development with not-for-profit hospitals, and/or require the restructuring of certain existing joint ventures with not-for-profits.</w:t>
      </w:r>
    </w:p>
    <w:p>
      <w:pPr>
        <w:pStyle w:val="TextBody"/>
        <w:bidi w:val="0"/>
        <w:spacing w:before="120" w:after="283"/>
        <w:jc w:val="left"/>
        <w:rPr>
          <w:rFonts w:ascii="Times New Roman" w:hAnsi="Times New Roman"/>
          <w:sz w:val="20"/>
        </w:rPr>
      </w:pPr>
      <w:r>
        <w:rPr>
          <w:rFonts w:ascii="Times New Roman" w:hAnsi="Times New Roman"/>
          <w:b/>
          <w:color w:val="000000"/>
          <w:sz w:val="20"/>
        </w:rPr>
        <w:t>State Rate Review:</w:t>
      </w:r>
      <w:r>
        <w:rPr>
          <w:rFonts w:ascii="Times New Roman" w:hAnsi="Times New Roman"/>
          <w:color w:val="000000"/>
          <w:sz w:val="20"/>
        </w:rPr>
        <w:t xml:space="preserve"> Some states where we operate hospitals have adopted legislation mandating rate or budget review for hospitals or have adopted taxes on hospital revenues, assessments or licensure fees to fund indigent health care within the state. In the aggregate, state rate reviews and indigent tax provisions have not materially, adversely affected our results of operations.</w:t>
      </w:r>
    </w:p>
    <w:p>
      <w:pPr>
        <w:pStyle w:val="TextBody"/>
        <w:bidi w:val="0"/>
        <w:spacing w:before="120" w:after="283"/>
        <w:jc w:val="left"/>
        <w:rPr>
          <w:rFonts w:ascii="Times New Roman" w:hAnsi="Times New Roman"/>
          <w:sz w:val="20"/>
        </w:rPr>
      </w:pPr>
      <w:r>
        <w:rPr>
          <w:rFonts w:ascii="Times New Roman" w:hAnsi="Times New Roman"/>
          <w:b/>
          <w:color w:val="000000"/>
          <w:sz w:val="20"/>
        </w:rPr>
        <w:t>Medical Malpractice Tort Law Reform:</w:t>
      </w:r>
      <w:r>
        <w:rPr>
          <w:rFonts w:ascii="Times New Roman" w:hAnsi="Times New Roman"/>
          <w:color w:val="000000"/>
          <w:sz w:val="20"/>
        </w:rPr>
        <w:t xml:space="preserve"> Medical malpractice tort law has historically been maintained at the state level. All states have laws governing medical liability lawsuits. Over half of the states have limits on damages awards. Almost all states have eliminated joint and several liability in malpractice lawsuits, and many states have established limits on attorney fees. Many states had bills introduced in their legislative sessions to address medical malpractice tort reform. Proposed solutions include enacting limits on non-economic damages, malpractice insurance reform, and gathering lawsuit claims data from malpractice insurance companies and the courts for the purpose of assessing the connection between malpractice settlements and premium rates. Reform legislation has also been proposed, but not adopted, at the federal level that could preempt additional state legislation in this area.</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color w:val="000000"/>
          <w:sz w:val="20"/>
        </w:rPr>
        <w:t>Compliance Program:</w:t>
      </w:r>
      <w:r>
        <w:rPr>
          <w:rFonts w:ascii="Times New Roman" w:hAnsi="Times New Roman"/>
          <w:color w:val="000000"/>
          <w:sz w:val="20"/>
        </w:rPr>
        <w:t xml:space="preserve"> Our company-wide compliance program has been in place since 1998. Currently, the program’s elements include a Code of Conduct, risk area specific policies and procedures, employee education and training, an internal system for reporting concerns, auditing and monitoring programs, and a means for enforcing the program’s policies.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Since its initial adoption, the compliance program continues to be expanded and developed to meet the industry’s expectations and our needs. Specific written policies, procedures, training and educational materials and programs, as well as auditing and monitoring activities have been prepared and implemented to address the functional and operational aspects of our business. Specific areas identified through regulatory interpretation and enforcement activities have also been addressed in our program. Claims preparation and submission, including coding, billing, and cost reports, comprise the bulk of these areas. Financial arrangements with physicians and other referral sources, including compliance with anti-kickback and Stark laws and emergency department treatment and transfer requirements are also the focus of policy and training, standardized documentation requirements, and review and audit.</w:t>
      </w:r>
    </w:p>
    <w:p>
      <w:pPr>
        <w:pStyle w:val="TextBody"/>
        <w:bidi w:val="0"/>
        <w:spacing w:before="120" w:after="283"/>
        <w:jc w:val="left"/>
        <w:rPr>
          <w:rFonts w:ascii="Times New Roman" w:hAnsi="Times New Roman"/>
          <w:sz w:val="20"/>
        </w:rPr>
      </w:pPr>
      <w:r>
        <w:rPr>
          <w:rFonts w:ascii="Times New Roman" w:hAnsi="Times New Roman"/>
          <w:b/>
          <w:color w:val="000000"/>
          <w:sz w:val="20"/>
        </w:rPr>
        <w:t xml:space="preserve">United Kingdom Regulation: </w:t>
      </w:r>
      <w:r>
        <w:rPr>
          <w:rFonts w:ascii="Times New Roman" w:hAnsi="Times New Roman"/>
          <w:color w:val="000000"/>
          <w:sz w:val="20"/>
        </w:rPr>
        <w:t>Our operations in the United Kingdom are also subject to a high level of regulation relating to registration and licensing requirements, employee regulation, clinical standards, environmental rules as well as other areas. We are also subject to a highly regulated business environment, and failure to comply with the various laws and regulations applicable to us could lead to substantial penalties and other adverse effects on our business.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Human Capital Management</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Employees and Medical Staff</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December 31, 2025, we had approximately 101,500 total employees consisting of: (i) approximately 88,100 employees located in the U.S., of which approximately 65,000 were employed full-time, and; (ii) approximately 13,400 employees located in the U.K. Our hospitals are staffed by licensed physicians who have been admitted to the medical staff of individual hospitals. In a number of our markets, physicians may have admitting privileges at other hospitals in addition to ours. Within our acute care division, approximately 460 physicians are employed by physician practice management subsidiaries of ours either directly or through contracts with affiliated group practices structured as 501A corporations. Members of the medical staffs of our hospitals also serve on the medical staffs of hospitals not owned by us and may terminate their affiliation with our hospitals at any time. In addition, within our behavioral health division, approximately 445 physicians are employed by subsidiaries of ours either directly or through contracts with affiliated group practices structured as 501A corporations. Each of our hospitals is managed on a day-to-day basis by a chief executive officer employed by a subsidiary of ours. In addition, a Board of Governors, including members of the hospital’s medical staff, governs the medical, professional and ethical practices at each hospital. We believe that our relations with our employees are satisfactory.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Labor Relations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Approximately 1,070 of our employees at three of our hospitals are unionized. At Valley Hospital Medical Center, housekeeping and dietary employees are represented by the Culinary Workers Union, Local 226, and engineers are represented by the International Union of Operating Engineers. At Brooke Glen Behavioral Hospital, unionized employees are represented by the Teamsters, and registered nurses are represented by the Northwestern Nurses Association/Pennsylvania Association of Staff Nurses and Allied Professionals. At the George Washington University Hospital, registered nurses are represented by the District of Columbia Nurses Association and housekeeping and dietary are represented by the Service Employees International Union.</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Culture and Work Environment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During orientation, newly hired employees learn our mission, vision, principles and values, key policies and procedures, a summary of the various benefits and resources available, and perhaps most notably, an overview of our founding principle, Service Excellence. Learning key attributes of our Service Excellence standards, which include continuous improvement, employee development, ethical and fair treatment of all, teamwork, quality, compassion and innovation in service delivery, provides newly hired employees a thorough understanding of our company culture. Other components of our Service Excellence standards, which include treating everyone as a guest, demonstrating professionalism and excellence and practicing teamwork, are shared to help guide the desired approach to day-to-day activities.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Service Excellence Facilitator Certification Workshops are available for facility employees identified by their leadership for consistently upholding and demonstrating our Service Excellence standards. Certified facilitators foster the Service Excellence culture and deliver training at their facilities. In 2025, we held 10 workshops with 120 individuals certified as Service Excellence Facilitators.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2025, we strengthened our recruitment efforts, improved the overall hiring experience (90% very satisfied/satisfied with overall recruitment process), expanded the training resources employees need to do their jobs effectively and safely, facilitated more teamwork and collaboration, expanded mentorship and increased employee engagement.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conducted an Employee Pulse Engagement Survey and had an overall participation rate of 68% across the organization. 81% of staff indicated “I feel included on my team/work unit” and "this organization values employees from different backgrounds". Engagement efforts such as services awards, safety programs and employee-led service excellence/culture committees have assisted with increased employee retention.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Ethical Standards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Each member of our Board of Directors and senior management is committed to healthcare operations that are ethical and in compliance with all applicable laws and regulations.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committed to fostering a culture of accountability at all levels and encourage our employees to report anything they believe could be noncompliant with our values. We prohibit retaliation for the good faith reporting of compliance concerns and offer the ability for individuals to anonymously elevate any concerns. Our commitment to fairness and integrity extends to everyone with whom we interact and do business.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Health and Safety</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Policies and training programs to encourage work safety are a major focus in our organization. We continue to promote the </w:t>
      </w:r>
      <w:r>
        <w:rPr>
          <w:rFonts w:ascii="Times New Roman" w:hAnsi="Times New Roman"/>
          <w:color w:val="404040"/>
          <w:sz w:val="20"/>
        </w:rPr>
        <w:t>employee assistance program which has provided a superior level of service to all our employees and members of their households. W</w:t>
      </w:r>
      <w:r>
        <w:rPr>
          <w:rFonts w:ascii="Times New Roman" w:hAnsi="Times New Roman"/>
          <w:color w:val="212529"/>
          <w:sz w:val="20"/>
        </w:rPr>
        <w:t xml:space="preserve">e have continuous training on workplace safety and launched a “We Care” program guide to ensure our hospitals support employees in a detailed way in the event of an employee injury. </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Employee Development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keeping with our culture of continuous improvement, training opportunities are available for all employees, regardless of level or status. These include formal instructor-led, in-person or virtual training, self-administered online courses, formal and informal mentoring or networking opportunities, and career ladders. Our “U Learn” curriculum, with over 60 courses designed to develop employees across their career continuum, has three tracks; “Invest in U”, “Develop U” and “Manage U”.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Training programs are designed to assist with personal and skill development, career advancement and succession planning. In addition to mandatory training that focuses on keeping employees mindful and informed of key policies and skill sets, many are voluntary. All training is tailored to include potential Americans with Disabilities Act accommodations.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Across the company, we offer educational and work opportunities, including internships, externships and clinical field placement opportunities. We have partnered with many colleges and universities to provide students with opportunities to earn clinical and work experience at our healthcare facilities. In our 2025 Employee Engagement Survey, conducted by a third party, the item of “this organization provides career development opportunities” continued to demonstrate statistically significant growth. In addition, our organization has been recognized by several third-party organizations, such as the American Opportunity Index, as an Employer of Choice, specifically for achievements in employee development and growth.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also offer financial assistance programs, such as educational reimbursement, to support employees participating in degree, certification and continuing education programs.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Equal Employment Opportunity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committed to the principle of Equal Employment Opportunity ("EEO") for all employees and applicants. As an EEO Employer we support, and are fully committed, to recruitment, selection, placement, promotion and compensation of all individuals without regard to race, color, religion, age (40 and over or as otherwise defined by applicable law), sex (including pregnancy, gender identity, and sexual orientation), genetic information (including family medical history), national origin, disability status, protected veteran status or any other characteristic protected by federal, state or local laws.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value each member of our team and are committed to treating everyone with dignity and respect. Our commitment to diversity, equity, and inclusion includes regularly monitoring employment practices to ensure inclusivity regardless of an employee’s gender, race or ethnicity and championing for inclusive behaviors through leadership example, policies and procedures, training and special events.</w:t>
      </w:r>
    </w:p>
    <w:p>
      <w:pPr>
        <w:pStyle w:val="TextBody"/>
        <w:bidi w:val="0"/>
        <w:spacing w:before="120" w:after="283"/>
        <w:jc w:val="left"/>
        <w:rPr>
          <w:rFonts w:ascii="Times New Roman" w:hAnsi="Times New Roman"/>
          <w:sz w:val="20"/>
        </w:rPr>
      </w:pPr>
      <w:r>
        <w:rPr>
          <w:rFonts w:ascii="Times New Roman" w:hAnsi="Times New Roman"/>
          <w:b/>
          <w:color w:val="000000"/>
          <w:sz w:val="20"/>
        </w:rPr>
        <w:t>Employee Assistance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continue to support the overall health and financial well-being of our employees across the extensive programs and benefit plans that we offer. Employees can access the UHS Resource Guide which provides details on access to the benefits, resources and support tools available to employees throughout our organization.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2025, the UHS Foundation continued to support employees and their families who suffered losses due to natural disasters across the country including Hurricane Milton, Hurricane Helene and the California wildfires.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Environmental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implemented environmentally sustainable practices and we strive to comply with applicable legal and regulatory environmental standards to protect our patients, visitors, staff and local communities. Our environmental stewardship includes following best practices when managing energy usage, constructing and designing new builds and/or major renovations and protecting the local environment.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Smart building technology and automation are used across our enterprise to monitor and inform energy management decisions. Centralized utility billing management system effectively tracks energy usage across our U.S. facilities, signaling significant deviations from normal usage consumption patterns. Automatic fault detection and diagnostics software is implemented in approximately 75% of our acute care hospitals to monitor the operations of the heating, ventilation and air conditioning system equipment. Most of these facilities also utilize retro-commissioning and monitoring-based commissioning technologies to effectively control and optimize the systems' operations.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All of our newly built facilities, or those undergoing major renovation, are required to meet, or exceed, all federal, state and local energy efficiency codes, use mechanical-electrical-plumbing systems to optimize energy efficiencies and water conservation and be equipped with emergency back-up generators, with 96 hours of fuel. New construction or major renovation projects costing at least $20 million are required to be assessed for Green Globes® and/or U.S. Green Building Council’s Leadership in Energy and Environmental Design certifications. All newly constructed acute care facilities are also expected to achieve an ENERGY STAR® Portfolio Manager Score of 90 or higher.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facilities have policies and procedures that are compliant with the applicable laws and regulations from the Environmental Protection Agency, local departments of health and other regulators who oversee the responsible disposal of pollution and waste. Our Water Management Program (“WMP”), which is co-managed jointly by a third-party company specializing in water safety, oversees programs for potable and process water (e.g., surgical instrument processing) as well as utility water (e.g., cooling tower, boilers) through active management and hazard control validation. The WPM is designed to ensure safe water throughout our buildings and meets ANSI/ASHRAE Standard 188 (Legionellosis: Risk Management for Building Water Systems). The WPM recently incorporated current ANSI/AAMI ST108: 2023 Water standards for the processing of medical devices and standardized ”flushing protocols” for facilities to use during terminal cleaning process.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facilities located in the U.K. advanced several environmentally friendly initiatives in 2025 and continued to procure 100% of their electricity from renewable sources. To date, the emission reduction targets for these facilities include: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zero carbon for direct (Scope 1) and indirect (Scope 2) emissions by 2035.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zero carbon emissions in supply chain (Scope 3) by 2040.</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leadership teams use reasonable efforts to manage opportunities and risks related to our facilities, including those related to climate change and other environmental risks.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Revenue and volume trends may be affected by seasonal and severe weather conditions, including the effects of extreme low temperatures, hurricanes and tornadoes, earthquakes, climate change, current local economic and demographic changes. We have facilities in various geographic areas, including states that have a potentially higher risk of experiencing events such as severe weather conditions. Given the location of our facilities, we are susceptible to revenue loss, cost increase, or damage caused by severe weather conditions or natural disasters such as hurricanes, wildfires, earthquakes, or tornadoes. Any significant loss due to a natural disaster may lead to a significant increase in the cost of insurance and/or a reduction in the availability of insurance on acceptable terms. Climate change may also have effects on our business by increasing the cost of property insurance or making coverage unavailable on acceptable terms. To the extent that significant changes in the climate occur in areas where our facilities are located, we may experience increased frequency of severe weather conditions, natural disasters or other changes to weather patterns, all of which may result in physical damage to or a decrease in demand for properties affected by these conditions. Should the impact of climate change be material in nature or occur for lengthy periods of time, our financial condition, revenues, results of operations, or cash flow may be adversely affected.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addition, operations may be subject to increases in energy prices and/or increased government regulation, such as the limiting of greenhouse gas emissions, intended to mitigate the impact of climate change, severe weather patterns, or natural disasters. These could result in additional required capital and/or operational expenditures to comply with such regulation without a corresponding increase in our revenues.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Competition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health care industry is highly competitive. In recent years, competition among healthcare providers for patients has intensified in the United States due to, among other things, regulatory and technological changes, increasing use of managed care payment systems, cost containment pressures and a shift toward outpatient treatment. In all of the geographical areas in which we operate, there are other facilities that provide services comparable to those offered by our facilities. In addition, some of our competitors include hospitals that are owned by tax-supported governmental agencies or by nonprofit corporations and may be supported by endowments and charitable contributions and exempt from property, sale and income taxes. Such exemptions and support are not available to us.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some markets, certain of our competitors may have greater financial resources, be better equipped and offer a broader range of services than us. Certain hospitals that are located in the areas served by our facilities are specialty or large hospitals that provide medical, surgical and behavioral health services, facilities and equipment that are not available at our hospitals. The increase in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outpatient treatment and diagnostic facilities, including outpatient surgical centers and addiction treatment centers offering medically assisted treatments, also increases competition for us. In addition, some of our hospitals face competition from hospitals or surgery centers that are physician owned.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we depend on the efforts, abilities, and experience of our medical support personnel, including our nurses and other health care professionals, as well as non-professionals such as mental health technicians. We compete with other health care providers in recruiting and retaining qualified hospital management, nurses and other medical personnel.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Certain states in which we operate hospitals have CON laws. The application process for approval of additional covered services, new facilities, changes in operations and capital expenditures is, therefore, highly competitive in these states. In those states that do not have CON laws or which set relatively high levels of expenditures before they become reviewable by state authorities, competition in the form of new services, facilities and capital spending is more prevalent. See “Regulation and Other Factors.”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negotiate favorable service contracts with purchasers of group health care services also affects our competitive position and significantly affects the revenues and operating results of our hospitals. Managed care plans, including managed Medicare and Medicaid plans, attempt to direct and control the use of hospital services and to demand that we accept lower rates of payment. In addition, employers and traditional health insurers are increasingly interested in containing costs through negotiations with hospitals for managed care programs and discounts from established charges. In return, hospitals secure commitments for a larger number of potential patients. Generally, hospitals compete for service contracts with group health care service purchasers on the basis of price, market reputation, geographic location, quality and range of services, quality of the medical staff and convenience. The importance of obtaining contracts with managed care organizations varies from market to market depending on the market strength of such organizations.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 element of our growth strategy is expansion through the acquisition of additional facilities in select markets. The competition to acquire healthcare facilities is significant. We compete for acquisitions with other for-profit healthcare companies, private equity and venture capital firms, as well as not-for-profit entities. Some of our competitors have greater resources than we do. We intend to selectively seek opportunities to expand our base of operations by adhering to our disciplined program of rational growth, but may not be successful in accomplishing acquisitions on favorable terms.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Relationship with Universal Health Realty Income Trust</w:t>
      </w:r>
    </w:p>
    <w:p>
      <w:pPr>
        <w:pStyle w:val="TextBody"/>
        <w:bidi w:val="0"/>
        <w:spacing w:before="120" w:after="283"/>
        <w:jc w:val="left"/>
        <w:rPr>
          <w:rFonts w:ascii="Times New Roman" w:hAnsi="Times New Roman"/>
          <w:sz w:val="20"/>
        </w:rPr>
      </w:pPr>
      <w:r>
        <w:rPr>
          <w:rFonts w:ascii="Times New Roman" w:hAnsi="Times New Roman"/>
          <w:color w:val="000000"/>
          <w:sz w:val="20"/>
        </w:rPr>
        <w:t>At December 31, 2025, we held approximately 5.7% of the outstanding shares of Universal Health Realty Income Trust (the “Trust”). We serve as Advisor to the Trust under an annually renewable advisory agreement, which is scheduled to expire on December 31</w:t>
      </w:r>
      <w:r>
        <w:rPr>
          <w:rFonts w:ascii="Times New Roman" w:hAnsi="Times New Roman"/>
          <w:color w:val="000000"/>
          <w:sz w:val="13"/>
        </w:rPr>
        <w:t>st</w:t>
      </w:r>
      <w:r>
        <w:rPr>
          <w:rFonts w:ascii="Times New Roman" w:hAnsi="Times New Roman"/>
          <w:color w:val="000000"/>
          <w:sz w:val="20"/>
        </w:rPr>
        <w:t xml:space="preserve"> of each year, pursuant to the terms of which we conduct the Trust’s day-to-day affairs, provide administrative services and present investment opportunities. The advisory agreement was renewed by the Trust for 2026 at the same rate in place for 2025, 2024 and 2023, providing for an advisory computation at 0.70% of the Trust’s average invested real estate assets. We earned an advisory fee from the Trust, which is included in net revenues in the accompanying consolidated statements of income, of approximately $5.6 million during 2025, approximately $5.5 million during 2024 and $5.3 million during 2023.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certain of our officers and directors are also officers and/or directors of the Trust. Management believes that it has the ability to exercise significant influence over the Trust, therefore we account for our investment in the Trust using the equity method of accounting.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pre-tax share of income from the Trust was $1.0 million during 2025, $1.1 million during 2024 and $0.9 million during 2023, which are included in other income (expense), net, on the accompanying consolidated statements of income for each year. We received dividends from the Trust amounting to $2.3 million during 2025, 2024 and 2023. The carrying value of our investment in the Trust was $4.4 million and $5.8 million at December 31, 2025 and 2024, respectively, and is included in other assets in the accompanying consolidated balance sheets. The market value of our investment in the Trust was $30.9 million at December 31, 2025 and $29.3 million at December 31, 2024, based on the closing price of the Trust’s stock on the respective 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Trust commenced operations in 1986 by purchasing certain hospital properties from us and immediately leasing the properties back to our respective subsidiaries. The base rents are paid monthly and the bonus rents, which effective as of January 1, 2022 are applicable only to McAllen Medical Center, are computed and paid on a quarterly basis, based upon a computation that compares current quarter revenue to a corresponding quarter in the base year. The leases with those subsidiaries are unconditionally guaranteed by us and are cross-defaulted with one another.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December 31, 2021, we entered into an asset purchase and sale agreement with the Trust, which was amended during the first quarter of 2022, pursuant to the terms of which: (i) a wholly-owned subsidiary of ours purchased from the Trust the real estate assets of the Inland Valley Campus of Southwest Healthcare System located in Wildomar, California, at its fair market value; (ii) two wholly-owned subsidiaries of ours transferred to the Trust, at their respective fair-market values, the real estate assets of Aiken Regional Medical Center (“Aiken”), located in Aiken, South Carolina (which includes a 211-bed acute care hospital and a 62-bed behavioral health facility), and Canyon Creek Behavioral Health (“Canyon Creek”), located in Temple, Texas, and; (iii) we received approximately $4.1 million in cash from the Trust.</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a result of the purchase options within the lease agreements for Aiken and Canyon Creek, the asset purchase and sale transaction is accounted for as a failed sale leaseback in accordance with U.S. GAAP. We have accounted for the asset exchange and substitution transaction with the Trust as a financing arrangement and, since we did not derecognize the real property related to Aiken and Canyon Creek, we will continue to depreciate the assets. Our consolidated balance sheets as of December 31, 2025 and December 31, 2024 reflects a financial liability of $70.0 million and $73.8 million, respectively, which is included in debt, for the fair value of real estate assets that we exchanged as part of the transaction. Our monthly lease payments payable to the Trust will be recorded to interest expense and as a reduction to the outstanding financial liability. The amount allocated to interest expense is determined using our incremental borrowing rate and is based on the outstanding financial liability.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aggregate rent payable to the Trust in connection with the leases on McAllen Medical Center, Wellington Regional Medical Center, Aiken Regional Medical Center and Canyon Creek Behavioral Health was approximately $21.7 million during 2025 and $21.2 million during 2024.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Pursuant to the Master Leases by certain subsidiaries of ours and the Trust as described in the table below, dated 1986 and 2021 (“the Master Leases”) which govern the leases of McAllen Medical Center and Wellington Regional Medical Center (each of which is governed by the Master Lease dated 1986), and Aiken Regional Medical Center and Canyon Creek Behavioral Health (each of which is governed by the Master Lease dated 2021), we have the option to renew the leases at the lease terms described above and below by providing notice to the Trust at least 90 days prior to the termination of the then current term. We also have the right to purchase the respective leased hospitals at their appraised fair market value upon any of the following: (i) at the end of the lease terms or any renewal terms; (ii) upon one month’s notice should a change of control of the Trust occur, or; (iii) within the time period as specified in the lease in the event that we provide notice to the Trust of our intent to offer a substitution property/properties in exchange for one (or more) of the hospital properties leased from the Trust should we be unable to reach an agreement with the Trust on the properties to be substituted. In addition, we have rights of first refusal to: (i) purchase the respective leased facilities during and for a specified period after the lease terms at the same price, terms and conditions of any third-party offer, or; (ii) renew the lease on the respective leased facility at the end of, and for a specified period after, the lease term at the same terms and conditions pursuant to any third-party offer.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we are the managing, majority member in a joint venture with an unrelated third-party that operates Clive Behavioral Health, a 100-bed behavioral health care facility located in Clive, Iowa. The real property of this facility, which was completed and opened in late 2020, is also leased from the Trust (annual rental of approximately $2.9 million, $2.8 million and $2.7 million during 2025, 2024 and 2023, respectively) pursuant to the lease terms as provided in the table below. In connection with the lease on this facility, the joint venture has the right to purchase the leased facility from the Trust at its appraised fair market value upon either of the following: (i) by providing notice at least 270 days prior to the end of the lease terms or any renewal terms, or; (ii) upon 30 days' notice anytime within 12 months of a change of control of the Trust (UHS also has this right should the joint venture decline to exercise its purchase right). Additionally, the joint venture has rights of first offer to purchase the facility prior to any third-party sale.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table below provides certain details for each of the hospitals leased from the Trust as of January 1, 2026:</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687"/>
        <w:gridCol w:w="146"/>
        <w:gridCol w:w="146"/>
        <w:gridCol w:w="211"/>
        <w:gridCol w:w="931"/>
        <w:gridCol w:w="146"/>
        <w:gridCol w:w="146"/>
        <w:gridCol w:w="1410"/>
        <w:gridCol w:w="146"/>
        <w:gridCol w:w="227"/>
        <w:gridCol w:w="494"/>
        <w:gridCol w:w="146"/>
        <w:gridCol w:w="369"/>
      </w:tblGrid>
      <w:tr>
        <w:trPr/>
        <w:tc>
          <w:tcPr>
            <w:tcW w:w="568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1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r>
      <w:tr>
        <w:trPr/>
        <w:tc>
          <w:tcPr>
            <w:tcW w:w="56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Hospital Name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Annual</w:t>
              <w:br/>
              <w:t>Minimum</w:t>
              <w:br/>
              <w:t>Rent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End of Lease Term</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Renewal</w:t>
              <w:br/>
              <w:t>Term</w:t>
              <w:br/>
              <w:t>(years)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McAllen Medical Center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5,485,000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December,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(a)</w:t>
            </w:r>
          </w:p>
        </w:tc>
      </w:tr>
      <w:tr>
        <w:trPr/>
        <w:tc>
          <w:tcPr>
            <w:tcW w:w="56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Wellington Regional Medical Center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6,975,000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December,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(b)</w:t>
            </w:r>
          </w:p>
        </w:tc>
      </w:tr>
      <w:tr>
        <w:trPr/>
        <w:tc>
          <w:tcPr>
            <w:tcW w:w="56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Aiken Regional Medical Center/Aurora Pavilion Behavioral Health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4,257,000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December, 2033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(c)</w:t>
            </w:r>
          </w:p>
        </w:tc>
      </w:tr>
      <w:tr>
        <w:trPr/>
        <w:tc>
          <w:tcPr>
            <w:tcW w:w="56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Canyon Creek Behavioral Health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1,925,000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December, 2033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(c)</w:t>
            </w:r>
          </w:p>
        </w:tc>
      </w:tr>
      <w:tr>
        <w:trPr/>
        <w:tc>
          <w:tcPr>
            <w:tcW w:w="56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Clive Behavioral Health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December, 2040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(d)</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one 5-year renewal option at existing lease rates (through 2031).</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(b)</w:t>
      </w:r>
    </w:p>
    <w:p>
      <w:pPr>
        <w:pStyle w:val="TextBody"/>
        <w:bidi w:val="0"/>
        <w:spacing w:before="0" w:after="0"/>
        <w:jc w:val="left"/>
        <w:rPr/>
      </w:pPr>
      <w:r>
        <w:rPr>
          <w:rFonts w:ascii="Times New Roman" w:hAnsi="Times New Roman"/>
          <w:color w:val="000000"/>
          <w:sz w:val="20"/>
        </w:rPr>
        <w:t>We have one 5-year renewal option at fair market value lease rates (through 2031). On each January 1</w:t>
      </w:r>
      <w:r>
        <w:rPr>
          <w:rFonts w:ascii="Times New Roman" w:hAnsi="Times New Roman"/>
          <w:color w:val="000000"/>
          <w:sz w:val="13"/>
        </w:rPr>
        <w:t>st</w:t>
      </w:r>
      <w:r>
        <w:rPr>
          <w:color w:val="000000"/>
        </w:rPr>
        <w:t xml:space="preserve"> </w:t>
      </w:r>
      <w:r>
        <w:rPr>
          <w:rFonts w:ascii="Times New Roman" w:hAnsi="Times New Roman"/>
          <w:color w:val="000000"/>
          <w:sz w:val="20"/>
        </w:rPr>
        <w:t>through 2026, the annual rent will increase by 2.50% on a cumulative and compounded basis.</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(c)</w:t>
      </w:r>
    </w:p>
    <w:p>
      <w:pPr>
        <w:pStyle w:val="TextBody"/>
        <w:bidi w:val="0"/>
        <w:spacing w:before="0" w:after="0"/>
        <w:jc w:val="left"/>
        <w:rPr/>
      </w:pPr>
      <w:r>
        <w:rPr>
          <w:rFonts w:ascii="Times New Roman" w:hAnsi="Times New Roman"/>
          <w:color w:val="000000"/>
          <w:sz w:val="20"/>
        </w:rPr>
        <w:t>We have seven 5-year renewal options at fair market value lease rates (2034 through 2068). On each January 1</w:t>
      </w:r>
      <w:r>
        <w:rPr>
          <w:rFonts w:ascii="Times New Roman" w:hAnsi="Times New Roman"/>
          <w:color w:val="000000"/>
          <w:sz w:val="13"/>
        </w:rPr>
        <w:t>st</w:t>
      </w:r>
      <w:r>
        <w:rPr>
          <w:color w:val="000000"/>
        </w:rPr>
        <w:t xml:space="preserve"> </w:t>
      </w:r>
      <w:r>
        <w:rPr>
          <w:rFonts w:ascii="Times New Roman" w:hAnsi="Times New Roman"/>
          <w:color w:val="000000"/>
          <w:sz w:val="20"/>
        </w:rPr>
        <w:t>through 2033, the annual rent will increase by 2.25% on a cumulative and compounded basis.</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(d)</w:t>
      </w:r>
    </w:p>
    <w:p>
      <w:pPr>
        <w:pStyle w:val="TextBody"/>
        <w:bidi w:val="0"/>
        <w:jc w:val="left"/>
        <w:rPr>
          <w:rFonts w:ascii="Times New Roman" w:hAnsi="Times New Roman"/>
          <w:color w:val="000000"/>
          <w:sz w:val="20"/>
        </w:rPr>
      </w:pPr>
      <w:r>
        <w:rPr>
          <w:rFonts w:ascii="Times New Roman" w:hAnsi="Times New Roman"/>
          <w:color w:val="000000"/>
          <w:sz w:val="20"/>
        </w:rPr>
        <w:t xml:space="preserve">This facility is operated by a joint venture in which we are the managing, majority member and an unrelated third-party holds a minority ownership interest. The joint venture has three, 10-year renewal options at computed lease rates as stipulated in the lease (2041 through 2070) and two additional, 10-year renewal options at fair market value lease rates (2071 through 2090). In each January through 2040 (and potentially through 2070 if three, 10-year renewal options are exercised), the annual rental will increase by 2.75% on a cumulative and compounded basis.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certain of our subsidiaries are tenants in several medical office buildings (“MOBs”) and two free-standing emergency departments ("FED") owned by the Trust or by limited liability companies in which the Trust holds 95% to 100% of the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ownership interest. The current lease terms on these two FEDs, which are located in Weslaco and Mission, Texas, are scheduled to end on January 31, 2030. Pursuant to terms of the leases, the lease rates are scheduled to increase 2% per year through the end of the lease terms. Our subsidiaries have four, 5-year renewal options remaining on each of these FEDs, with the first three renewal options (covering the years 2030 through 2044) providing for 2% annual increases to the lease rates, and the remaining two, 5-year renewal options (covering the years 2045 through 2054) providing for lease rates at the then fair market value. These leases are cross-defaulted with one another and our subsidiaries have the option to purchase the leased properties upon the expiration of each five-year extended term at the fair market value at that time. </w:t>
      </w:r>
    </w:p>
    <w:p>
      <w:pPr>
        <w:pStyle w:val="TextBody"/>
        <w:bidi w:val="0"/>
        <w:spacing w:before="120" w:after="160"/>
        <w:jc w:val="left"/>
        <w:rPr>
          <w:rFonts w:ascii="Times New Roman" w:hAnsi="Times New Roman"/>
          <w:color w:val="000000"/>
          <w:sz w:val="20"/>
        </w:rPr>
      </w:pPr>
      <w:r>
        <w:rPr>
          <w:rFonts w:ascii="Times New Roman" w:hAnsi="Times New Roman"/>
          <w:color w:val="000000"/>
          <w:sz w:val="20"/>
        </w:rPr>
        <w:t xml:space="preserve">In October, 2025, a ground lease and a master flex lease were executed between a wholly-owned subsidiary of ours and the Trust. On this land, the Trust intends to develop, construct and own the Palm Beach Garden Medical Plaza I, an MOB located in Palm Beach Gardens, Florida. This multi-tenant MOB, consisting of 80,000 rentable square feet, is scheduled to be completed during the fourth quarter of 2026. The MOB will be located on the campus of the Alan B. Miller Medical Center, a newly constructed acute care hospital owned and operated by a wholly-owned subsidiary of ours, which is scheduled to be completed and opened during the second quarter of 2026. The 10-year master flex lease agreement, which is subject to reduction based on the execution of third-party leases with the Trust, was executed for approximately 75% of the rentable square feet of the MOB. The Trust has engaged a wholly-owned subsidiary of UHS to act as project manager, and construction of the MOB commenced in February, 2026. </w:t>
      </w:r>
    </w:p>
    <w:p>
      <w:pPr>
        <w:pStyle w:val="TextBody"/>
        <w:bidi w:val="0"/>
        <w:jc w:val="left"/>
        <w:rPr>
          <w:rFonts w:ascii="Times New Roman" w:hAnsi="Times New Roman"/>
          <w:color w:val="000000"/>
          <w:sz w:val="20"/>
        </w:rPr>
      </w:pPr>
      <w:r>
        <w:rPr>
          <w:rFonts w:ascii="Times New Roman" w:hAnsi="Times New Roman"/>
          <w:color w:val="000000"/>
          <w:sz w:val="20"/>
        </w:rPr>
        <w:t>During the third quarter of 2023, the Trust acquired the McAllen Doctor's Center, a 79,500 rentable square feet medical office building located in McAllen, Texas. A master lease was executed between a wholly-owned subsidiary of ours and the Trust, pursuant to the terms of which our subsidiary will master lease 100% of the rentable square feet of the MOB at an initial minimum rent of $624,000 annually. The master lease commenced during August, 2023 and is scheduled to expire in twelve years from that date.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first quarter of 2023, the Trust substantially completed construction on a new 86,000 rentable square foot multi-tenant MOB that is located on the campus of Northern Nevada Sierra Medical Center in Reno, Nevada. Northern Nevada Sierra Medical Center, a 170-bed newly constructed acute care hospital owned and operated by a wholly-owned subsidiary of ours, was completed and opened in April, 2022. In connection with this MOB, a ten-year master flex lease was executed between a wholly-owned subsidiary of ours and the Trust (scheduled to expire in March, 2033), pursuant to the terms of which our subsidiary initially agreed to master lease up to approximately 68% of the rentable square feet of the MOB. The master flex lease has been reduced since inception as certain conditions have been met. A ground lease for this facility commenced during 2023 and is scheduled to expire in 2098.</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Executive Officers of the Registrant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executive officers, whose terms will expire at such time as their successors are elected, are as follows:</w:t>
      </w:r>
    </w:p>
    <w:p>
      <w:pPr>
        <w:pStyle w:val="TextBody"/>
        <w:bidi w:val="0"/>
        <w:jc w:val="left"/>
        <w:rPr/>
      </w:pPr>
      <w:r>
        <w:rPr/>
        <w:t> </w:t>
      </w:r>
    </w:p>
    <w:tbl>
      <w:tblPr>
        <w:tblW w:w="7783" w:type="dxa"/>
        <w:jc w:val="left"/>
        <w:tblInd w:w="0" w:type="dxa"/>
        <w:tblLayout w:type="fixed"/>
        <w:tblCellMar>
          <w:top w:w="28" w:type="dxa"/>
          <w:left w:w="28" w:type="dxa"/>
          <w:bottom w:w="28" w:type="dxa"/>
          <w:right w:w="28" w:type="dxa"/>
        </w:tblCellMar>
      </w:tblPr>
      <w:tblGrid>
        <w:gridCol w:w="2116"/>
        <w:gridCol w:w="146"/>
        <w:gridCol w:w="5521"/>
      </w:tblGrid>
      <w:tr>
        <w:trPr/>
        <w:tc>
          <w:tcPr>
            <w:tcW w:w="21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521" w:type="dxa"/>
            <w:tcBorders/>
            <w:vAlign w:val="center"/>
          </w:tcPr>
          <w:p>
            <w:pPr>
              <w:pStyle w:val="TableContents"/>
              <w:bidi w:val="0"/>
              <w:spacing w:before="0" w:after="283"/>
              <w:jc w:val="left"/>
              <w:rPr>
                <w:sz w:val="4"/>
                <w:szCs w:val="4"/>
              </w:rPr>
            </w:pPr>
            <w:r>
              <w:rPr>
                <w:sz w:val="4"/>
                <w:szCs w:val="4"/>
              </w:rPr>
            </w:r>
          </w:p>
        </w:tc>
      </w:tr>
      <w:tr>
        <w:trPr/>
        <w:tc>
          <w:tcPr>
            <w:tcW w:w="21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Name and Age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5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Present Position with the Company</w:t>
            </w:r>
          </w:p>
        </w:tc>
      </w:tr>
      <w:tr>
        <w:trPr/>
        <w:tc>
          <w:tcPr>
            <w:tcW w:w="21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Marc D. Miller (55)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5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Executive Officer, President and Director</w:t>
            </w:r>
          </w:p>
        </w:tc>
      </w:tr>
      <w:tr>
        <w:trPr/>
        <w:tc>
          <w:tcPr>
            <w:tcW w:w="21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Alan B. Miller (88)</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5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Executive Chairman of the Board</w:t>
            </w:r>
          </w:p>
        </w:tc>
      </w:tr>
      <w:tr>
        <w:trPr/>
        <w:tc>
          <w:tcPr>
            <w:tcW w:w="21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Steve G. Filton (68)</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5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Executive Vice President, Chief Financial Officer and Secretary</w:t>
            </w:r>
          </w:p>
        </w:tc>
      </w:tr>
      <w:tr>
        <w:trPr/>
        <w:tc>
          <w:tcPr>
            <w:tcW w:w="21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Matthew J. Peterson (56)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5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Executive Vice President, President of Behavioral Health Division</w:t>
            </w:r>
          </w:p>
        </w:tc>
      </w:tr>
      <w:tr>
        <w:trPr/>
        <w:tc>
          <w:tcPr>
            <w:tcW w:w="21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Edward H. Sim (54)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5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Executive Vice President, President of Acute Care Division</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Mr. Marc D. Miller was appointed Chief Executive Officer and President effective January 1, 2021. He has served as President since May, 2009 and prior thereto served as Senior Vice President and co-head of our Acute Care Hospitals since 2007. He was elected a Director in May, 2006 and Vice President in 2005. He has served in various capacities related to our acute care division since 2000. He was elected to the Board of Trustees of Universal Health Realty Income Trust in December, 2008. He was a member of the Board of Directors of Premier, Inc. from 2015 until Premier, Inc. was sold in November, 2025. Marc D. Miller is the son of Alan B. Miller, our Executive Chairman of the Board.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Mr. Alan B. Miller was appointed Executive Chairman of the Board effective January 1, 2021. He had been Chairman of the Board and Chief Executive Officer since the Company’s inception and also served as President from inception until May, 2009. Prior thereto, he was President, Chairman of the Board and Chief Executive Officer of American Medicorp, Inc. He currently serves as Chairman of the Board, Chief Executive Officer and President of Universal Health Realty Income Trust. He is the father of Marc D. Miller, our Chief Executive Officer, President and Director.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Mr. Filton was elected Executive Vice President in 2017 and continues to serve as Chief Financial Officer since his appointment in 2003. He has also served as Secretary since 1999. He had served as Senior Vice President since 2003, as Vice President and Controller since 1991, and as Director of Corporate Accounting since 1985.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Mr. Peterson’s employment with us commenced in September, 2019 as Executive Vice President and President of our Behavioral Health Division. He was formerly employed at UnitedHealth Group for 11 years serving in various capacities including Chief Operating Officer for OptumGovernment, a health services and technology company, as well as various other Senior Vice President/Vice President roles. In addition to his civilian business career, Mr. Peterson served in the Air National Guard ("ANG"), U.S. Airforce, and was promoted to Brigadier General prior to his retirement from the ANG in August, 2024.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Mr. Sim's employment with us commenced in December, 2022 as Executive Vice President and President of our Acute Care Division. He was formerly employed as Chief Operating Officer at Centura Health, since 2017. Prior to joining Centura Health, Mr. Sim served in senior leadership roles of increasing responsibility for 11 years at Baptist Health. </w:t>
      </w:r>
    </w:p>
    <w:p>
      <w:pPr>
        <w:pStyle w:val="TextBody"/>
        <w:bidi w:val="0"/>
        <w:spacing w:before="240" w:after="283"/>
        <w:jc w:val="left"/>
        <w:rPr>
          <w:rFonts w:ascii="Times New Roman" w:hAnsi="Times New Roman"/>
          <w:sz w:val="20"/>
        </w:rPr>
      </w:pPr>
      <w:bookmarkStart w:id="4" w:name="item_1a_risk_factors"/>
      <w:bookmarkEnd w:id="4"/>
      <w:r>
        <w:rPr>
          <w:rFonts w:ascii="Times New Roman" w:hAnsi="Times New Roman"/>
          <w:b/>
          <w:color w:val="000000"/>
          <w:sz w:val="20"/>
        </w:rPr>
        <w:t xml:space="preserve">ITEM 1A. </w:t>
      </w:r>
      <w:r>
        <w:rPr>
          <w:rFonts w:ascii="Times New Roman" w:hAnsi="Times New Roman"/>
          <w:b/>
          <w:i/>
          <w:color w:val="000000"/>
          <w:sz w:val="20"/>
        </w:rPr>
        <w:t>Risk Factors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subject to numerous known and unknown risks, many of which are described below and elsewhere in this Annual Report. Any of the events described below could have a material adverse effect on our business, financial condition and results of operations. Additional risks and uncertainties that we are not aware of, or that we currently deem to be immaterial, could also impact our business and results of operations.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Risks Related to Business Operations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A significant portion of our revenue is produced by facilities located in Texas, Nevada and California.</w:t>
      </w:r>
    </w:p>
    <w:p>
      <w:pPr>
        <w:pStyle w:val="TextBody"/>
        <w:bidi w:val="0"/>
        <w:spacing w:before="120" w:after="283"/>
        <w:jc w:val="left"/>
        <w:rPr>
          <w:rFonts w:ascii="Times New Roman" w:hAnsi="Times New Roman"/>
          <w:sz w:val="20"/>
        </w:rPr>
      </w:pPr>
      <w:r>
        <w:rPr>
          <w:rFonts w:ascii="Times New Roman" w:hAnsi="Times New Roman"/>
          <w:b/>
          <w:color w:val="000000"/>
          <w:sz w:val="20"/>
        </w:rPr>
        <w:t>Texas:</w:t>
      </w:r>
      <w:r>
        <w:rPr>
          <w:rFonts w:ascii="Times New Roman" w:hAnsi="Times New Roman"/>
          <w:color w:val="000000"/>
          <w:sz w:val="20"/>
        </w:rPr>
        <w:t xml:space="preserve"> We own 7 inpatient acute care hospitals, 16 free-standing emergency departments, 2 acute outpatient centers and 20 inpatient behavioral healthcare facilities and 14 behavioral healthcare outpatient facilities as listed in </w:t>
      </w:r>
      <w:r>
        <w:rPr>
          <w:rFonts w:ascii="Times New Roman" w:hAnsi="Times New Roman"/>
          <w:i/>
          <w:color w:val="000000"/>
          <w:sz w:val="20"/>
        </w:rPr>
        <w:t>Item 2. Properties</w:t>
      </w:r>
      <w:r>
        <w:rPr>
          <w:rFonts w:ascii="Times New Roman" w:hAnsi="Times New Roman"/>
          <w:color w:val="000000"/>
          <w:sz w:val="20"/>
        </w:rPr>
        <w:t>. On a combined basis, these facilities contributed 16% of our consolidated net revenues during each of 2025 and 2024. On a combined basis, after deducting an allocation for corporate overhead expense, these facilities generated 19% in 2025 and 21% in 2024, of our income from operations after net income attributable to noncontrolling interest.</w:t>
      </w:r>
    </w:p>
    <w:p>
      <w:pPr>
        <w:pStyle w:val="TextBody"/>
        <w:bidi w:val="0"/>
        <w:spacing w:before="120" w:after="283"/>
        <w:jc w:val="left"/>
        <w:rPr>
          <w:rFonts w:ascii="Times New Roman" w:hAnsi="Times New Roman"/>
          <w:sz w:val="20"/>
        </w:rPr>
      </w:pPr>
      <w:r>
        <w:rPr>
          <w:rFonts w:ascii="Times New Roman" w:hAnsi="Times New Roman"/>
          <w:b/>
          <w:color w:val="000000"/>
          <w:sz w:val="20"/>
        </w:rPr>
        <w:t>Nevada:</w:t>
      </w:r>
      <w:r>
        <w:rPr>
          <w:rFonts w:ascii="Times New Roman" w:hAnsi="Times New Roman"/>
          <w:color w:val="000000"/>
          <w:sz w:val="20"/>
        </w:rPr>
        <w:t xml:space="preserve"> We own 10 inpatient acute care hospitals, 13 free-standing emergency departments, 4 acute outpatient centers and 4 inpatient behavioral healthcare facilities and 1 behavioral outpatient facility as listed in </w:t>
      </w:r>
      <w:r>
        <w:rPr>
          <w:rFonts w:ascii="Times New Roman" w:hAnsi="Times New Roman"/>
          <w:i/>
          <w:color w:val="000000"/>
          <w:sz w:val="20"/>
        </w:rPr>
        <w:t>Item 2. Properties</w:t>
      </w:r>
      <w:r>
        <w:rPr>
          <w:rFonts w:ascii="Times New Roman" w:hAnsi="Times New Roman"/>
          <w:color w:val="000000"/>
          <w:sz w:val="20"/>
        </w:rPr>
        <w:t xml:space="preserve">. On a combined basis, these facilities contributed 17% of our consolidated net revenues during each of 2025 and 2024. On a combined basis, after deducting an allocation for corporate overhead expense, these facilities generated 21% in 2025 and 27% in 2024, of our income from operations after net income attributable to noncontrolling interest. </w:t>
      </w:r>
    </w:p>
    <w:p>
      <w:pPr>
        <w:pStyle w:val="TextBody"/>
        <w:bidi w:val="0"/>
        <w:spacing w:before="120" w:after="283"/>
        <w:jc w:val="left"/>
        <w:rPr>
          <w:rFonts w:ascii="Times New Roman" w:hAnsi="Times New Roman"/>
          <w:sz w:val="20"/>
        </w:rPr>
      </w:pPr>
      <w:r>
        <w:rPr>
          <w:rFonts w:ascii="Times New Roman" w:hAnsi="Times New Roman"/>
          <w:b/>
          <w:color w:val="000000"/>
          <w:sz w:val="20"/>
        </w:rPr>
        <w:t>California:</w:t>
      </w:r>
      <w:r>
        <w:rPr>
          <w:rFonts w:ascii="Times New Roman" w:hAnsi="Times New Roman"/>
          <w:color w:val="000000"/>
          <w:sz w:val="20"/>
        </w:rPr>
        <w:t xml:space="preserve"> We own 5 inpatient acute care hospitals, 4 acute outpatient centers, 9 inpatient behavioral healthcare facilities and 12 behavioral healthcare outpatient facilities as listed in </w:t>
      </w:r>
      <w:r>
        <w:rPr>
          <w:rFonts w:ascii="Times New Roman" w:hAnsi="Times New Roman"/>
          <w:i/>
          <w:color w:val="000000"/>
          <w:sz w:val="20"/>
        </w:rPr>
        <w:t>Item 2. Properties</w:t>
      </w:r>
      <w:r>
        <w:rPr>
          <w:rFonts w:ascii="Times New Roman" w:hAnsi="Times New Roman"/>
          <w:color w:val="000000"/>
          <w:sz w:val="20"/>
        </w:rPr>
        <w:t>. On a combined basis, these facilities contributed 11% of our consolidated net revenues during each of 2025 and 2024. On a combined basis, after deducting an allocation for corporate overhead expense, these facilities generated 13% in 2025 and 12% in 2024, of our income from operations after net income attributable to noncontrolling interest.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This geographic concentration makes us particularly sensitive to regulatory, economic, public health, environmental and competitive conditions in those states. Any material change in the current payment programs or regulatory, economic, public health, environmental or competitive conditions in those states could have a disproportionate effect on our overall business results. In addition, certain of our facilities and our operations in those states may be adversely impacted by wildfires (most particularly in California), winter storms, and other severe weather conditions, which adverse weather conditions may be more frequent and/or severe as the result of climate change. Such wildfires, storms or other severe weather conditions may cause considerable disruptions in our operations due to property damage or electrical outages experienced in affected areas by our personnel, payers, vendors and others, and may cause our commercial property insurance premiums and/or self-insured retentions to increase significantly.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Our revenues and results of operations are significantly affected by payments received from the government and other third party payers.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derive a significant portion of our revenue from third-party payers, including the Medicare and Medicaid programs. Changes in these government programs in recent years have resulted in limitations on reimbursement and, in some cases, reduced levels of reimbursement for healthcare services. Payments from federal and state government programs are subject to statutory and regulatory changes, administrative rulings, interpretations and determinations, requirements for utilization review, and federal and state funding restrictions, all of which could materially increase or decrease program payments, as well as affect the cost of providing service to patients and the timing of payments to facilities. Legislation adopted on July 4, 2025 (the One Big Beautiful Budget Act), attaches work and community service requirements to eligibility for Medicaid benefits that will have the effect of limiting Medicaid enrollment and expenditure. That legislation also places limits on provider fees used to increase federal Medicaid funding to states. The legislation prohibits states not previously having expanded Medicaid eligibility, which includes 9 states where we have facilities, to 138% of federal poverty level from increasing the rate of current provider fees which fund certain state supplemental payments or increasing the base of the fee to a class or items of services that the fee did not previously cover. That current provider fee threshold will remain at 6%. For states having expanded Medicaid eligibility under the legislation, the provider fee threshold will be reduced by 0.5% annually between federal fiscal years 2028 and 2032 with the resulting threshold ultimately becoming 3.5%. Under current law, and based on our current expectations, we estimate that, commencing with the 2028 state fiscal years, our aggregate annual net benefit will be reduced, on an annually increasing and relatively pro rata basis, by approximately $432 million to $480 million by 2032. The legislation also eliminates certain insurance exchange premium tax credits beyond 2025 and exchange enrollment is expected to be adversely impacted. On January 8, 2026, the U.S. House of Representatives passed H.R.1834 to extend for three years the enhanced premium tax credits (“EPTCs”) that expired on December 31, 2025, which is currently undergoing review in the Senate. Any significant reduction in federal Medicaid funding to states would likely result in states reducing Medicaid payments to us. We are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unable to predict the effect of future policy changes on our operations. In addition, the uncertainty and fiscal pressures placed upon federal and state governments as a result of, among other things, deterioration in general economic conditions and the funding requirements from the federal healthcare reform legislation, may affect the availability of taxpayer funds for Medicare and Medicaid programs. All of these changes may be expected to reduce our revenue and likely increase the level of uncompensated care provided by our facilities which will have a material adverse effect on us. In addition, the vast majority of the net revenues generated at our behavioral health facilities located in the United Kingdom are derived from governmental payers. If the rates paid or the scope of services covered by governmental payers in the United States or United Kingdom are reduced, there could be a material adverse effect on our business, financial position and results of operations.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As discussed in </w:t>
      </w:r>
      <w:r>
        <w:rPr>
          <w:rFonts w:ascii="Times New Roman" w:hAnsi="Times New Roman"/>
          <w:i/>
          <w:color w:val="000000"/>
          <w:sz w:val="20"/>
        </w:rPr>
        <w:t>Item 7. Management’s Discussion and Analysis of Financial Condition and Results of Operations-Summary of Various State Medicaid Supplemental Payment Programs,</w:t>
      </w:r>
      <w:r>
        <w:rPr>
          <w:rFonts w:ascii="Times New Roman" w:hAnsi="Times New Roman"/>
          <w:color w:val="000000"/>
          <w:sz w:val="20"/>
        </w:rPr>
        <w:t xml:space="preserve"> we receive revenues from various state and county-based programs, including Medicaid in all states in which we operate. We receive annual Medicaid revenues of approximately $100 million, or greater, from each of Texas, California, Nevada, Washington, D.C., Illinois, Pennsylvania, Kentucky, Tennessee, Virginia, Massachusetts, Michigan, Florida, Mississippi and Washington. Most of these programs are approved on a year-to-year basis and there is no assurance that these revenues will continue at their current rates or at all. We are therefore particularly sensitive to potential reductions in Medicaid and other state-based revenue programs as well as regulatory, economic, environmental and competitive changes in those states.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to changes in government reimbursement programs, our ability to negotiate favorable contracts with private payers, including managed care organizations, significantly affects the revenues and operating results of our hospitals. Private payers, including managed care organizations, increasingly are demanding that we accept lower rates of payment.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expect that government pressure on managed care organizations through static or reduced funding received by these payers from government sources such as through Medicare Advantage plans will in turn increase the pressure on us to not increase or reduce the rates charged by us to patients covered by those plans. We also expect continued third-party efforts to aggressively manage reimbursement levels and cost controls. Reductions in reimbursement amounts received from third-party payers could have a material adverse effect on our financial position and our results of operations.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If we are not able to provide high quality medical care at a reasonable price, patients may choose to receive their health care from our competitors.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recent years, the number of quality measures that hospitals are required to report publicly has increased. Centers for Medicare and Medicaid Services (“CMS”) publishes performance data related to quality measures and data on patient satisfaction surveys that hospitals submit in connection with the Medicare program. Federal law provides for the future expansion of the number of quality measures that must be reported. Additionally, the Patient Protection and Affordable Care Act (the “Legislation”) requires all hospitals to annually establish, update and make public a list of their standard charges for products and services. Also, the No Surprises Act, adopted as part of the Consolidated Appropriations Act, 2021 (“CAA”), creates additional price transparency requirements beginning January 1, 2022, including requiring providers to send health plans of insured patients and uninsured patients a good faith estimate of the expected charges and diagnostic codes prior to the scheduled date of the service or item. If any of our hospitals achieve poor results on the quality measures or patient satisfaction surveys (or results that are lower than our competitors) or if our standard charges are higher than our competitors, our patient volume could decline because patients may elect to use competing hospitals or other health care providers that have better metrics and pricing. This circumstance could harm our business and results of operations.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An increase in uninsured and underinsured patients in our acute care facilities or the deterioration in the collectability of the accounts of such patients could harm our results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Collection of receivables from third-party payers and patients is our primary source of cash and is critical to our operating performance. Our primary collection risks relate to uninsured patients and the portion of the bill that is the patient’s responsibility, which primarily includes co-payments and deductibles. However, we also have substantial receivables due to us from certain state-based funding programs. We estimate our provisions for doubtful accounts based on general factors such as payer mix, the agings of the receivables, historical collection experience and assessment of probability of future collections. We routinely review accounts receivable balances in conjunction with these factors and other economic conditions that might ultimately affect the collectability of the patient accounts and make adjustments to our allowances as warranted. Significant changes in business office operations, payer mix, economic conditions or trends in federal and state governmental health coverage could affect our collection of accounts receivable, cash flow and results of operations. If we experience unexpected increases in the growth of uninsured and underinsured patients or in bad debt expenses, our results of operations will be harmed.</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Our hospitals face competition for patients from other hospitals and health care providers.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healthcare industry is highly competitive, and competition among hospitals, and other healthcare providers for patients and physicians has intensified in recent years. In all of the geographical areas in which we operate, there are other facilities that provide services comparable to those offered by our facilities. Some of our competitors include hospitals that are owned by tax-supported governmental agencies or by nonprofit corporations and may be supported by endowments and charitable contributions and exempt from property, sales and income taxes. Such exemptions and support are not available to us.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some markets, certain of our competitors may have greater financial resources, be better equipped and offer a broader range of services than we offer. The number of inpatient facilities, as well as outpatient surgical and diagnostic centers, many of which are fully or partially owned by physicians, in the geographic areas in which we operate has increased significantly. As a result, most of our hospitals operate in an increasingly competitive environment.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also operate health care facilities in the United Kingdom where the National Health Service (the “NHS”) is the principal provider of healthcare services. In addition to the NHS, we face competition in the United Kingdom from independent sector providers and other publicly funded entities for patients.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our competitors are better able to attract patients, recruit physicians and other healthcare professionals, expand services or obtain favorable managed care contracts at their facilities, we may experience a decline in patient volume and our business may be harmed.</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Our performance depends on our ability to recruit and retain quality physicians.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Typically, physicians are responsible for making hospital admissions decisions and for directing the course of patient treatment. As a result, the success and competitive advantage of our hospitals depends, in part, on the number and quality of the physicians on the medical staffs of our hospitals, the admitting practices of those physicians and our maintenance of good relations with those physicians. Physicians generally are not employees of our hospitals, and, in a number of our markets, physicians have admitting privileges at other hospitals in addition to our hospitals. They may terminate their affiliation with us at any time. If we are unable to maintain high ethical and professional standards, adequate support personnel and technologically advanced equipment and facilities that meet the needs of those physicians, they may be discouraged from referring patients to our facilities and our results of operations may decline.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It may become difficult for us to attract and retain an adequate number of physicians to practice in certain communities in which our hospitals are located. Our failure to recruit physicians to these communities or the loss of physicians in these communities could make it more difficult to attract patients to our hospitals and thereby may have a material adverse effect on our business, financial condition and results of operations. The loss of one or more of these physicians, even if temporary, could cause a material reduction in our revenues, which could take significant time to replace given the difficulty and cost associated with recruiting and retaining physicians.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connection with the operations at our George Washington University Hospital and Cedar Hill Regional Medical Center located in Washington, D. C. ( the “District Hospitals”), we recently agreed to the framework of an agreement with The George Washington University ( the “University”) and the faculty medical group, The Medical Faculty Associates, Inc., to change the arrangement among the parties. The transaction, which is pending completion and subject to execution of definitive agreements, is anticipated to close during the second quarter of 2026. Should this transaction be finalized as tentatively agreed, among other things: (i) a new taxable non-profit subsidiary of ours will employ a large number, but not all, of their physicians and allied health professionals who had been part of that group, and; (ii) we will assume financial and management responsibility for that group. With this transaction, there is a risk that some physicians who have traditionally treated their patients at the District Hospitals may choose to not join or remain with the new physician group or treat their patients at the District Hospitals. If the transaction is not consummated, or the anticipated benefits of the transition are not realized, the operations and financial performance of the District Hospitals could be materially adversely impacted which could potentially result in a material adverse effect on our consolidated results of operations.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Continued increase in hospital based physician expenses will materially affect our costs and results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our acute care segment, during the past few years we experienced significant increases in hospital-based physician related expenses, especially in the areas of emergency room care and anesthesiology. We have implemented various initiatives to mitigate the increased expense, to the degree possible, which has moderated the rate of increase experienced during the past several years. However, significant increases in these physician related expenses could have a material unfavorable impact on our future results of operations.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If we do not continually enhance our hospitals with the most recent technological advances in diagnostic and surgical equipment, our ability to maintain and expand our markets will be adversely affected.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technology used in medical equipment and related devices is constantly evolving and, as a result, manufacturers and distributors continue to offer new and upgraded products to health care providers. To compete effectively, we must continually assess our equipment needs and upgrade when significant technological advances occur. If our facilities do not stay current with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technological advances in the health care industry, patients may seek treatment from other providers and/or physicians may refer their patients to alternate sources, which could adversely affect our results of operations and harm our business.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Our performance depends on our ability to attract and retain qualified nurses and medical support staff and we face competition for staffing that may increase our labor costs and harm our results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depend on the efforts, abilities, and experience of our medical support personnel, including our nurses, pharmacists and lab technicians and other healthcare professionals. We compete with other healthcare providers in recruiting and retaining qualified hospital management, nurses and other medical personnel.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nationwide shortage of nurses and other clinical staff and support personnel has been a significant operating issue facing us and other healthcare providers. In particular, like others in the healthcare industry, we experienced a shortage of nurses and other clinical staff and support personnel at our acute care and behavioral health care hospitals in many geographic areas which was exacerbated by the COVID</w:t>
        <w:noBreakHyphen/>
        <w:t>19 pandemic. In some areas, the increased demand for care during the COVID-19 pandemic put a strain on our resources and staff, which required us to utilize higher</w:t>
        <w:noBreakHyphen/>
        <w:t xml:space="preserve">cost temporary labor and pay premiums above standard compensation for essential workers. Personnel shortages may require us to further enhance wages and benefits to recruit and retain nurses and other clinical staff and support personnel or require us to hire expensive temporary personnel. To the extent we cannot maintain sufficient staffing levels at our hospitals, we may be required to limit the acute and behavioral health care services provided at certain of our hospitals which would have a corresponding adverse effect on our net revenues.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in some markets such as California, there are requirements to maintain specified nurse-staffing levels which could adversely affect our results of operations by increasing our salaries, wages and benefits expense, and/or by decreasing our net revenues to the extent we cannot meet those staffing levels. California legislation required the adoption of staffing standards specific to acute psychiatric hospitals and requirements to determine appropriate licensed staffing based on patient acuity and care needs no later than January 31, 2026. While implementation of these standards has been postponed until June 1, 2026, allowing the California Department of Public Health to better assess public comments, the Department has instructed that the implemented ratios are not expected to be less than those already addressed in draft regulatory language. If California increases mandatory nurse-staffing ratios or additional states in which we operate adopt mandatory nurse-staffing ratios, such changes could significantly affect labor costs and have an adverse impact on revenues if we are required to limit admissions in order to meet the required ratios.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cannot predict the degree to which we will be affected by the future availability or cost of attracting and retaining talented medical support staff. If our general labor and related expenses increase, we may not be able to raise our rates correspondingly. Our failure to either recruit and retain qualified hospital management, nurses and other medical support personnel or control our labor costs could harm our results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Increased labor union activity is another factor that could adversely affect our labor costs. Union organizing activities and certain potential changes in federal labor laws and regulations could increase the likelihood of employee unionization in the future, to the extent a greater portion of our employee base unionized, it is possible our labor costs could increase materially.</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The failure of certain employers, or the closure of certain facilities, could have a disproportionate impact on our hospitals.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economies in the communities in which our hospitals operate are often dependent on a small number of large employers. Those employers often provide income and health insurance for a disproportionately large number of community residents who may depend on our hospitals and other health care facilities for their care. The failure of one or more large employer or the closure or substantial reduction in the number of individuals employed at facilities located in or near the communities where our hospitals operate, could cause affected employees to move elsewhere to seek employment or lose insurance coverage that was otherwise available to them. The occurrence of these events could adversely affect our revenue and results of operations, thereby harming our business.</w:t>
      </w:r>
    </w:p>
    <w:p>
      <w:pPr>
        <w:pStyle w:val="TextBody"/>
        <w:bidi w:val="0"/>
        <w:spacing w:before="120" w:after="283"/>
        <w:jc w:val="left"/>
        <w:rPr>
          <w:rFonts w:ascii="Times New Roman" w:hAnsi="Times New Roman"/>
          <w:sz w:val="20"/>
        </w:rPr>
      </w:pPr>
      <w:r>
        <w:rPr>
          <w:rFonts w:ascii="Times New Roman" w:hAnsi="Times New Roman"/>
          <w:b/>
          <w:i/>
          <w:color w:val="000000"/>
          <w:sz w:val="20"/>
        </w:rPr>
        <w:t>The trend toward value-based purchasing may negatively impact our revenues.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believe that value-based purchasing initiatives of both governmental and private payers tying financial incentives to quality and efficiency of care will increasingly affect the results of operations of our hospitals and other healthcare facilities and may negatively impact our revenues if we are unable to meet expected quality standards. The Legislation contains a number of provisions intended to promote value-based purchasing in federal healthcare programs. Medicare now requires providers to report certain quality measures in order to receive full reimbursement increases for inpatient and outpatient procedures that were previously awarded automatically. In addition, hospitals that meet or exceed certain quality performance standards will receive increased reimbursement payments, and hospitals that have “excess readmissions” for specified conditions will receive reduced reimbursement. Furthermore, Medicare no longer pays hospitals additional amounts for the treatment of certain hospital-acquired conditions unless the conditions were present at admission. Beginning in federal fiscal year 2015, hospitals that rank in the worst 25% of all hospitals nationally for hospital acquired conditions in the previous year were subject to reduced Medicare reimbursements. The Legislation also prohibits the use of federal funds under the Medicaid program to reimburse providers for treating certain provider-preventable conditions.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There is a trend among private payers toward value-based purchasing of healthcare services, as well. Many large commercial payers require hospitals to report quality data, and several of these payers will not reimburse hospitals for certain preventable adverse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events. We expect value-based purchasing programs, including programs that condition reimbursement on patient outcome measures, to become more common and to involve a higher percentage of reimbursement amounts. We are unable at this time to predict how this trend will affect our results of operations, but it could negatively impact our revenues if we are unable to meet or maintain high quality standards established by both governmental and private payers.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Controls designed to reduce inpatient services and increasing rates of “denials” may reduce our revenues.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Controls imposed by third-party payers designed to reduce admissions and lengths of stay, commonly referred to as “utilization review,” have affected and are expected to continue to affect our facilities. Utilization review entails the review of the admission and course of treatment of a patient by managed care plans. Inpatient utilization, average lengths of stay and occupancy rates continue to be negatively affected by payer-required preadmission authorization and utilization review and by payer pressure to maximize outpatient and alternative healthcare delivery services for less acutely ill patients. Efforts to impose more stringent cost controls are expected to continue. In addition, we have been experiencing increasing rates of denied claims (“denials”) from managed care payers, including managed Medicare, which have reduced our net revenues and increased our operating costs as we devote additional resources to enhanced documentation and collection efforts. Although we cannot predict the effect these factors will have on our operations, significant limits on the scope of services reimbursed, and reimbursements withheld due to denials, could have a material adverse effect on our business, financial position and results of operations.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depend heavily on key management personnel and the departure of one or more of our key executives or a significant portion of our local hospital management personnel could harm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expertise and efforts of our senior executives and key members of our local hospital management personnel are critical to the success of our business. The loss of the services of one or more of our senior executives or of a significant portion of our local hospital management personnel could significantly undermine our management expertise and our ability to provide efficient, quality healthcare services at our facilities, which could harm our business.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Risks Related to the Regulatory Environment</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Reductions or changes in Medicare and Medicaid funding could have a material adverse effect on our future results of operations.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The Budget Control Act of 2011 (the “Budget Control Act”) mandated significant reductions in federal spending for fiscal years 2012-2021, including a reduction of 2% on all Medicare payments during this period. The most recent legislation extended these reductions through 2032. Please see </w:t>
      </w:r>
      <w:r>
        <w:rPr>
          <w:rFonts w:ascii="Times New Roman" w:hAnsi="Times New Roman"/>
          <w:i/>
          <w:color w:val="000000"/>
          <w:sz w:val="20"/>
        </w:rPr>
        <w:t>Item 7. Management’s Discussion and Analysis of Financial Condition and Results of Operations, Sources of Revenue-Medicare</w:t>
      </w:r>
      <w:r>
        <w:rPr>
          <w:rFonts w:ascii="Times New Roman" w:hAnsi="Times New Roman"/>
          <w:color w:val="000000"/>
          <w:sz w:val="20"/>
        </w:rPr>
        <w:t>, for additional disclosure.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Beginning in federal fiscal year 2028, the Medicaid disproportionate share hospital (“DSH”) allotment to the states from federal funds will be reduced. During the reduction period, state Medicaid DSH allotments from federal funds will be reduced by $8 billion. Reductions are imposed on states based on percentage of uninsured individuals, Medicaid utilization and uncompensated care. We receive Medicaid DSH payments in certain states including, most significantly, Texas. We are therefore particularly sensitive to potential reductions in Medicaid and other state-based revenue programs as well as regulatory, economic, environmental and competitive changes in those states. We can provide no assurance that reductions to revenues earned pursuant to these programs, particularly in the above-mentioned states, will not have a material adverse effect on our future results of operations.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are subject to uncertainties regarding health care reform.</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March 23, 2010, President Obama signed into law the Legislation. Two primary goals of the Legislation are to provide for increased access to coverage for healthcare and to reduce healthcare-related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Although it was expected that as a result of the Legislation there would be a reduction in uninsured patients, which would reduce our expense from uncollectible accounts receivable, the Legislation makes a number of other changes to Medicare and Medicaid which we believe may have an adverse impact on us. The Legislation revises reimbursement under the Medicare and Medicaid programs to emphasize the efficient delivery of high quality care and contains a number of incentives and penalties under these programs to achieve these goals. The Legislation implements a value-based purchasing program, which will reward the delivery of efficient care. Conversely, certain facilities will receive reduced reimbursement for failing to meet quality parameters; such hospitals will include those with excessive readmission or hospital-acquired condition rates. As a result of the 2024 and upcoming 2026 federal elections it remains unclear what portions of that legislation may remain, or what any replacement or alternative programs may be created by future legislation.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2012 U.S. Supreme Court ruling limited the federal government’s ability to expand health insurance coverage by holding unconstitutional sections of the Legislation that sought to withdraw federal funding for state noncompliance with certain Medicaid coverage requirements. Pursuant to that decision, the federal government may not penalize states that choose not to participate in the Medicaid expansion program by reducing their existing Medicaid funding. Therefore, states can choose to accept or not to participate without risking the loss of federal Medicaid funding. As a result, many states, including Texas, have not expanded their Medicaid programs without the threat of loss of federal funding. In the past, CMS has granted section 1115 demonstration waivers providing for work and community engagement requirements for certain Medicaid eligible individuals. The previous Trump administration's section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1115 waiver policy emphasized work requirements, eligibility restrictions on Medicaid, and capped funding. The second Trump administration may, again, take a similar approach.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Legislation also contained provisions aimed at reducing fraud and abuse in healthcare. The Legislation amended several existing laws, including the federal Anti-Kickback Statute and the False Claims Act, making it easier for government agencies and private plaintiffs to prevail in lawsuits brought against healthcare providers. While Congress had previously revised the intent requirement of the Anti-Kickback Statute to provide that a person is not required to “have actual knowledge or specific intent to commit a violation of” the Anti-Kickback Statute in order to be found in violation of such law, the Legislation also provides that any claims for items or services that violate the Anti-Kickback Statute are also considered false claims for purposes of the federal civil False Claims Act. The Legislation provides that a healthcare provider that retains an overpayment in excess of 60 days is subject to the federal civil False Claims Act. The Legislation also expanded the Recovery Audit Contractor program to Medicaid. These amendments also make it easier for severe fines and penalties to be imposed on healthcare providers that violate applicable laws and regulations.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partnered with local physicians in the ownership of certain of our facilities. These investments have been permitted under an exception to the physician self-referral law. The Legislation permits existing physician investments in a hospital to continue under a “grandfather” clause if the arrangement satisfies certain requirements and restrictions, but physicians are prohibited from increasing the aggregate percentage of their ownership in the hospital. The Legislation also imposes certain compliance and disclosure requirements upon existing physician-owned hospitals and restricts the ability of physician-owned hospitals to expand the capacity of their facilities. A repeal of the Legislation, in whole or in relevant part, may result in physicians being able to expand ownership interest in hospitals.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Initiatives to repeal or modify the Legislation, in whole or in part, have been persistent. While President Trump did not campaign on repeal of the Legislation, executive and legislative efforts to eliminate or reduce the effect of certain Legislation provisions may yet occur. The ultimate outcomes of legislative attempts to repeal or amend the Legislation and legal challenges to the Legislation are unknown. Legislation has already been enacted that has eliminated the penalty for failing to maintain health coverage that was an integral part of the original Legislation.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It remains unclear what portions of the Legislation may remain, or whether any replacement or alternative programs may be created by any future legislation. Any such future repeal or replacement may have significant impact on the reimbursement for healthcare services generally, and may create reimbursement for services competing with the services offered by our hospitals. Accordingly, there can be no assurance that the adoption of any future federal or state healthcare reform legislation will not have a negative financial impact on our hospitals, including their ability to compete with alternative healthcare services funded by such potential legislation, or for our hospitals to receive payment for services.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The Legislation and its implementation have been, and remain, politically controversial. While attempts to repeal the entirety of the Legislation have not been successful to date, a key provision of the Legislation was repealed as part of the Tax Cuts and Jobs Act and on December 14, 2018, a Texas Federal District Court Judge declared the Legislation unconstitutional, reasoning that the individual mandate tax penalty was essential to and not severable from the remainder of the Legislation. The case was appealed to the U.S. Supreme Court which ultimately held in </w:t>
      </w:r>
      <w:r>
        <w:rPr>
          <w:rFonts w:ascii="Times New Roman" w:hAnsi="Times New Roman"/>
          <w:i/>
          <w:color w:val="000000"/>
          <w:sz w:val="20"/>
        </w:rPr>
        <w:t>California v. Texas</w:t>
      </w:r>
      <w:r>
        <w:rPr>
          <w:rFonts w:ascii="Times New Roman" w:hAnsi="Times New Roman"/>
          <w:color w:val="000000"/>
          <w:sz w:val="20"/>
        </w:rPr>
        <w:t xml:space="preserve"> that the plaintiffs lacked standing to challenge the Legislation’s requirement to obtain minimum essential health insurance coverage, or the individual mandate. The Court dismissed the case without specifically ruling on the constitutionality of the Legislation. On September 7, 2022, the same Texas Federal District Court judge, in the case of </w:t>
      </w:r>
      <w:r>
        <w:rPr>
          <w:rFonts w:ascii="Times New Roman" w:hAnsi="Times New Roman"/>
          <w:i/>
          <w:color w:val="000000"/>
          <w:sz w:val="20"/>
        </w:rPr>
        <w:t>Braidwood Management v. Becerra</w:t>
      </w:r>
      <w:r>
        <w:rPr>
          <w:rFonts w:ascii="Times New Roman" w:hAnsi="Times New Roman"/>
          <w:color w:val="000000"/>
          <w:sz w:val="20"/>
        </w:rPr>
        <w:t xml:space="preserve">, ruled that the requirement that certain health plans cover services with an “A” or “B” recommendation from the U.S. Preventive Services Task Force without cost sharing violates the Appointments Clause of the U.S. Constitution and that the coverage of certain HIV prevention medication violates the Religious Freedom Restoration Act. The matter was ultimately appealed before the U.S. Supreme Court, which in its June 2025 </w:t>
      </w:r>
      <w:r>
        <w:rPr>
          <w:rFonts w:ascii="Times New Roman" w:hAnsi="Times New Roman"/>
          <w:i/>
          <w:color w:val="000000"/>
          <w:sz w:val="20"/>
        </w:rPr>
        <w:t>Kennedy v. Braidwood Management</w:t>
      </w:r>
      <w:r>
        <w:rPr>
          <w:rFonts w:ascii="Times New Roman" w:hAnsi="Times New Roman"/>
          <w:color w:val="000000"/>
          <w:sz w:val="20"/>
        </w:rPr>
        <w:t xml:space="preserve"> decision, opined in favor of HIV preventive care coverage. The impact of this decision on us cannot be predicted.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Inflation Reduction Act of 2022 (“IRA”) was passed on August 16, 2022, which among other things, allows for CMS to negotiate prices for certain single-source drugs and biologics reimbursed under Medicare Part B and Part D, beginning with 10 high-cost drugs paid for by Medicare Part D starting in 2026, followed by 15 Part D drugs in 2027, 15 Part B or Part D drugs in 2028, and 20 Part B or Part D drugs in 2029 and beyond. The IRA also continued certain subsidies for individuals to obtain private health insurance under the Legislation through 2025. These enhanced subsidies expired on December 31, 2025. The Trump administration has already taken steps to undo certain Biden-era executive orders, including those intended to lower drug costs for beneficiaries, and to freeze funding for federal programs. While the administration’s initial freeze has since been rescinded, the administration is likely to make other attempts to reduce federal program expenditures and can generally be expected to oppose increases in ACA and Medicaid enrollment.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Under the Legislation, hospitals are required to make public a list of their standard charges, and effective January 1, 2019, CMS has required that this disclosure be in machine-readable format and include charges for all hospital items and services and average charges for diagnosis-related groups. On November 27, 2019, CMS published a final rule on “Price Transparency Requirements for Hospitals to Make Standard Charges Public.” This rule took effect on January 1, 2021 and requires all hospitals to also make public their payer-specific negotiated rates, minimum negotiated rates, maximum negotiated rates and cash for all items and services,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including individual items and services and service packages, that could be provided by a hospital to a patient. On April 26, 2023, CMS announced updated enforcement processes that requires a shortened timeline for coming into compliance when a violation has been identified and the automatic imposition of a civil monetary penalties in certain circumstances of noncompliance. Failure to comply with these requirements may result in daily monetary penalties.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part of the CAA, Congress passed legislation aimed at preventing or limiting patient balance billing in certain circumstances. The CAA addresses surprise medical bills stemming from emergency services, out-of-network ancillary providers at in-network facilities, and air ambulance carriers. The legislation prohibits surprise billing when out-of-network emergency services or out-of-network services at an in-network facility are provided, unless informed consent is received. The law provides for a 30-day negotiation period for providers and payers to settle out-of-network claims. If no agreement is reached after this period, either party may opt for a binding independent dispute resolution (“IDR”) process. CMS regulations and guidance implementing the IDR process has been subject to a significant amount of provider-initiated litigation. As a result, portions of those regulations and guidance materials have been vacated by a federal district court, causing CMS to, on several occasions, pause and resume IDR process operations, causing significant delay in the processing of claims. Additionally, arguments made by the plaintiffs in such litigation have included allegations that CMS’s regulations and guidance materials are favorable to payers. For these reasons, there can be no assurances that we will receive timely payments in connection with this process.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are required to treat patients with emergency medical conditions regardless of ability to pay.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accordance with our internal policies and procedures, as well as the Emergency Medical Treatment and Active Labor Act, or EMTALA, we provide a medical screening examination to any individual who comes to one of our hospitals while in active labor and/or seeking medical treatment (whether or not such individual is eligible for insurance benefits and regardless of ability to pay) to determine if such individual has an emergency medical condition. If it is determined that such person has an emergency medical condition, we provide such further medical examination and treatment as is required to stabilize the patient’s medical condition, within the facility’s capability, or arrange for transfer of such individual to another medical facility in accordance with applicable law and the treating hospital’s written procedures. Our obligations under EMTALA may increase substantially going forward. If the number of indigent and charity care patients with emergency medical conditions we treat increases significantly, or if regulations expanding our obligations to inpatients under EMTALA is proposed and adopted, our results of operations will be harmed.</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If we fail to continue to meet the promoting interoperability criteria related to electronic health record systems (“EHR”), our operations could be harmed.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Pursuant to Health Information Technology for Economic and Clinical Health (“HITECH”) regulations, hospitals that did not qualify as a meaningful user of EHR by 2015 were subject to a reduced market basket update to the inpatient prospective payment system (“IPPS”) standardized amount in 2015 and each subsequent fiscal year. In the 2019 IPPS final rule, CMS re-named the meaningful use program to “promoting interoperability”. We believe that all of our acute care hospitals have met the applicable promoting interoperability criteria and therefore are not subject to a reduced market basked update to the IPPS standardized amount. However, under the HITECH Act, hospitals must continue to meet the applicable criteria in each fiscal year or they will be subject to a market basket update reduction in a subsequent fiscal year. Failure of our acute care hospitals to continue to meet the applicable criteria would have an adverse effect on our future net revenues and results of operations.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If we fail to comply with extensive laws and government regulations, we could suffer civil or criminal penalties or be required to make significant changes to our operations that could reduce our revenue and profitability.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healthcare industry is required to comply with extensive and complex laws and regulations at the federal, state and local government levels relating to, among other things: hospital billing practices and prices for services; relationships with physicians and other referral sources; adequacy of medical care and quality of medical equipment and services; ownership of facilities; qualifications of medical and support personnel; confidentiality, maintenance, privacy and security issues associated with health-related information and patient medical records; the screening, stabilization and transfer of patients who have emergency medical conditions; certification, licensure and accreditation of our facilities; operating policies and procedures, and; construction or expansion of facilities and services.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Among these laws are the federal False Claims Act, the Health Insurance Portability and Accountability Act of 1996, (“HIPAA”), the federal anti-kickback statute and the provision of the Social Security Act commonly known as the “Stark Law.” These laws, and particularly the anti-kickback statute and the Stark Law, impact the relationships that we may have with physicians and other referral sources. We have a variety of financial relationships with physicians who refer patients to our facilities, including employment contracts, leases and professional service agreements. We also provide financial incentives, including minimum revenue guarantees, to recruit physicians into communities served by our hospitals. The Office of the Inspector General of the Department of Health and Human Services, or OIG, has enacted safe harbor regulations that outline practices that are deemed protected from prosecution under the anti-kickback statute. A number of our current arrangements, including financial relationships with physicians and other referral sources, may not qualify for safe harbor protection under the anti-kickback statute. Failure to meet a safe harbor does not mean that the arrangement necessarily violates the anti-kickback statute, but may subject the arrangement to greater scrutiny. We cannot assure that practices that are outside of a safe harbor will not be found to violate the anti-kickback statute. CMS published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Medicare self-referral disclosure protocol, which is intended to allow providers to self-disclose actual or potential violations of the Stark law. Because there are only a few judicial decisions interpreting the Stark law, there can be no assurance that our hospitals will not be found in violation of the Stark Law or that self-disclosure of a potential violation would result in reduced penalties.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Federal regulations issued under HIPAA contain provisions that require us to implement and, in the future, may require us to implement additional costly electronic media security systems and to adopt new business practices designed to protect the privacy and security of each of our patient’s health and related financial information. Such privacy and security regulations impose extensive administrative, physical and technical requirements on us, restrict our use and disclosure of certain patient health and financial information, provide patients with rights with respect to their health information and require us to enter into contracts extending many of the privacy and security regulatory requirements to third parties that perform duties on our behalf. Additionally, recent changes to HIPAA regulations may result in greater compliance requirements, including obligations to report breaches of unsecured patient data, as well as create new liabilities for the actions of parties acting as business associates on our behalf.</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These laws and regulations are extremely complex, and, in many cases, we do not have the benefit of regulatory or judicial interpretation. In the future, it is possible that different interpretations or enforcement of these laws and regulations could subject our current or past practices to allegations of impropriety or illegality or could require us to make changes in our facilities, equipment, personnel, services, capital expenditure programs and operating expenses. A determination that we have violated one or more of these laws (see </w:t>
      </w:r>
      <w:r>
        <w:rPr>
          <w:rFonts w:ascii="Times New Roman" w:hAnsi="Times New Roman"/>
          <w:i/>
          <w:color w:val="000000"/>
          <w:sz w:val="20"/>
        </w:rPr>
        <w:t>Note 8 to the Consolidated Financial Statements - Commitments and Contingencies</w:t>
      </w:r>
      <w:r>
        <w:rPr>
          <w:rFonts w:ascii="Times New Roman" w:hAnsi="Times New Roman"/>
          <w:color w:val="000000"/>
          <w:sz w:val="20"/>
        </w:rPr>
        <w:t xml:space="preserve">, as included this Form 10-K), or the public announcement that we are being investigated for possible violations of one or more of these laws, could have a material adverse effect on our business, financial condition or results of operations and our business reputation could suffer significantly. In addition, we cannot predict whether other legislation or regulations at the federal or state level will be adopted, what form such legislation or regulations may take or what their impact on us may be. See </w:t>
      </w:r>
      <w:r>
        <w:rPr>
          <w:rFonts w:ascii="Times New Roman" w:hAnsi="Times New Roman"/>
          <w:i/>
          <w:color w:val="000000"/>
          <w:sz w:val="20"/>
        </w:rPr>
        <w:t>Item 1 Business—Self-Referral and Anti-Kickback Legislation</w:t>
      </w:r>
      <w:r>
        <w:rPr>
          <w:rFonts w:ascii="Times New Roman" w:hAnsi="Times New Roman"/>
          <w:color w:val="000000"/>
          <w:sz w:val="2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are deemed to have failed to comply with the anti-kickback statute, the Stark Law or other applicable laws and regulations, we could be subjected to liabilities, including criminal penalties, civil penalties (including the loss of our licenses to operate one or more facilities), and exclusion of one or more facilities from participation in the Medicare, Medicaid and other federal and state healthcare programs. The imposition of such penalties could have a material adverse effect on our business, financial condition or results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also operate health care facilities in the United Kingdom and have operations and commercial relationships with companies in other foreign jurisdictions and, as a result, are subject to certain U.S. and foreign laws applicable to businesses generally, including anti-corruption laws. The Foreign Corrupt Practices Act regulates U.S. companies in their dealings with foreign officials, prohibiting bribes and similar practices, and requires that they maintain records that fairly and accurately reflect transactions and appropriate internal accounting controls. In addition, the United Kingdom Bribery Act has wide jurisdiction over certain activities that affect the United Kingdom.</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operations in the United Kingdom are also subject to a high level of regulation relating to registration and licensing requirements employee regulation, clinical standards, environmental rules, data protection as well as other areas. We are also subject to a highly regulated business environment, and failure to comply with the various laws and regulations, applicable to us could lead to substantial penalties, and other adverse effects on our business. United Kingdom data protection laws, including the UK Data Protection Act and legislation commonly referred to as the UK GDPR, has required us to implement, and in the future may require us to implement, additional costly, technical and organizational measures designed to protect the privacy and security of each of our patient’s health and related financial information, and other personal information.</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are subject to occupational health, safety and other similar regulations and failure to comply with such regulations could harm our business and results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subject to a wide variety of federal, state and local occupational health and safety laws and regulations. Regulatory requirements affecting us include, but are not limited to, those covering: (i) air and water quality control; (ii) occupational health and safety (e.g., standards regarding blood-borne pathogens and ergonomics, etc.); (iii) waste management; (iv) the handling of asbestos, polychlorinated biphenyls and radioactive substances; and (v) other hazardous materials. If we fail to comply with those standards, we may be subject to sanctions and penalties that could harm our business and results of operations.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are subject to pending legal actions, purported stockholder class actions, governmental investigations and regulatory actions.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We and our subsidiaries are subject to pending legal actions, governmental investigations and regulatory actions (see </w:t>
      </w:r>
      <w:r>
        <w:rPr>
          <w:rFonts w:ascii="Times New Roman" w:hAnsi="Times New Roman"/>
          <w:i/>
          <w:color w:val="000000"/>
          <w:sz w:val="20"/>
        </w:rPr>
        <w:t>Note 8 to the Consolidated Financial Statements - Commitments and Contingencies</w:t>
      </w:r>
      <w:r>
        <w:rPr>
          <w:rFonts w:ascii="Times New Roman" w:hAnsi="Times New Roman"/>
          <w:color w:val="000000"/>
          <w:sz w:val="20"/>
        </w:rPr>
        <w:t xml:space="preserve">, as included this Form 10-K). We may become subject to additional medical malpractice lawsuits, product liability lawsuits, class action lawsuits and other legal actions in the ordinary course of business.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Defending ourselves against the allegations in the lawsuits and governmental investigations, or similar matters and any related publicity, could potentially entail significant costs and could require significant attention from our management and our reputation could suffer significantly.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 example, as discussed elsewhere herein, Cumberland Hospital for Children and Adolescents (“Cumberland”), an indirect subsidiary of the Company, is a defendant in multi-plaintiff lawsuits filed in the Circuit Court for Richmond, Virginia (the “Cumberland Litigation”), relating to allegations of inappropriate sexual contact during medical examinations by Dr. Daniel Davidow, an independent contractor and the former medical director for Cumberland. The Company and UHS of Delaware, Inc., our administrative services subsidiary (“UHS Delaware”), were also named as co-defendants in the Cumberland Litigation. Plaintiffs have asserted claims of negligence, assault and battery (against Dr. Davidow), false imprisonment, violations of the Virginia Consumer Protection Act (“VCPA”), and vicarious liability for Dr. Davidow’s conduct against Cumberland, the Company, and UHS Delaware. The Company and UHS Delaware were dismissed from the action during the trial, which occurred in September, 2024. On September 27, 2024, a jury entered a verdict finding Dr. Davidow and Cumberland liable and awarded these three plaintiffs combined compensatory damages of $60 million for all liability theories, an additional combined $180 million in trebled damages for violation of the VCPA, and an additional combined $120 million in punitive damages. Cumberland has filed post-trial motions challenging this verdict, including the amounts awarded in the verdict. Based upon Virginia law, the Court has recently reduced the punitive damage amount to a combined maximum of $1.05 million ($350,000 per plaintiff). Cumberland has filed a notice of appeal on the remaining verdict. Plaintiffs have separately filed a notice of appeal seeking to challenge the dismissal of the Company and UHS Delaware during trial, and the Court’s order reducing the punitive damages award against Cumberland. These appeals were recently dismissed by the appellate court without prejudice as premature because the judgments in favor of the first three plaintiffs are neither final nor enforceable at this time. There are approximately 40 additional plaintiffs making similar allegations with claims pending in the Cumberland Litigation. The Company and UHS Delaware remain defendants with respect to the remaining plaintiffs. We expect that the trials for the remaining plaintiffs, as well as any additional plaintiffs, will be scheduled at various times over the next several years. The next trial is tentatively planned to commence in August, 2026.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uncertain as to the ultimate financial exposure related to the Cumberland matter (which relate to occurrences in the 2020 policy year) and we can make no assurances regarding timing or substance of their outcome, or the amount of damages that may be ultimately held recoverable after post-judgment proceedings and appeals. As of December 31, 2025, without reduction for any potential amounts related to the Cumberland matter, the Company and its subsidiaries have aggregate insurance coverage of approximately $143 million remaining under commercial policies for matters applicable to the 2020 policy year (in excess of the applicable self-insured retention amounts of $10 million per single occurrence/$25 million for multi-plaintiff matters for professional liability claims and $3 million per occurrence for general liability claims). In the event the resolution of the Cumberland matter exhausts all or a significant portion of our/our subsidiaries' remaining commercial insurance coverage related to the 2020 policy year, or the Cumberland matter causes the posting of large bonds or other collateral during the appeal processes, our future results of operations and capital resources would be materially adversely impacted.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UHS Delaware is also a defendant in a lawsuit filed in Washoe County, Nevada, along with Pinnacle Management Group NV, LLC ("Pinnacle Medical Group", in which a subsidiary of the Company holds a 50% interest) and several individuals. The Company was previously dismissed from the lawsuit. The lawsuit contains allegations of intentional interference with contractual relationships and prospective economic advantage resulting from the departure of several physicians from St. Mary’s Medical Group in Reno, Nevada, who joined Pinnacle Medical Group in 2021. A trial of this matter was concluded on September 26, 2025, with a verdict rendered against UHS Delaware and the other defendants for approximately $4.7 million in compensatory damages. The jury also awarded punitive damages against UHS Delaware of $500 million and lesser amounts against some of the other defendants. Based upon Nevada statutory law, we expect the punitive damages to be reduced to a maximum of approximately $14 million. We also believe that recent Nevada Supreme Court precedent could further reduce the amount of punitive damages.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UHS Delaware, and the other defendants are evaluating all legal options and intend to challenge this verdict in post-judgment trial court proceedings and on appeal. We are uncertain as to the ultimate financial exposure related to this matter and we can make no assurance regarding its outcome, or the amount of damages that may be recoverable after post-judgment proceedings and appeals. If we are unsuccessful in reversing the verdict, or significantly reducing the level of damages, or we are required to post a substantial bond pending appeal, this matter could have a material adverse effect on the financial condition of the Company.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unable to predict the outcome of these litigation matters or to reasonably estimate the amount or range of any such loss; however, these lawsuits and the related publicity and news articles that have been published concerning these matters could have a material adverse effect on our business, financial condition, results of operations and/or cash flows which in turn could cause a decline in our stock price. In an effort to resolve one or more of these matters, we may choose to negotiate a settlement. Amounts we pay to settle any of these matters may be material.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All professional and general liability insurance we purchase is subject to policy limitations. Our estimated liability for self-insured professional and general liability claims is based on a number of factors including, among other things, the number of asserted claims and reported incidents, estimates of losses for these claims based on recent and historical settlement amounts and jury verdicts, estimates of incurred but not reported claims based on historical experience, and estimates of amounts recoverable under our commercial insurance policies. All relevant information, including our own historical experience, applicable per occurrence and aggregate self-insured retentions, and limitations and exclusions pursuant to our commercial insurance policies, is used in estimating our expected liability for self-insured claims. While we continuously monitor these factors, our ultimate liability for professional and general liability claims could change materially from our current estimates due to inherent uncertainties involved in making this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estimate. Given our significant exposure to professional and general liability claims, there can be no assurance that a sharp increase in the number and/or severity of claims asserted against us, and/or reductions in the amount of commercial coverage available to us, will not have a material adverse effect on our future results of operations. In addition, our commercial insurance coverage for the period commencing in March, 2025, contains less favorable terms than previous years including coverage exclusions for incidents involving sexual molestation or abuse, higher premiums and potentially lower aggregate limitations.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and may become subject to other loss contingencies, both known and unknown, which may relate to past, present and future facts, events, circumstances and occurrences. Should an unfavorable outcome occur in some or all of our legal proceedings or other loss contingencies, or if successful claims and other actions are brought against us in the future, there could be a material adverse impact on our financial position, results of operations and liquidity.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particular, government investigations, as well as qui tam and stockholder lawsuits, may lead to material fines, penalties, damages payments or other sanctions, including exclusion from government healthcare programs. The federal False Claims Act permits private parties to bring qui tam, or whistleblower, lawsuits on behalf of the government against companies alleging that the defendant has defrauded the federal government. These private parties are entitled to share in any amounts recovered by the government, and, as a result, the number of whistleblower lawsuits that have been filed against providers has increased significantly in recent years. Because qui tam lawsuits are filed under seal, we could be named in one or more such lawsuits of which we are not aware. Settlements of lawsuits involving Medicare and Medicaid issues routinely require both monetary payments and corporate integrity agreements, each of which could have a material adverse effect on our business, financial condition, results of operations and/or cash flows.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If any of our existing health care facilities lose their accreditation or any of our new facilities fail to receive accreditation, such facilities could become ineligible to receive reimbursement under Medicare or Medicaid.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construction and operation of healthcare facilities are subject to extensive federal, state and local regulation relating to, among other things, the adequacy of medical care, equipment, personnel, operating policies and procedures, fire prevention, rate-setting and compliance with building codes and environmental protection. Additionally, such facilities are subject to periodic inspection by government authorities to assure their continued compliance with these various standards.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of our hospitals are deemed certified, meaning that they are accredited, properly licensed under the relevant state laws and regulations and certified under the Medicare program. The effect of maintaining certified facilities is to allow such facilities to participate in the Medicare and Medicaid programs. We believe that all of our healthcare facilities are in material compliance with applicable federal, state, local and other relevant regulations and standards. However, should any of our healthcare facilities lose their deemed certified status and thereby lose certification under the Medicare or Medicaid programs, such facilities would be unable to receive reimbursement from either of those programs and our business could be materially adversely effected.</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State efforts to regulate the construction or expansion of health care facilities could impair our ability to expand.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Certain states in which we operate hospitals have certificates of need (“CON”) laws as a condition prior to hospital capital expenditures, construction, expansion, modernization or initiation of major new services. Our failure to obtain necessary state approval could result in our inability to complete a particular hospital acquisition, expansion or replacement, make a facility ineligible to receive reimbursement under the Medicare or Medicaid programs, result in the revocation of a facility’s license or impose civil or criminal penalties on us, any of which could harm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significant CON reforms have been proposed in a number of states that would increase the capital spending thresholds and provide exemptions of various services from review requirements. In the past, we have not experienced any material adverse effects from those requirements, but we cannot predict the impact of these changes upon our operations.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Changes to U.S. and other countries’ trade policies and other factors beyond our control may adversely impact our business and operating results.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Changes in laws or policies governing the terms of foreign trade, and in particular increased trade restrictions, tariffs or taxes on imports from where our import products or materials (either directly or through our suppliers) could have an impact on our competitive position, business operations and financial results. Beginning in February 2025, the U.S. government has imposed or has threatened to impose new tariffs, including on imported products from the European Union, Mexico, Canada and China. The impact of these tariffs is subject to a number of factors, including the effective date and duration of such tariffs, changes in the amount, scope and nature of the tariffs in the future, any retaliatory responses to such actions that the target countries may take and any mitigating actions that may become available. If significant tariffs or other restrictions are imposed on our imported pharmaceutical ingredients, medical devices, medical equipment and their ingredients and components, there could be significant strain on our supply chains, causing major disruptions in procurement processes and contract negotiations with suppliers due to increased costs, pricing volatility, longer procurement lead times and supply shortages stemming from increased production costs and import restrictions. As a result, we have to attempt to shift increased costs onto insurers and patients (in the form of higher service charges), reduce procurement volumes and delay equipment upgrades to mitigate financial strain. While we continue to evaluate the potential impact of the new tariffs on our business, given the uncertainty regarding the scope and duration of any new tariffs, as well as the potential for additional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tariffs or trade barriers by the U.S., the European Union, Mexico, Canada, China or other countries, we can provide no assurance that any strategies we implement to mitigate the impact of such tariffs or other trade actions will be successful.</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Risks Related to Information Technology</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A cyber security incident could cause a violation of HIPAA, breach of patient or other persons privacy, or other negative impacts.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rely extensively on our information technology (“IT”) systems to manage clinical and financial data, communicate with our patients, payers, vendors and other third parties and summarize and analyze operating results. In addition, we have made significant investments in technology to adopt and utilize electronic health records and to become meaningful users of health information technology pursuant to the American Recovery and Reinvestment Act of 2009. Our IT systems, and the networks and information systems of third parties that we rely on, are subject to damage or interruption from power outages, facility damage, computer and telecommunications failures, computer viruses, security breaches including credit card or personally identifiable information breaches, vandalism, theft, natural disasters, catastrophic events, human error and potential cyber threats, including malicious codes, worms, phishing attacks, denial of service attacks, ransomware and other sophisticated cyber-attacks, and our disaster recovery planning cannot account for all eventualities. Our systems, in turn, interface with and rely on third-party systems that we do not control, including medical devices and other processes supporting the interoperability of healthcare infrastructures. Third parties to whom we outsource certain of our functions, or with whom our systems interface and who may, in some instances, store our sensitive and confidential data, are also subject to the risks outlined above and may not have or use controls effective to protect such information. An attack, breach or other system disruption affecting any of these third parties could similarly harm our business.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cyber criminals continue to become more sophisticated through evolution of their tactics, techniques and procedures, we have taken, and will continue to take, additional preventive measures to strengthen the cyber defenses of our networks and data. Although we continue to regularly review and enhance our IT systems and cybersecurity controls, we and our third-party provider have experienced, and may experience in the future, cybersecurity incidents. While to date no incident had a material impact on our operations or financial results, we cannot guarantee that material incidents will not occur in the future. If any of our or our third-party service providers’ systems are damaged, fail to function properly or otherwise become unavailable, we may incur substantial costs to repair or replace them, and may experience loss or corruption of critical data such as protected health information or other data subject to privacy laws and proprietary business information and interruptions or disruptions and delays in our ability to perform critical functions, which could materially and adversely affect our businesses and results of operations and could result in significant penalties or fines, litigation, loss of customers, significant damage to our reputation and business, and other losses. In the event of a material breach or cyber-attack, the associated expenses and losses may exceed our current insurance coverage for such events. In addition, some adverse consequences are not insurable, such as reputational harm and third-party business interruption. In addition, our future results of operations, as well as our reputation, could be adversely impacted by theft, destruction, loss, or misappropriation of public health information, other confidential data or proprietary business information. Further, consumer confidence in the integrity, availability and confidentiality of information systems and information, including patient personal information and critical operations data, in the healthcare industry generally could be impacted to the extent there are successful cyberattacks at other healthcare services companies, which could have a material adverse effect on our business, financial position or results of operations.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Risks Related to the Market Conditions and Liquidity</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Our revenues and volume trends may be adversely affected by certain factors over which we have no control.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revenues and volume trends are dependent on many factors, including physicians’ clinical decisions and availability, payer programs shifting to a more outpatient-based environment, whether or not certain services are offered, seasonal and severe weather conditions, including the effects of extreme low temperatures, hurricanes and tornadoes, earthquakes, climate change, current local economic and demographic changes. We have a high concentration of facilities in various geographic areas, including states that have a potentially higher risk of experiencing events such as severe weather conditions and earthquakes. Given the location of our facilities, we are particularly susceptible to revenue loss, cost increase, or damage caused by severe weather conditions or natural disasters such as hurricanes, wildfires, earthquakes, or tornadoes. Any significant loss due to a natural disaster may not be covered by insurance and may lead to an increase in the cost of insurance or unavailability on acceptable terms. Climate change may also have effects on our business by increasing the cost of property insurance or making coverage unavailable on acceptable terms. To the extent that significant changes in the climate occur in areas where our facilities are located, we may experience increased frequency of severe weather conditions or natural disasters or other changes to weather patterns, all of which may result in physical damage to or a decrease in demand for properties affected by these conditions. Should the impact of climate change be material in nature or occur for lengthy periods of time, our financial condition, revenues, results of operations, or cash flow may be adversely affected. In addition, government regulation intended to mitigate the impact of climate change, severe weather patterns, or natural disasters could result in additional required capital expenditures to comply with such regulation without a corresponding increase in our revenues. In addition, technological developments and pharmaceutical improvements may reduce the demand for healthcare services or the profitability of the services we offer.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A worsening of economic and employment conditions in the United States could materially affect our business and future results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patient volumes, revenues and financial results depend significantly on the universe of patients with health insurance, which to a large extent is dependent on the employment status of individuals in our markets. Worsening of economic conditions, including inflation and rising interest rates, may result in a higher unemployment rate which may increase the number of individuals without health insurance. As a result, our facilities may experience a decrease in patient volumes, particularly in less intense, more elective service lines, or an increase in services provided to uninsured patients. These factors could have a material unfavorable impact on our future patient volumes, revenues and operating results.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as of December 31, 2025, we had approximately $4.0 billion of goodwill recorded on our consolidated balance sheet. Should the revenues and financial results of our acute care and/or behavioral health care facilities be materially, unfavorably impacted due to, among other things, a worsening of the economic and employment conditions in the United States that could negatively impact our patient volumes and reimbursement rates, a continued rise in the unemployment rate and increases in the number of uninsured patients treated at our facilities, we may incur future charges to recognize impairment in the carrying value of our goodwill and other intangible assets, which could have a material adverse effect on our financial results.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As inflationary pressures increase our operating costs, we may be unable to pass on the increased costs associated with providing healthcare services to our patients.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experiencing inflationary pressures, primarily in personnel costs, and we anticipate continuing impacts on other cost areas within the next twelve months. The extent of any future impacts from inflation on our business and our results of operations will be dependent upon how long the elevated inflation levels persist and the extent to which the rate of inflation further increases, if at all, neither of which we are able to predict. If elevated levels of inflation were to persist or if the rate of inflation were to accelerate, our expenses could increase faster than anticipated and we may utilize our capital resources sooner than expected. Further, given the complexities of the reimbursement landscape in which we operate, our ability to pass on increased costs associated with providing healthcare to Medicare and Medicaid patients is limited due to various federal, state and local laws, which in certain circumstances, limit our ability to increase prices, commercial payers may be unwilling or unable to increase reimbursement rates commensurate with the inflationary impacts on our costs.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continue to see rising costs in construction materials and labor. Such increased costs could have an adverse effect on the cash flow return on investment relating to our capital projects.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 of construction materials and labor has significantly increased. As we continue to invest in modern technologies, emergency rooms and operating room expansions, the construction of medical office buildings for physician expansion and reconfiguring the flow of patient care, we spend large amounts of money generated from our operating cash flow or borrowed funds. Although we evaluate the financial feasibility of such projects by determining whether the projected cash flow return on investment exceeds our cost of capital, such returns may not be achieved if the cost of construction continues to rise significantly or the expected patient volumes are not attained.</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The deterioration of credit and capital markets may adversely affect our access to sources of funding and we cannot be certain of the availability and terms of capital to fund the growth of our business when needed.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require substantial capital resources to fund our acquisition growth strategy and our ongoing capital expenditure programs for renovation, expansion, construction and addition of medical equipment and technology. We believe that our capital expenditure program is adequate to expand, improve and equip our existing hospitals. We cannot predict, however, whether financing for our growth plans and capital expenditure programs will be available to us on satisfactory terms when needed, which could harm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To fund all or a portion of our future financing needs, we rely on borrowings from various sources including fixed rate, long-term debt as well as borrowings pursuant to our revolving credit facility. If any of the lenders were unable to fulfill their future commitments, our liquidity could be impacted, which could have a material unfavorable impact our results of operations and financial condition. The increase in interest rates has substantially increased our borrowing costs and reduced our ability to access the capital markets on favorable terms. Additional increases in interest rates and the effect on capital markets could adversely affect our ability to carry out our strategy.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$700 million, 1.65% senior notes ("2026 Notes") mature on September 1, 2026. Market interest rates have increased significantly since the 2026 Notes were issued in 2021. We expect that we will refinance the 2026 Notes at significantly higher interest rates which will significantly increase our interest expense thereby decreasing our net income attributable to UHS.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Risks Related to Our Common Stock</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The number of outstanding shares of our Class B Common Stock is subject to potential increases or decreases.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At December 31, 2025, 21.3 million shares of Class B Common Stock were reserved for issuance upon conversion of shares of Class A, C and D Common Stock outstanding, for issuance upon exercise of options to purchase Class B Common Stock and for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issuance of stock under other incentive plans. Class A, C and D Common Stock are convertible on a share for share basis into Class B Common Stock. To the extent that these shares are converted into or exercised for shares of Class B Common Stock, the number of shares of Class B Common Stock available for trading in the public market place would increase substantially and the current holders of Class B Common Stock would own a smaller percentage of that class.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from time-to-time, our Board of Directors approve stock repurchase programs authorizing us to purchase shares of our Class B Common Stock on the open market at prevailing market prices or in negotiated transactions off the market. Such repurchases decrease the number of outstanding shares of our Class B Common Stock. Pursuant to our stock repurchase program, shares of our Class B Common Stock may be repurchased, from time to time as conditions allow, on the open market or in negotiated private transactions. There is no expiration date for our stock repurchase programs.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October 2025, our Board of Directors authorized a $1.5 billion increase to our stock repurchase program. During 2025, in conjunction with this program, we have repurchased approximately 4.7 million shares at an aggregate cost of approximately $899 million. As of December 31, 2025, we had an aggregate available repurchase authorization of approximately $1.425 billion.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repurchase shares will depend upon, among other factors, our cash flows from operations, our available capital and potential future capital requirements for strategic transactions, including acquisitions, debt service requirements, and investing in our existing markets as well as our results of operations, financial condition, interest rates, our access to the capital markets and other factors beyond our control that our Board of Directors may deem relevant. A suspension or elimination of our share repurchase could have a negative effect on our stock price.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Conversely, as a potential means of generating additional funds to operate and expand our business, we may from time-to-time issue equity through the sale of stock which would increase the number of outstanding shares of our Class B Common Stock. Based upon factors such as, but not limited to, the market price of our stock, interest rate on borrowings and uses or potential uses for cash, repurchase or issuance of our stock could have a dilutive effect on our future basic and diluted earnings per share.</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The right to elect the majority of our Board of Directors and the majority of the general shareholder voting power resides with the holders of Class A and C Common Stock, the majority of which is owned by Alan B. Miller, Executive Chairman of our Board of Directors.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Restated Certificate of Incorporation provides that, with respect to the election of directors, holders of Class A Common Stock vote as a class with the holders of Class C Common Stock, and holders of Class B Common Stock vote as a class with holders of Class D Common Stock, with holders of all classes of our Common Stock entitled to one vote per share.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March 17, 2025, the shares of Class A and Class C Common Stock, which constituted 11.1% of the aggregate outstanding shares of our Common Stock, had the right to elect five members of the Board of Directors and constituted 90.8% of our general voting power as of that date. Also as of that date, the shares of Class B and Class D Common Stock (excluding shares issuable upon exercise of options), which constituted 88.9% of the outstanding shares of our Common Stock, had the right to elect two members of the Board of Directors and constituted 9.2% of our general voting power as of that date.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to matters other than the election of directors, our Restated Certificate of Incorporation provides that holders of Class A, Class B, Class C and Class D Common Stock all vote together as a single class, except as otherwise provided by law.</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Each share of Class A Common Stock entitles the holder thereof to one vote; each share of Class B Common Stock entitles the holder thereof to one-tenth of a vote; each share of Class C Common Stock entitles the holder thereof to 100 votes (provided the holder of Class C Common Stock holds a number of shares of Class A Common Stock equal to ten times the number of shares of Class C Common Stock that holder holds); and each share of Class D Common Stock entitles the holder thereof to ten votes (provided the holder of Class D Common Stock holds a number of shares of Class B Common Stock equal to ten times the number of shares of Class D Common Stock that holder holds).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event a holder of Class C or Class D Common Stock holds a number of shares of Class A or Class B Common Stock, respectively, less than ten times the number of shares of Class C or Class D Common Stock that holder holds, then that holder will be entitled to only one vote for every share of Class C Common Stock, or one-tenth of a vote for every share of Class D Common Stock, which that holder holds in excess of one-tenth the number of shares of Class A or Class B Common Stock, respectively, held by that holder. The Board of Directors, in its discretion, may require beneficial owners to provide satisfactory evidence that such owner holds ten times as many shares of Class A or Class B Common Stock as Class C or Class D Common Stock, respectively, if such facts are not apparent from our stock records.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Since a substantial majority of the Class A shares and Class C shares are controlled by Mr. Alan B. Miller and members of his family, one of whom is Marc D. Miller, our Chief Executive Officer, President and a director, and they can elect a majority of our company’s directors and effect or reject most actions requiring approval by stockholders without the vote of any other stockholders, there are potential conflicts of interest in overseeing the management of our company.</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because this concentrated control could discourage others from initiating any potential merger, takeover or other change of control transaction that may otherwise be beneficial to our businesses, our business and prospects and the trading price of our securities could be adversely affected.</w:t>
      </w:r>
    </w:p>
    <w:p>
      <w:pPr>
        <w:pStyle w:val="TextBody"/>
        <w:bidi w:val="0"/>
        <w:spacing w:before="360" w:after="283"/>
        <w:jc w:val="left"/>
        <w:rPr>
          <w:rFonts w:ascii="Times New Roman" w:hAnsi="Times New Roman"/>
          <w:sz w:val="20"/>
        </w:rPr>
      </w:pPr>
      <w:bookmarkStart w:id="5" w:name="item_1b_unresolved_staff_comments"/>
      <w:bookmarkEnd w:id="5"/>
      <w:r>
        <w:rPr>
          <w:rFonts w:ascii="Times New Roman" w:hAnsi="Times New Roman"/>
          <w:b/>
          <w:color w:val="000000"/>
          <w:sz w:val="20"/>
        </w:rPr>
        <w:t xml:space="preserve">ITEM 1B. </w:t>
      </w:r>
      <w:r>
        <w:rPr>
          <w:rFonts w:ascii="Times New Roman" w:hAnsi="Times New Roman"/>
          <w:b/>
          <w:i/>
          <w:color w:val="000000"/>
          <w:sz w:val="20"/>
        </w:rPr>
        <w:t>Unresolved Staff Comments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360" w:after="283"/>
        <w:jc w:val="left"/>
        <w:rPr>
          <w:rFonts w:ascii="Times New Roman" w:hAnsi="Times New Roman"/>
          <w:sz w:val="20"/>
        </w:rPr>
      </w:pPr>
      <w:bookmarkStart w:id="6" w:name="item_1c_cybersecurity"/>
      <w:bookmarkEnd w:id="6"/>
      <w:r>
        <w:rPr>
          <w:rFonts w:ascii="Times New Roman" w:hAnsi="Times New Roman"/>
          <w:b/>
          <w:color w:val="000000"/>
          <w:sz w:val="20"/>
        </w:rPr>
        <w:t xml:space="preserve">ITEM 1C. </w:t>
      </w:r>
      <w:r>
        <w:rPr>
          <w:rFonts w:ascii="Times New Roman" w:hAnsi="Times New Roman"/>
          <w:b/>
          <w:i/>
          <w:color w:val="000000"/>
          <w:sz w:val="20"/>
        </w:rPr>
        <w:t>Cybersecurity</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Cybersecurity risk management and strategy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Protecting our data, which includes information related to our patients, members, and customers, is a primary area of our focus. Given the critical nature of this information, we have developed and implemented a robust cybersecurity risk management program to assess, identify, and manage risks associated with cybersecurity threats as identified in Item 106(a) of Regulation S-K. Our cybersecurity program is designed to support the confidentiality, integrity, availability, and resilience of our information systems and the continuity of our operations, including those supporting patient care. Cybersecurity is an important and integrated part of our risk management program that identifies, monitors and mitigates business, operational and legal risks.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cybersecurity risk management program incorporates a multi-tiered governance and risk assessment structure, including ongoing evaluation of applicable laws and regulations, internal policies and standards, technical vulnerabilities, threat intelligence, and resource adequacy. Such risks include operational, intellectual property theft, fraud, risks that have potential unfavorable impacts on our employees and/or patients, and violation of data privacy or security laws.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To address cybersecurity risks facing our organization, we have adopted a risk-informed and continuously evolving assessment process. We engage a third party to conduct a bi-annual National Institute of Technology-Cyber Security Framework assessment to determine the effectiveness of our program and related controls. The results of that assessment are reviewed by management and used to formulate prioritization of remediation efforts, strategic initiatives, and cybersecurity investments. Likewise, annual penetration tests occur to review the efficacy of our technical controls, results which are reviewed by management and resolved in a timely manner. Other factors that feed into our risk management practices are also operational events and incidents, which can lead to controls being reviewed and enhanced.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risk management practices also incorporate lessons learned from operational events, cybersecurity incidents, near misses, and changes in the external threat landscape, including emerging risks associated with ransomware, supply-chain dependencies, and the increasing use of artificial intelligence by threat actors.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a mature incident response and recovery program in place in the event a cybersecurity incident occurs. This program defines roles, responsibilities and action plans designed to contain and eradicate the issue and then restore systems, in the event of a major disruption, in a timely manner. Our response planning emphasizes resilience and the ability to maintain critical operations, including clinical and patient-facing services, during and following a cybersecurity event. We regularly conduct tabletop exercises to simulate responses to an incident and implement any insight gained from those exercises to improve our recovery practices. As part of these processes, we regularly engage with assessors, consultants, auditors, and other third parties to review our cybersecurity program to help identify areas for continued focus, improvement, and compliance.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maintain a commercial cybersecurity insurance policy that provides for coverage for losses sustained from cybersecurity incidents, subject to certain deductibles and limitations. However, costs and damages associated with cybersecurity incidents could exceed our commercial insurance coverage which could have a material adverse effect on our business, financial position and results of operations.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Third parties who provide services and solutions to our organization are also a source of cyber risk. Through a third-party risk management program, we review risks associated with these third parties through contractual reviews, vendor risk assessments, and continual risk reviews by monitoring the cybersecurity risk exposure these third parties pose and implementing remediation where necessary. Our program also considers risks arising from vendor concentration and systemic dependencies on third-party service providers supporting critical business and clinical functions, and we seek to implement remediation or risk mitigation measures where appropriate.</w:t>
      </w:r>
    </w:p>
    <w:p>
      <w:pPr>
        <w:pStyle w:val="TextBody"/>
        <w:bidi w:val="0"/>
        <w:spacing w:before="120" w:after="283"/>
        <w:jc w:val="both"/>
        <w:rPr>
          <w:rFonts w:ascii="Times New Roman" w:hAnsi="Times New Roman"/>
          <w:sz w:val="20"/>
        </w:rPr>
      </w:pPr>
      <w:r>
        <w:rPr>
          <w:rFonts w:ascii="Times New Roman" w:hAnsi="Times New Roman"/>
          <w:color w:val="000000"/>
          <w:sz w:val="20"/>
        </w:rPr>
        <w:t>Based on the information available as of the date of this Form 10-K, during our fiscal year 2025 and through the date of this filing, we did not identify any risks from cybersecurity threats, including as a result of any previous cybersecurity incidents (as such terms are defined in Item 106(a) of Regulation S-K), that have materially affected or are reasonably likely to materially affect us, including our business strategy, results of operations or financial condition. In making this determination, we considered both quantitative and qualitative factors, including potential impacts to patient care, regulatory compliance, operational continuity, financial performance, and reputation. For more information on risks to us from cybersecurity threats, see “</w:t>
      </w:r>
      <w:r>
        <w:rPr>
          <w:rFonts w:ascii="Times New Roman" w:hAnsi="Times New Roman"/>
          <w:i/>
          <w:color w:val="000000"/>
          <w:sz w:val="20"/>
        </w:rPr>
        <w:t>Risks Related to Information Technology - A cyber</w:t>
      </w:r>
      <w:r>
        <w:rPr>
          <w:rFonts w:ascii="Times New Roman" w:hAnsi="Times New Roman"/>
          <w:color w:val="000000"/>
          <w:sz w:val="20"/>
        </w:rPr>
        <w:t xml:space="preserv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sz w:val="20"/>
        </w:rPr>
      </w:pPr>
      <w:r>
        <w:rPr>
          <w:rFonts w:ascii="Times New Roman" w:hAnsi="Times New Roman"/>
          <w:i/>
          <w:color w:val="000000"/>
          <w:sz w:val="20"/>
        </w:rPr>
        <w:t>security incident could cause a violation of HIPAA, breach of patient or other persons privacy, or other negative impacts</w:t>
      </w:r>
      <w:r>
        <w:rPr>
          <w:rFonts w:ascii="Times New Roman" w:hAnsi="Times New Roman"/>
          <w:color w:val="000000"/>
          <w:sz w:val="20"/>
        </w:rPr>
        <w:t>.” under “</w:t>
      </w:r>
      <w:r>
        <w:rPr>
          <w:rFonts w:ascii="Times New Roman" w:hAnsi="Times New Roman"/>
          <w:i/>
          <w:color w:val="000000"/>
          <w:sz w:val="20"/>
        </w:rPr>
        <w:t>Item 1A. Risk Factors</w:t>
      </w:r>
      <w:r>
        <w:rPr>
          <w:rFonts w:ascii="Times New Roman" w:hAnsi="Times New Roman"/>
          <w:color w:val="000000"/>
          <w:sz w:val="20"/>
        </w:rPr>
        <w:t xml:space="preserve">.”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Governance of Cybersecurity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Cybersecurity is an integral part of our enterprise risk management program and is an area of focus for our Board of Directors and management. The Audit Committee of our Board of Directors is responsible for oversight of risks from cybersecurity threats. Members of the Audit Committee receive regular updates, including quarterly briefings from our Chief Information Security Officer (“CISO”), regarding cybersecurity matters such as the evolving threat landscape, significant risks, incidents, control maturity, and progress against key cybersecurity initiatives. The Audit Committee provides oversight of management’s approach to mitigating cybersecurity risks and enhancing the organization’s cyber resilience. Senior executive leadership also engage in periodic and ad-hoc discussions with management on cybersecurity topics, including incident response readiness, regulatory developments, and strategic initiatives. In addition, the Board of Directors receives an annual briefing on cybersecurity risks, program maturity, and related governance matters.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cybersecurity risk management and strategy processes are overseen by our CISO along with leaders from our information security, compliance, legal and internal audit teams. These leaders collectively possess substantial experience across information security, healthcare compliance, risk management, audit, and technology operations.. They are responsible for monitoring the prevention, detection, mitigation, and remediation of cybersecurity risks and incidents through their management of, and participation in, the cybersecurity risk management and strategy processes described above, including oversight of our incident response and recovery capabilities.</w:t>
      </w:r>
    </w:p>
    <w:p>
      <w:pPr>
        <w:pStyle w:val="TextBody"/>
        <w:bidi w:val="0"/>
        <w:spacing w:before="120" w:after="283"/>
        <w:jc w:val="left"/>
        <w:rPr>
          <w:rFonts w:ascii="Times New Roman" w:hAnsi="Times New Roman"/>
          <w:sz w:val="20"/>
        </w:rPr>
      </w:pPr>
      <w:bookmarkStart w:id="7" w:name="item_2_properties"/>
      <w:bookmarkEnd w:id="7"/>
      <w:r>
        <w:rPr>
          <w:rFonts w:ascii="Times New Roman" w:hAnsi="Times New Roman"/>
          <w:b/>
          <w:color w:val="000000"/>
          <w:sz w:val="20"/>
        </w:rPr>
        <w:t xml:space="preserve">ITEM 2. </w:t>
      </w:r>
      <w:r>
        <w:rPr>
          <w:rFonts w:ascii="Times New Roman" w:hAnsi="Times New Roman"/>
          <w:b/>
          <w:i/>
          <w:color w:val="000000"/>
          <w:sz w:val="20"/>
        </w:rPr>
        <w:t>Properties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Executive and Administrative Offices and Commercial Health Insurer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own various office buildings in King of Prussia and Wayne, Pennsylvania, Brentwood, Tennessee, Denton, Texas and Reno, Nevada. </w:t>
      </w:r>
    </w:p>
    <w:p>
      <w:pPr>
        <w:pStyle w:val="TextBody"/>
        <w:bidi w:val="0"/>
        <w:spacing w:before="360" w:after="283"/>
        <w:jc w:val="left"/>
        <w:rPr>
          <w:rFonts w:ascii="Times New Roman" w:hAnsi="Times New Roman"/>
          <w:sz w:val="20"/>
        </w:rPr>
      </w:pPr>
      <w:r>
        <w:rPr>
          <w:rFonts w:ascii="Times New Roman" w:hAnsi="Times New Roman"/>
          <w:b/>
          <w:i/>
          <w:color w:val="000000"/>
          <w:sz w:val="20"/>
        </w:rPr>
        <w:t>Facilities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tables set forth the name, location, type of facility and, for acute care hospitals and behavioral health care facilities, the number of licensed beds: </w:t>
      </w:r>
    </w:p>
    <w:p>
      <w:pPr>
        <w:pStyle w:val="TextBody"/>
        <w:bidi w:val="0"/>
        <w:spacing w:before="360" w:after="283"/>
        <w:jc w:val="center"/>
        <w:rPr/>
      </w:pPr>
      <w:r>
        <w:rPr/>
        <w:t> </w:t>
      </w:r>
    </w:p>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b/>
          <w:color w:val="000000"/>
          <w:sz w:val="20"/>
        </w:rPr>
        <w:t>Acute Care Hospitals</w:t>
      </w:r>
      <w:r>
        <w:rPr>
          <w:rFonts w:ascii="Times New Roman" w:hAnsi="Times New Roman"/>
          <w:color w:val="000000"/>
          <w:sz w:val="20"/>
        </w:rPr>
        <w:t xml:space="preserve"> </w:t>
      </w:r>
    </w:p>
    <w:tbl>
      <w:tblPr>
        <w:tblW w:w="9543" w:type="dxa"/>
        <w:jc w:val="left"/>
        <w:tblInd w:w="0" w:type="dxa"/>
        <w:tblLayout w:type="fixed"/>
        <w:tblCellMar>
          <w:top w:w="28" w:type="dxa"/>
          <w:left w:w="28" w:type="dxa"/>
          <w:bottom w:w="28" w:type="dxa"/>
          <w:right w:w="28" w:type="dxa"/>
        </w:tblCellMar>
      </w:tblPr>
      <w:tblGrid>
        <w:gridCol w:w="4675"/>
        <w:gridCol w:w="146"/>
        <w:gridCol w:w="2611"/>
        <w:gridCol w:w="886"/>
        <w:gridCol w:w="1225"/>
      </w:tblGrid>
      <w:tr>
        <w:trPr/>
        <w:tc>
          <w:tcPr>
            <w:tcW w:w="4675"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611" w:type="dxa"/>
            <w:tcBorders/>
            <w:shd w:fill="FFFFFF" w:val="clear"/>
            <w:vAlign w:val="center"/>
          </w:tcPr>
          <w:p>
            <w:pPr>
              <w:pStyle w:val="TableContents"/>
              <w:bidi w:val="0"/>
              <w:spacing w:before="0" w:after="283"/>
              <w:jc w:val="left"/>
              <w:rPr>
                <w:sz w:val="4"/>
                <w:szCs w:val="4"/>
              </w:rPr>
            </w:pPr>
            <w:r>
              <w:rPr>
                <w:sz w:val="4"/>
                <w:szCs w:val="4"/>
              </w:rPr>
            </w:r>
          </w:p>
        </w:tc>
        <w:tc>
          <w:tcPr>
            <w:tcW w:w="886" w:type="dxa"/>
            <w:tcBorders/>
            <w:shd w:fill="FFFFFF" w:val="clear"/>
            <w:vAlign w:val="center"/>
          </w:tcPr>
          <w:p>
            <w:pPr>
              <w:pStyle w:val="TableContents"/>
              <w:bidi w:val="0"/>
              <w:spacing w:before="0" w:after="283"/>
              <w:jc w:val="left"/>
              <w:rPr>
                <w:sz w:val="4"/>
                <w:szCs w:val="4"/>
              </w:rPr>
            </w:pPr>
            <w:r>
              <w:rPr>
                <w:sz w:val="4"/>
                <w:szCs w:val="4"/>
              </w:rPr>
            </w:r>
          </w:p>
        </w:tc>
        <w:tc>
          <w:tcPr>
            <w:tcW w:w="1225" w:type="dxa"/>
            <w:tcBorders/>
            <w:shd w:fill="FFFFFF" w:val="clear"/>
            <w:vAlign w:val="center"/>
          </w:tcPr>
          <w:p>
            <w:pPr>
              <w:pStyle w:val="TableContents"/>
              <w:bidi w:val="0"/>
              <w:spacing w:before="0" w:after="283"/>
              <w:jc w:val="left"/>
              <w:rPr>
                <w:sz w:val="4"/>
                <w:szCs w:val="4"/>
              </w:rPr>
            </w:pPr>
            <w:r>
              <w:rPr>
                <w:sz w:val="4"/>
                <w:szCs w:val="4"/>
              </w:rPr>
            </w:r>
          </w:p>
        </w:tc>
      </w:tr>
      <w:tr>
        <w:trPr/>
        <w:tc>
          <w:tcPr>
            <w:tcW w:w="467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Name of Facility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b/>
                <w:color w:val="000000"/>
                <w:sz w:val="16"/>
              </w:rPr>
              <w:t>Location</w:t>
            </w:r>
            <w:r>
              <w:rPr>
                <w:rFonts w:ascii="Times New Roman" w:hAnsi="Times New Roman"/>
                <w:color w:val="000000"/>
                <w:sz w:val="16"/>
              </w:rPr>
              <w:t xml:space="preserve"> </w:t>
            </w:r>
          </w:p>
        </w:tc>
        <w:tc>
          <w:tcPr>
            <w:tcW w:w="8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Number of</w:t>
              <w:br/>
              <w:t>Beds</w:t>
            </w:r>
            <w:r>
              <w:rPr>
                <w:rFonts w:ascii="Times New Roman" w:hAnsi="Times New Roman"/>
                <w:color w:val="000000"/>
                <w:sz w:val="16"/>
              </w:rPr>
              <w:t xml:space="preserve"> </w:t>
            </w:r>
          </w:p>
        </w:tc>
        <w:tc>
          <w:tcPr>
            <w:tcW w:w="122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Real</w:t>
              <w:br/>
              <w:t>Property</w:t>
              <w:br/>
              <w:t>Ownership</w:t>
              <w:br/>
              <w:t>Interest</w:t>
            </w:r>
            <w:r>
              <w:rPr>
                <w:rFonts w:ascii="Times New Roman" w:hAnsi="Times New Roman"/>
                <w:color w:val="000000"/>
                <w:sz w:val="16"/>
              </w:rPr>
              <w:t xml:space="preserve"> </w:t>
            </w:r>
          </w:p>
        </w:tc>
      </w:tr>
      <w:tr>
        <w:trPr/>
        <w:tc>
          <w:tcPr>
            <w:tcW w:w="467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Aiken Regional Medical Centers (1)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Aiken, South Carolina</w:t>
            </w:r>
          </w:p>
        </w:tc>
        <w:tc>
          <w:tcPr>
            <w:tcW w:w="8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211</w:t>
            </w:r>
          </w:p>
        </w:tc>
        <w:tc>
          <w:tcPr>
            <w:tcW w:w="1225" w:type="dxa"/>
            <w:tcBorders/>
            <w:tcMar>
              <w:top w:w="0" w:type="dxa"/>
              <w:left w:w="0" w:type="dxa"/>
              <w:bottom w:w="0" w:type="dxa"/>
              <w:right w:w="0" w:type="dxa"/>
            </w:tcMar>
            <w:vAlign w:val="center"/>
          </w:tcPr>
          <w:p>
            <w:pPr>
              <w:pStyle w:val="TableContents"/>
              <w:bidi w:val="0"/>
              <w:spacing w:before="0" w:after="283"/>
              <w:ind w:left="0" w:right="0" w:firstLine="504"/>
              <w:jc w:val="center"/>
              <w:rPr>
                <w:rFonts w:ascii="Times New Roman" w:hAnsi="Times New Roman"/>
                <w:color w:val="000000"/>
                <w:sz w:val="20"/>
              </w:rPr>
            </w:pPr>
            <w:r>
              <w:rPr>
                <w:rFonts w:ascii="Times New Roman" w:hAnsi="Times New Roman"/>
                <w:color w:val="000000"/>
                <w:sz w:val="20"/>
              </w:rPr>
              <w:t>Leased</w:t>
            </w:r>
          </w:p>
        </w:tc>
      </w:tr>
      <w:tr>
        <w:trPr/>
        <w:tc>
          <w:tcPr>
            <w:tcW w:w="4675" w:type="dxa"/>
            <w:tcBorders/>
            <w:tcMar>
              <w:top w:w="0" w:type="dxa"/>
              <w:left w:w="0" w:type="dxa"/>
              <w:bottom w:w="0" w:type="dxa"/>
              <w:right w:w="0" w:type="dxa"/>
            </w:tcMar>
            <w:vAlign w:val="center"/>
          </w:tcPr>
          <w:p>
            <w:pPr>
              <w:pStyle w:val="TableContents"/>
              <w:bidi w:val="0"/>
              <w:spacing w:before="0" w:after="283"/>
              <w:ind w:left="0" w:right="0" w:firstLine="504"/>
              <w:jc w:val="left"/>
              <w:rPr>
                <w:rFonts w:ascii="Times New Roman" w:hAnsi="Times New Roman"/>
                <w:color w:val="000000"/>
                <w:sz w:val="20"/>
              </w:rPr>
            </w:pPr>
            <w:r>
              <w:rPr>
                <w:rFonts w:ascii="Times New Roman" w:hAnsi="Times New Roman"/>
                <w:color w:val="000000"/>
                <w:sz w:val="20"/>
              </w:rPr>
              <w:t>Aurora Pavilion Behavioral Health Services (1)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Aiken, South Carolina</w:t>
            </w:r>
          </w:p>
        </w:tc>
        <w:tc>
          <w:tcPr>
            <w:tcW w:w="8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62</w:t>
            </w:r>
          </w:p>
        </w:tc>
        <w:tc>
          <w:tcPr>
            <w:tcW w:w="1225" w:type="dxa"/>
            <w:tcBorders/>
            <w:tcMar>
              <w:top w:w="0" w:type="dxa"/>
              <w:left w:w="0" w:type="dxa"/>
              <w:bottom w:w="0" w:type="dxa"/>
              <w:right w:w="0" w:type="dxa"/>
            </w:tcMar>
            <w:vAlign w:val="center"/>
          </w:tcPr>
          <w:p>
            <w:pPr>
              <w:pStyle w:val="TableContents"/>
              <w:bidi w:val="0"/>
              <w:spacing w:before="0" w:after="283"/>
              <w:ind w:left="0" w:right="0" w:firstLine="504"/>
              <w:jc w:val="center"/>
              <w:rPr>
                <w:rFonts w:ascii="Times New Roman" w:hAnsi="Times New Roman"/>
                <w:color w:val="000000"/>
                <w:sz w:val="20"/>
              </w:rPr>
            </w:pPr>
            <w:r>
              <w:rPr>
                <w:rFonts w:ascii="Times New Roman" w:hAnsi="Times New Roman"/>
                <w:color w:val="000000"/>
                <w:sz w:val="20"/>
              </w:rPr>
              <w:t>Leased</w:t>
            </w:r>
          </w:p>
        </w:tc>
      </w:tr>
      <w:tr>
        <w:trPr/>
        <w:tc>
          <w:tcPr>
            <w:tcW w:w="4675" w:type="dxa"/>
            <w:tcBorders/>
            <w:tcMar>
              <w:top w:w="0" w:type="dxa"/>
              <w:left w:w="0" w:type="dxa"/>
              <w:bottom w:w="0" w:type="dxa"/>
              <w:right w:w="0" w:type="dxa"/>
            </w:tcMar>
            <w:vAlign w:val="center"/>
          </w:tcPr>
          <w:p>
            <w:pPr>
              <w:pStyle w:val="TableContents"/>
              <w:bidi w:val="0"/>
              <w:spacing w:before="0" w:after="283"/>
              <w:ind w:left="0" w:right="0" w:firstLine="504"/>
              <w:jc w:val="left"/>
              <w:rPr>
                <w:rFonts w:ascii="Times New Roman" w:hAnsi="Times New Roman"/>
                <w:color w:val="000000"/>
                <w:sz w:val="20"/>
              </w:rPr>
            </w:pPr>
            <w:r>
              <w:rPr>
                <w:rFonts w:ascii="Times New Roman" w:hAnsi="Times New Roman"/>
                <w:color w:val="000000"/>
                <w:sz w:val="20"/>
              </w:rPr>
              <w:t>ER at Sweetwater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North Augusta, South Carolina</w:t>
            </w:r>
          </w:p>
        </w:tc>
        <w:tc>
          <w:tcPr>
            <w:tcW w:w="886"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22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Owned</w:t>
            </w:r>
          </w:p>
        </w:tc>
      </w:tr>
      <w:tr>
        <w:trPr/>
        <w:tc>
          <w:tcPr>
            <w:tcW w:w="467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Cedar Hill Regional Medical Center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6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Washington, D.C.</w:t>
            </w:r>
          </w:p>
        </w:tc>
        <w:tc>
          <w:tcPr>
            <w:tcW w:w="8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142</w:t>
            </w:r>
          </w:p>
        </w:tc>
        <w:tc>
          <w:tcPr>
            <w:tcW w:w="122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Leased</w:t>
            </w:r>
          </w:p>
        </w:tc>
      </w:tr>
      <w:tr>
        <w:trPr/>
        <w:tc>
          <w:tcPr>
            <w:tcW w:w="467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Centennial Hills Hospital Medical Center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Las Vegas, Nevada</w:t>
            </w:r>
          </w:p>
        </w:tc>
        <w:tc>
          <w:tcPr>
            <w:tcW w:w="8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339</w:t>
            </w:r>
          </w:p>
        </w:tc>
        <w:tc>
          <w:tcPr>
            <w:tcW w:w="1225" w:type="dxa"/>
            <w:tcBorders/>
            <w:tcMar>
              <w:top w:w="0" w:type="dxa"/>
              <w:left w:w="0" w:type="dxa"/>
              <w:bottom w:w="0" w:type="dxa"/>
              <w:right w:w="0" w:type="dxa"/>
            </w:tcMar>
            <w:vAlign w:val="center"/>
          </w:tcPr>
          <w:p>
            <w:pPr>
              <w:pStyle w:val="TableContents"/>
              <w:bidi w:val="0"/>
              <w:spacing w:before="0" w:after="283"/>
              <w:ind w:left="0" w:right="0" w:firstLine="504"/>
              <w:jc w:val="center"/>
              <w:rPr>
                <w:rFonts w:ascii="Times New Roman" w:hAnsi="Times New Roman"/>
                <w:color w:val="000000"/>
                <w:sz w:val="20"/>
              </w:rPr>
            </w:pPr>
            <w:r>
              <w:rPr>
                <w:rFonts w:ascii="Times New Roman" w:hAnsi="Times New Roman"/>
                <w:color w:val="000000"/>
                <w:sz w:val="20"/>
              </w:rPr>
              <w:t>Owned</w:t>
            </w:r>
          </w:p>
        </w:tc>
      </w:tr>
      <w:tr>
        <w:trPr/>
        <w:tc>
          <w:tcPr>
            <w:tcW w:w="4675" w:type="dxa"/>
            <w:tcBorders/>
            <w:tcMar>
              <w:top w:w="0" w:type="dxa"/>
              <w:left w:w="0" w:type="dxa"/>
              <w:bottom w:w="0" w:type="dxa"/>
              <w:right w:w="0" w:type="dxa"/>
            </w:tcMar>
            <w:vAlign w:val="center"/>
          </w:tcPr>
          <w:p>
            <w:pPr>
              <w:pStyle w:val="TableContents"/>
              <w:bidi w:val="0"/>
              <w:spacing w:before="0" w:after="283"/>
              <w:ind w:left="0" w:right="0" w:firstLine="504"/>
              <w:jc w:val="left"/>
              <w:rPr>
                <w:rFonts w:ascii="Times New Roman" w:hAnsi="Times New Roman"/>
                <w:color w:val="000000"/>
                <w:sz w:val="20"/>
              </w:rPr>
            </w:pPr>
            <w:r>
              <w:rPr>
                <w:rFonts w:ascii="Times New Roman" w:hAnsi="Times New Roman"/>
                <w:color w:val="000000"/>
                <w:sz w:val="20"/>
              </w:rPr>
              <w:t>ER at Valley Vista</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North Las Vegas, Nevada</w:t>
            </w:r>
          </w:p>
        </w:tc>
        <w:tc>
          <w:tcPr>
            <w:tcW w:w="886"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225" w:type="dxa"/>
            <w:tcBorders/>
            <w:tcMar>
              <w:top w:w="0" w:type="dxa"/>
              <w:left w:w="0" w:type="dxa"/>
              <w:bottom w:w="0" w:type="dxa"/>
              <w:right w:w="0" w:type="dxa"/>
            </w:tcMar>
            <w:vAlign w:val="center"/>
          </w:tcPr>
          <w:p>
            <w:pPr>
              <w:pStyle w:val="TableContents"/>
              <w:bidi w:val="0"/>
              <w:spacing w:before="0" w:after="283"/>
              <w:ind w:left="0" w:right="0" w:firstLine="504"/>
              <w:jc w:val="center"/>
              <w:rPr>
                <w:rFonts w:ascii="Times New Roman" w:hAnsi="Times New Roman"/>
                <w:color w:val="000000"/>
                <w:sz w:val="20"/>
              </w:rPr>
            </w:pPr>
            <w:r>
              <w:rPr>
                <w:rFonts w:ascii="Times New Roman" w:hAnsi="Times New Roman"/>
                <w:color w:val="000000"/>
                <w:sz w:val="20"/>
              </w:rPr>
              <w:t>Owned</w:t>
            </w:r>
          </w:p>
        </w:tc>
      </w:tr>
      <w:tr>
        <w:trPr/>
        <w:tc>
          <w:tcPr>
            <w:tcW w:w="4675" w:type="dxa"/>
            <w:tcBorders/>
            <w:tcMar>
              <w:top w:w="0" w:type="dxa"/>
              <w:left w:w="0" w:type="dxa"/>
              <w:bottom w:w="0" w:type="dxa"/>
              <w:right w:w="0" w:type="dxa"/>
            </w:tcMar>
            <w:vAlign w:val="center"/>
          </w:tcPr>
          <w:p>
            <w:pPr>
              <w:pStyle w:val="TableContents"/>
              <w:bidi w:val="0"/>
              <w:spacing w:before="0" w:after="283"/>
              <w:ind w:left="0" w:right="0" w:firstLine="504"/>
              <w:jc w:val="left"/>
              <w:rPr>
                <w:rFonts w:ascii="Times New Roman" w:hAnsi="Times New Roman"/>
                <w:color w:val="000000"/>
                <w:sz w:val="20"/>
              </w:rPr>
            </w:pPr>
            <w:r>
              <w:rPr>
                <w:rFonts w:ascii="Times New Roman" w:hAnsi="Times New Roman"/>
                <w:color w:val="000000"/>
                <w:sz w:val="20"/>
              </w:rPr>
              <w:t>ER at West Craig</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Las Vegas, Nevada</w:t>
            </w:r>
          </w:p>
        </w:tc>
        <w:tc>
          <w:tcPr>
            <w:tcW w:w="886"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22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Owned</w:t>
            </w:r>
          </w:p>
        </w:tc>
      </w:tr>
      <w:tr>
        <w:trPr/>
        <w:tc>
          <w:tcPr>
            <w:tcW w:w="467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Corona Regional Medical Center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Corona, California</w:t>
            </w:r>
          </w:p>
        </w:tc>
        <w:tc>
          <w:tcPr>
            <w:tcW w:w="8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259</w:t>
            </w:r>
          </w:p>
        </w:tc>
        <w:tc>
          <w:tcPr>
            <w:tcW w:w="122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Owned</w:t>
            </w:r>
          </w:p>
        </w:tc>
      </w:tr>
      <w:tr>
        <w:trPr/>
        <w:tc>
          <w:tcPr>
            <w:tcW w:w="467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Desert View Hospital</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Pahrump, Nevada</w:t>
            </w:r>
          </w:p>
        </w:tc>
        <w:tc>
          <w:tcPr>
            <w:tcW w:w="8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25</w:t>
            </w:r>
          </w:p>
        </w:tc>
        <w:tc>
          <w:tcPr>
            <w:tcW w:w="122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Owned</w:t>
            </w:r>
          </w:p>
        </w:tc>
      </w:tr>
      <w:tr>
        <w:trPr/>
        <w:tc>
          <w:tcPr>
            <w:tcW w:w="467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Doctors Hospital of Laredo (6)</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Laredo, Texas</w:t>
            </w:r>
          </w:p>
        </w:tc>
        <w:tc>
          <w:tcPr>
            <w:tcW w:w="8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183</w:t>
            </w:r>
          </w:p>
        </w:tc>
        <w:tc>
          <w:tcPr>
            <w:tcW w:w="1225" w:type="dxa"/>
            <w:tcBorders/>
            <w:tcMar>
              <w:top w:w="0" w:type="dxa"/>
              <w:left w:w="0" w:type="dxa"/>
              <w:bottom w:w="0" w:type="dxa"/>
              <w:right w:w="0" w:type="dxa"/>
            </w:tcMar>
            <w:vAlign w:val="center"/>
          </w:tcPr>
          <w:p>
            <w:pPr>
              <w:pStyle w:val="TableContents"/>
              <w:bidi w:val="0"/>
              <w:spacing w:before="0" w:after="283"/>
              <w:ind w:left="0" w:right="0" w:firstLine="504"/>
              <w:jc w:val="center"/>
              <w:rPr>
                <w:rFonts w:ascii="Times New Roman" w:hAnsi="Times New Roman"/>
                <w:color w:val="000000"/>
                <w:sz w:val="20"/>
              </w:rPr>
            </w:pPr>
            <w:r>
              <w:rPr>
                <w:rFonts w:ascii="Times New Roman" w:hAnsi="Times New Roman"/>
                <w:color w:val="000000"/>
                <w:sz w:val="20"/>
              </w:rPr>
              <w:t>Owned</w:t>
            </w:r>
          </w:p>
        </w:tc>
      </w:tr>
      <w:tr>
        <w:trPr/>
        <w:tc>
          <w:tcPr>
            <w:tcW w:w="4675" w:type="dxa"/>
            <w:tcBorders/>
            <w:tcMar>
              <w:top w:w="0" w:type="dxa"/>
              <w:left w:w="0" w:type="dxa"/>
              <w:bottom w:w="0" w:type="dxa"/>
              <w:right w:w="0" w:type="dxa"/>
            </w:tcMar>
            <w:vAlign w:val="center"/>
          </w:tcPr>
          <w:p>
            <w:pPr>
              <w:pStyle w:val="TableContents"/>
              <w:bidi w:val="0"/>
              <w:spacing w:before="0" w:after="283"/>
              <w:ind w:left="0" w:right="0" w:firstLine="504"/>
              <w:jc w:val="left"/>
              <w:rPr>
                <w:rFonts w:ascii="Times New Roman" w:hAnsi="Times New Roman"/>
                <w:color w:val="000000"/>
                <w:sz w:val="20"/>
              </w:rPr>
            </w:pPr>
            <w:r>
              <w:rPr>
                <w:rFonts w:ascii="Times New Roman" w:hAnsi="Times New Roman"/>
                <w:color w:val="000000"/>
                <w:sz w:val="20"/>
              </w:rPr>
              <w:t>Doctors Hospital Emergency Room Saunders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Laredo, Texas</w:t>
            </w:r>
          </w:p>
        </w:tc>
        <w:tc>
          <w:tcPr>
            <w:tcW w:w="886"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225" w:type="dxa"/>
            <w:tcBorders/>
            <w:tcMar>
              <w:top w:w="0" w:type="dxa"/>
              <w:left w:w="0" w:type="dxa"/>
              <w:bottom w:w="0" w:type="dxa"/>
              <w:right w:w="0" w:type="dxa"/>
            </w:tcMar>
            <w:vAlign w:val="center"/>
          </w:tcPr>
          <w:p>
            <w:pPr>
              <w:pStyle w:val="TableContents"/>
              <w:bidi w:val="0"/>
              <w:spacing w:before="0" w:after="283"/>
              <w:ind w:left="0" w:right="0" w:firstLine="504"/>
              <w:jc w:val="center"/>
              <w:rPr>
                <w:rFonts w:ascii="Times New Roman" w:hAnsi="Times New Roman"/>
                <w:color w:val="000000"/>
                <w:sz w:val="20"/>
              </w:rPr>
            </w:pPr>
            <w:r>
              <w:rPr>
                <w:rFonts w:ascii="Times New Roman" w:hAnsi="Times New Roman"/>
                <w:color w:val="000000"/>
                <w:sz w:val="20"/>
              </w:rPr>
              <w:t>Owned</w:t>
            </w:r>
          </w:p>
        </w:tc>
      </w:tr>
      <w:tr>
        <w:trPr/>
        <w:tc>
          <w:tcPr>
            <w:tcW w:w="4675" w:type="dxa"/>
            <w:tcBorders/>
            <w:tcMar>
              <w:top w:w="0" w:type="dxa"/>
              <w:left w:w="0" w:type="dxa"/>
              <w:bottom w:w="0" w:type="dxa"/>
              <w:right w:w="0" w:type="dxa"/>
            </w:tcMar>
            <w:vAlign w:val="center"/>
          </w:tcPr>
          <w:p>
            <w:pPr>
              <w:pStyle w:val="TableContents"/>
              <w:bidi w:val="0"/>
              <w:spacing w:before="0" w:after="283"/>
              <w:ind w:left="0" w:right="0" w:firstLine="504"/>
              <w:jc w:val="left"/>
              <w:rPr>
                <w:rFonts w:ascii="Times New Roman" w:hAnsi="Times New Roman"/>
                <w:color w:val="000000"/>
                <w:sz w:val="20"/>
              </w:rPr>
            </w:pPr>
            <w:r>
              <w:rPr>
                <w:rFonts w:ascii="Times New Roman" w:hAnsi="Times New Roman"/>
                <w:color w:val="000000"/>
                <w:sz w:val="20"/>
              </w:rPr>
              <w:t>Doctors Hospital Emergency Room South</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Laredo, Texas</w:t>
            </w:r>
          </w:p>
        </w:tc>
        <w:tc>
          <w:tcPr>
            <w:tcW w:w="886"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225" w:type="dxa"/>
            <w:tcBorders/>
            <w:tcMar>
              <w:top w:w="0" w:type="dxa"/>
              <w:left w:w="0" w:type="dxa"/>
              <w:bottom w:w="0" w:type="dxa"/>
              <w:right w:w="0" w:type="dxa"/>
            </w:tcMar>
            <w:vAlign w:val="center"/>
          </w:tcPr>
          <w:p>
            <w:pPr>
              <w:pStyle w:val="TableContents"/>
              <w:bidi w:val="0"/>
              <w:spacing w:before="0" w:after="283"/>
              <w:ind w:left="0" w:right="0" w:firstLine="504"/>
              <w:jc w:val="center"/>
              <w:rPr>
                <w:rFonts w:ascii="Times New Roman" w:hAnsi="Times New Roman"/>
                <w:color w:val="000000"/>
                <w:sz w:val="20"/>
              </w:rPr>
            </w:pPr>
            <w:r>
              <w:rPr>
                <w:rFonts w:ascii="Times New Roman" w:hAnsi="Times New Roman"/>
                <w:color w:val="000000"/>
                <w:sz w:val="20"/>
              </w:rPr>
              <w:t>Leased</w:t>
            </w:r>
          </w:p>
        </w:tc>
      </w:tr>
      <w:tr>
        <w:trPr/>
        <w:tc>
          <w:tcPr>
            <w:tcW w:w="4675" w:type="dxa"/>
            <w:tcBorders/>
            <w:tcMar>
              <w:top w:w="0" w:type="dxa"/>
              <w:left w:w="0" w:type="dxa"/>
              <w:bottom w:w="0" w:type="dxa"/>
              <w:right w:w="0" w:type="dxa"/>
            </w:tcMar>
            <w:vAlign w:val="center"/>
          </w:tcPr>
          <w:p>
            <w:pPr>
              <w:pStyle w:val="TableContents"/>
              <w:bidi w:val="0"/>
              <w:spacing w:before="0" w:after="283"/>
              <w:ind w:left="0" w:right="0" w:firstLine="504"/>
              <w:jc w:val="left"/>
              <w:rPr>
                <w:rFonts w:ascii="Times New Roman" w:hAnsi="Times New Roman"/>
                <w:color w:val="000000"/>
                <w:sz w:val="20"/>
              </w:rPr>
            </w:pPr>
            <w:r>
              <w:rPr>
                <w:rFonts w:ascii="Times New Roman" w:hAnsi="Times New Roman"/>
                <w:color w:val="000000"/>
                <w:sz w:val="20"/>
              </w:rPr>
              <w:t>Doctors Hospital Emergency Room Wright Ranch</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6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Laredo, Texas</w:t>
            </w:r>
          </w:p>
        </w:tc>
        <w:tc>
          <w:tcPr>
            <w:tcW w:w="886"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22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Owned</w:t>
            </w:r>
          </w:p>
        </w:tc>
      </w:tr>
      <w:tr>
        <w:trPr/>
        <w:tc>
          <w:tcPr>
            <w:tcW w:w="467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Fort Duncan Regional Medical Center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Eagle Pass, Texas</w:t>
            </w:r>
          </w:p>
        </w:tc>
        <w:tc>
          <w:tcPr>
            <w:tcW w:w="8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w:t>
            </w:r>
          </w:p>
        </w:tc>
        <w:tc>
          <w:tcPr>
            <w:tcW w:w="122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Owned</w:t>
            </w:r>
          </w:p>
        </w:tc>
      </w:tr>
      <w:tr>
        <w:trPr/>
        <w:tc>
          <w:tcPr>
            <w:tcW w:w="467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 George Washington University Hospital (16)</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Washington, D.C.</w:t>
            </w:r>
          </w:p>
        </w:tc>
        <w:tc>
          <w:tcPr>
            <w:tcW w:w="8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395</w:t>
            </w:r>
          </w:p>
        </w:tc>
        <w:tc>
          <w:tcPr>
            <w:tcW w:w="122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Leased</w:t>
            </w:r>
          </w:p>
        </w:tc>
      </w:tr>
      <w:tr>
        <w:trPr/>
        <w:tc>
          <w:tcPr>
            <w:tcW w:w="467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Henderson Hospital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Henderson, Nevada</w:t>
            </w:r>
          </w:p>
        </w:tc>
        <w:tc>
          <w:tcPr>
            <w:tcW w:w="8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303</w:t>
            </w:r>
          </w:p>
        </w:tc>
        <w:tc>
          <w:tcPr>
            <w:tcW w:w="1225" w:type="dxa"/>
            <w:tcBorders/>
            <w:tcMar>
              <w:top w:w="0" w:type="dxa"/>
              <w:left w:w="0" w:type="dxa"/>
              <w:bottom w:w="0" w:type="dxa"/>
              <w:right w:w="0" w:type="dxa"/>
            </w:tcMar>
            <w:vAlign w:val="center"/>
          </w:tcPr>
          <w:p>
            <w:pPr>
              <w:pStyle w:val="TableContents"/>
              <w:bidi w:val="0"/>
              <w:spacing w:before="0" w:after="283"/>
              <w:ind w:left="0" w:right="0" w:firstLine="504"/>
              <w:jc w:val="center"/>
              <w:rPr>
                <w:rFonts w:ascii="Times New Roman" w:hAnsi="Times New Roman"/>
                <w:color w:val="000000"/>
                <w:sz w:val="20"/>
              </w:rPr>
            </w:pPr>
            <w:r>
              <w:rPr>
                <w:rFonts w:ascii="Times New Roman" w:hAnsi="Times New Roman"/>
                <w:color w:val="000000"/>
                <w:sz w:val="20"/>
              </w:rPr>
              <w:t>Owned</w:t>
            </w:r>
          </w:p>
        </w:tc>
      </w:tr>
      <w:tr>
        <w:trPr/>
        <w:tc>
          <w:tcPr>
            <w:tcW w:w="4675" w:type="dxa"/>
            <w:tcBorders/>
            <w:tcMar>
              <w:top w:w="0" w:type="dxa"/>
              <w:left w:w="0" w:type="dxa"/>
              <w:bottom w:w="0" w:type="dxa"/>
              <w:right w:w="0" w:type="dxa"/>
            </w:tcMar>
            <w:vAlign w:val="center"/>
          </w:tcPr>
          <w:p>
            <w:pPr>
              <w:pStyle w:val="TableContents"/>
              <w:bidi w:val="0"/>
              <w:spacing w:before="0" w:after="283"/>
              <w:ind w:left="0" w:right="0" w:firstLine="504"/>
              <w:jc w:val="left"/>
              <w:rPr>
                <w:rFonts w:ascii="Times New Roman" w:hAnsi="Times New Roman"/>
                <w:color w:val="000000"/>
                <w:sz w:val="20"/>
              </w:rPr>
            </w:pPr>
            <w:r>
              <w:rPr>
                <w:rFonts w:ascii="Times New Roman" w:hAnsi="Times New Roman"/>
                <w:color w:val="000000"/>
                <w:sz w:val="20"/>
              </w:rPr>
              <w:t>ER at Cadence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6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Henderson, Nevada</w:t>
            </w:r>
          </w:p>
        </w:tc>
        <w:tc>
          <w:tcPr>
            <w:tcW w:w="886"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225" w:type="dxa"/>
            <w:tcBorders/>
            <w:tcMar>
              <w:top w:w="0" w:type="dxa"/>
              <w:left w:w="0" w:type="dxa"/>
              <w:bottom w:w="0" w:type="dxa"/>
              <w:right w:w="0" w:type="dxa"/>
            </w:tcMar>
            <w:vAlign w:val="center"/>
          </w:tcPr>
          <w:p>
            <w:pPr>
              <w:pStyle w:val="TableContents"/>
              <w:bidi w:val="0"/>
              <w:spacing w:before="0" w:after="283"/>
              <w:ind w:left="0" w:right="0" w:firstLine="504"/>
              <w:jc w:val="center"/>
              <w:rPr>
                <w:rFonts w:ascii="Times New Roman" w:hAnsi="Times New Roman"/>
                <w:color w:val="000000"/>
                <w:sz w:val="20"/>
              </w:rPr>
            </w:pPr>
            <w:r>
              <w:rPr>
                <w:rFonts w:ascii="Times New Roman" w:hAnsi="Times New Roman"/>
                <w:color w:val="000000"/>
                <w:sz w:val="20"/>
              </w:rPr>
              <w:t>Owned</w:t>
            </w:r>
          </w:p>
        </w:tc>
      </w:tr>
      <w:tr>
        <w:trPr/>
        <w:tc>
          <w:tcPr>
            <w:tcW w:w="4675" w:type="dxa"/>
            <w:tcBorders/>
            <w:tcMar>
              <w:top w:w="0" w:type="dxa"/>
              <w:left w:w="0" w:type="dxa"/>
              <w:bottom w:w="0" w:type="dxa"/>
              <w:right w:w="0" w:type="dxa"/>
            </w:tcMar>
            <w:vAlign w:val="center"/>
          </w:tcPr>
          <w:p>
            <w:pPr>
              <w:pStyle w:val="TableContents"/>
              <w:bidi w:val="0"/>
              <w:spacing w:before="0" w:after="283"/>
              <w:ind w:left="0" w:right="0" w:firstLine="504"/>
              <w:jc w:val="left"/>
              <w:rPr>
                <w:rFonts w:ascii="Times New Roman" w:hAnsi="Times New Roman"/>
                <w:color w:val="000000"/>
                <w:sz w:val="20"/>
              </w:rPr>
            </w:pPr>
            <w:r>
              <w:rPr>
                <w:rFonts w:ascii="Times New Roman" w:hAnsi="Times New Roman"/>
                <w:color w:val="000000"/>
                <w:sz w:val="20"/>
              </w:rPr>
              <w:t>ER at Green Valley Ranch</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Henderson, Nevada</w:t>
            </w:r>
          </w:p>
        </w:tc>
        <w:tc>
          <w:tcPr>
            <w:tcW w:w="886"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22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Owned</w:t>
            </w:r>
          </w:p>
        </w:tc>
      </w:tr>
      <w:tr>
        <w:trPr/>
        <w:tc>
          <w:tcPr>
            <w:tcW w:w="467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Lakewood Ranch Medical Center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Lakewood Ranch, Florida</w:t>
            </w:r>
          </w:p>
        </w:tc>
        <w:tc>
          <w:tcPr>
            <w:tcW w:w="8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120</w:t>
            </w:r>
          </w:p>
        </w:tc>
        <w:tc>
          <w:tcPr>
            <w:tcW w:w="122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Owned</w:t>
            </w:r>
          </w:p>
        </w:tc>
      </w:tr>
    </w:tbl>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859"/>
        <w:gridCol w:w="146"/>
        <w:gridCol w:w="1905"/>
        <w:gridCol w:w="858"/>
        <w:gridCol w:w="1437"/>
      </w:tblGrid>
      <w:tr>
        <w:trPr/>
        <w:tc>
          <w:tcPr>
            <w:tcW w:w="5859"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905" w:type="dxa"/>
            <w:tcBorders/>
            <w:shd w:fill="FFFFFF" w:val="clear"/>
            <w:vAlign w:val="center"/>
          </w:tcPr>
          <w:p>
            <w:pPr>
              <w:pStyle w:val="TableContents"/>
              <w:bidi w:val="0"/>
              <w:spacing w:before="0" w:after="283"/>
              <w:jc w:val="left"/>
              <w:rPr>
                <w:sz w:val="4"/>
                <w:szCs w:val="4"/>
              </w:rPr>
            </w:pPr>
            <w:r>
              <w:rPr>
                <w:sz w:val="4"/>
                <w:szCs w:val="4"/>
              </w:rPr>
            </w:r>
          </w:p>
        </w:tc>
        <w:tc>
          <w:tcPr>
            <w:tcW w:w="858" w:type="dxa"/>
            <w:tcBorders/>
            <w:shd w:fill="FFFFFF" w:val="clear"/>
            <w:vAlign w:val="center"/>
          </w:tcPr>
          <w:p>
            <w:pPr>
              <w:pStyle w:val="TableContents"/>
              <w:bidi w:val="0"/>
              <w:spacing w:before="0" w:after="283"/>
              <w:jc w:val="left"/>
              <w:rPr>
                <w:sz w:val="4"/>
                <w:szCs w:val="4"/>
              </w:rPr>
            </w:pPr>
            <w:r>
              <w:rPr>
                <w:sz w:val="4"/>
                <w:szCs w:val="4"/>
              </w:rPr>
            </w:r>
          </w:p>
        </w:tc>
        <w:tc>
          <w:tcPr>
            <w:tcW w:w="1437" w:type="dxa"/>
            <w:tcBorders/>
            <w:shd w:fill="FFFFFF" w:val="clear"/>
            <w:vAlign w:val="center"/>
          </w:tcPr>
          <w:p>
            <w:pPr>
              <w:pStyle w:val="TableContents"/>
              <w:bidi w:val="0"/>
              <w:spacing w:before="0" w:after="283"/>
              <w:jc w:val="left"/>
              <w:rPr>
                <w:sz w:val="4"/>
                <w:szCs w:val="4"/>
              </w:rPr>
            </w:pPr>
            <w:r>
              <w:rPr>
                <w:sz w:val="4"/>
                <w:szCs w:val="4"/>
              </w:rPr>
            </w:r>
          </w:p>
        </w:tc>
      </w:tr>
      <w:tr>
        <w:trPr/>
        <w:tc>
          <w:tcPr>
            <w:tcW w:w="585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Name of Facility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b/>
                <w:color w:val="000000"/>
                <w:sz w:val="16"/>
              </w:rPr>
              <w:t>Location</w:t>
            </w:r>
            <w:r>
              <w:rPr>
                <w:rFonts w:ascii="Times New Roman" w:hAnsi="Times New Roman"/>
                <w:color w:val="000000"/>
                <w:sz w:val="16"/>
              </w:rPr>
              <w:t xml:space="preserve"> </w:t>
            </w:r>
          </w:p>
        </w:tc>
        <w:tc>
          <w:tcPr>
            <w:tcW w:w="85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Number of</w:t>
              <w:br/>
              <w:t>Beds</w:t>
            </w:r>
            <w:r>
              <w:rPr>
                <w:rFonts w:ascii="Times New Roman" w:hAnsi="Times New Roman"/>
                <w:color w:val="000000"/>
                <w:sz w:val="16"/>
              </w:rPr>
              <w:t xml:space="preserve"> </w:t>
            </w:r>
          </w:p>
        </w:tc>
        <w:tc>
          <w:tcPr>
            <w:tcW w:w="1437" w:type="dxa"/>
            <w:tcBorders/>
            <w:tcMar>
              <w:top w:w="0" w:type="dxa"/>
              <w:left w:w="0" w:type="dxa"/>
              <w:bottom w:w="0" w:type="dxa"/>
              <w:right w:w="0" w:type="dxa"/>
            </w:tcMar>
            <w:vAlign w:val="center"/>
          </w:tcPr>
          <w:p>
            <w:pPr>
              <w:pStyle w:val="TableContents"/>
              <w:bidi w:val="0"/>
              <w:spacing w:before="0" w:after="283"/>
              <w:ind w:left="0" w:right="0" w:firstLine="504"/>
              <w:jc w:val="center"/>
              <w:rPr>
                <w:rFonts w:ascii="Times New Roman" w:hAnsi="Times New Roman"/>
                <w:sz w:val="16"/>
              </w:rPr>
            </w:pPr>
            <w:r>
              <w:rPr>
                <w:rFonts w:ascii="Times New Roman" w:hAnsi="Times New Roman"/>
                <w:b/>
                <w:color w:val="000000"/>
                <w:sz w:val="16"/>
              </w:rPr>
              <w:t>Real</w:t>
              <w:br/>
              <w:t>Property</w:t>
              <w:br/>
              <w:t>Ownership</w:t>
              <w:br/>
              <w:t>Interest</w:t>
            </w:r>
            <w:r>
              <w:rPr>
                <w:rFonts w:ascii="Times New Roman" w:hAnsi="Times New Roman"/>
                <w:color w:val="000000"/>
                <w:sz w:val="16"/>
              </w:rPr>
              <w:t xml:space="preserve"> </w:t>
            </w:r>
          </w:p>
        </w:tc>
      </w:tr>
      <w:tr>
        <w:trPr/>
        <w:tc>
          <w:tcPr>
            <w:tcW w:w="5859" w:type="dxa"/>
            <w:tcBorders/>
            <w:tcMar>
              <w:top w:w="0" w:type="dxa"/>
              <w:left w:w="0" w:type="dxa"/>
              <w:bottom w:w="0" w:type="dxa"/>
              <w:right w:w="0" w:type="dxa"/>
            </w:tcMar>
            <w:vAlign w:val="center"/>
          </w:tcPr>
          <w:p>
            <w:pPr>
              <w:pStyle w:val="TableContents"/>
              <w:bidi w:val="0"/>
              <w:spacing w:before="0" w:after="283"/>
              <w:ind w:left="0" w:right="0" w:firstLine="504"/>
              <w:jc w:val="left"/>
              <w:rPr>
                <w:rFonts w:ascii="Times New Roman" w:hAnsi="Times New Roman"/>
                <w:color w:val="000000"/>
                <w:sz w:val="20"/>
              </w:rPr>
            </w:pPr>
            <w:r>
              <w:rPr>
                <w:rFonts w:ascii="Times New Roman" w:hAnsi="Times New Roman"/>
                <w:color w:val="000000"/>
                <w:sz w:val="20"/>
              </w:rPr>
              <w:t>ER at Fruitville</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Sarasota, Florida</w:t>
            </w:r>
          </w:p>
        </w:tc>
        <w:tc>
          <w:tcPr>
            <w:tcW w:w="858"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3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Owned</w:t>
            </w:r>
          </w:p>
        </w:tc>
      </w:tr>
      <w:tr>
        <w:trPr/>
        <w:tc>
          <w:tcPr>
            <w:tcW w:w="585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Manatee Memorial Hospital</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Bradenton, Florida</w:t>
            </w:r>
          </w:p>
        </w:tc>
        <w:tc>
          <w:tcPr>
            <w:tcW w:w="85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295</w:t>
            </w:r>
          </w:p>
        </w:tc>
        <w:tc>
          <w:tcPr>
            <w:tcW w:w="143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Owned</w:t>
            </w:r>
          </w:p>
        </w:tc>
      </w:tr>
      <w:tr>
        <w:trPr/>
        <w:tc>
          <w:tcPr>
            <w:tcW w:w="5859"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ER at Palma Sola</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Bradenton, Florida</w:t>
            </w:r>
          </w:p>
        </w:tc>
        <w:tc>
          <w:tcPr>
            <w:tcW w:w="858"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3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Owned</w:t>
            </w:r>
          </w:p>
        </w:tc>
      </w:tr>
      <w:tr>
        <w:trPr/>
        <w:tc>
          <w:tcPr>
            <w:tcW w:w="5859"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ER at Sun City Center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Wimauma, Florida</w:t>
            </w:r>
          </w:p>
        </w:tc>
        <w:tc>
          <w:tcPr>
            <w:tcW w:w="858"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3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Owned</w:t>
            </w:r>
          </w:p>
        </w:tc>
      </w:tr>
      <w:tr>
        <w:trPr/>
        <w:tc>
          <w:tcPr>
            <w:tcW w:w="5859"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Manatee ER at Bayshore Gardens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Bradenton, Florida</w:t>
            </w:r>
          </w:p>
        </w:tc>
        <w:tc>
          <w:tcPr>
            <w:tcW w:w="858"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3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Owned</w:t>
            </w:r>
          </w:p>
        </w:tc>
      </w:tr>
      <w:tr>
        <w:trPr/>
        <w:tc>
          <w:tcPr>
            <w:tcW w:w="585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Northern Nevada Medical Center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Sparks, Nevada</w:t>
            </w:r>
          </w:p>
        </w:tc>
        <w:tc>
          <w:tcPr>
            <w:tcW w:w="85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124</w:t>
            </w:r>
          </w:p>
        </w:tc>
        <w:tc>
          <w:tcPr>
            <w:tcW w:w="143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Owned</w:t>
            </w:r>
          </w:p>
        </w:tc>
      </w:tr>
      <w:tr>
        <w:trPr/>
        <w:tc>
          <w:tcPr>
            <w:tcW w:w="5859"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Northwest Specialty Hospital (Behavioral Health/Acute Rehabilitation)</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Reno, Nevada</w:t>
            </w:r>
          </w:p>
        </w:tc>
        <w:tc>
          <w:tcPr>
            <w:tcW w:w="85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70</w:t>
            </w:r>
          </w:p>
        </w:tc>
        <w:tc>
          <w:tcPr>
            <w:tcW w:w="1437" w:type="dxa"/>
            <w:tcBorders/>
            <w:tcMar>
              <w:top w:w="0" w:type="dxa"/>
              <w:left w:w="0" w:type="dxa"/>
              <w:bottom w:w="0" w:type="dxa"/>
              <w:right w:w="0" w:type="dxa"/>
            </w:tcMar>
            <w:vAlign w:val="center"/>
          </w:tcPr>
          <w:p>
            <w:pPr>
              <w:pStyle w:val="TableContents"/>
              <w:bidi w:val="0"/>
              <w:spacing w:before="0" w:after="283"/>
              <w:ind w:left="0" w:right="0" w:firstLine="504"/>
              <w:jc w:val="center"/>
              <w:rPr>
                <w:rFonts w:ascii="Times New Roman" w:hAnsi="Times New Roman"/>
                <w:color w:val="000000"/>
                <w:sz w:val="20"/>
              </w:rPr>
            </w:pPr>
            <w:r>
              <w:rPr>
                <w:rFonts w:ascii="Times New Roman" w:hAnsi="Times New Roman"/>
                <w:color w:val="000000"/>
                <w:sz w:val="20"/>
              </w:rPr>
              <w:t>Owned</w:t>
            </w:r>
          </w:p>
        </w:tc>
      </w:tr>
      <w:tr>
        <w:trPr/>
        <w:tc>
          <w:tcPr>
            <w:tcW w:w="5859" w:type="dxa"/>
            <w:tcBorders/>
            <w:tcMar>
              <w:top w:w="0" w:type="dxa"/>
              <w:left w:w="0" w:type="dxa"/>
              <w:bottom w:w="0" w:type="dxa"/>
              <w:right w:w="0" w:type="dxa"/>
            </w:tcMar>
            <w:vAlign w:val="center"/>
          </w:tcPr>
          <w:p>
            <w:pPr>
              <w:pStyle w:val="TableContents"/>
              <w:bidi w:val="0"/>
              <w:spacing w:before="0" w:after="283"/>
              <w:ind w:left="0" w:right="0" w:firstLine="504"/>
              <w:jc w:val="left"/>
              <w:rPr>
                <w:rFonts w:ascii="Times New Roman" w:hAnsi="Times New Roman"/>
                <w:color w:val="000000"/>
                <w:sz w:val="20"/>
              </w:rPr>
            </w:pPr>
            <w:r>
              <w:rPr>
                <w:rFonts w:ascii="Times New Roman" w:hAnsi="Times New Roman"/>
                <w:color w:val="000000"/>
                <w:sz w:val="20"/>
              </w:rPr>
              <w:t>Sierra Medical Center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0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Reno, Nevada</w:t>
            </w:r>
          </w:p>
        </w:tc>
        <w:tc>
          <w:tcPr>
            <w:tcW w:w="85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158</w:t>
            </w:r>
          </w:p>
        </w:tc>
        <w:tc>
          <w:tcPr>
            <w:tcW w:w="1437" w:type="dxa"/>
            <w:tcBorders/>
            <w:tcMar>
              <w:top w:w="0" w:type="dxa"/>
              <w:left w:w="0" w:type="dxa"/>
              <w:bottom w:w="0" w:type="dxa"/>
              <w:right w:w="0" w:type="dxa"/>
            </w:tcMar>
            <w:vAlign w:val="center"/>
          </w:tcPr>
          <w:p>
            <w:pPr>
              <w:pStyle w:val="TableContents"/>
              <w:bidi w:val="0"/>
              <w:spacing w:before="0" w:after="283"/>
              <w:ind w:left="0" w:right="0" w:firstLine="504"/>
              <w:jc w:val="center"/>
              <w:rPr>
                <w:rFonts w:ascii="Times New Roman" w:hAnsi="Times New Roman"/>
                <w:color w:val="000000"/>
                <w:sz w:val="20"/>
              </w:rPr>
            </w:pPr>
            <w:r>
              <w:rPr>
                <w:rFonts w:ascii="Times New Roman" w:hAnsi="Times New Roman"/>
                <w:color w:val="000000"/>
                <w:sz w:val="20"/>
              </w:rPr>
              <w:t>Owned</w:t>
            </w:r>
          </w:p>
        </w:tc>
      </w:tr>
      <w:tr>
        <w:trPr/>
        <w:tc>
          <w:tcPr>
            <w:tcW w:w="5859" w:type="dxa"/>
            <w:tcBorders/>
            <w:tcMar>
              <w:top w:w="0" w:type="dxa"/>
              <w:left w:w="0" w:type="dxa"/>
              <w:bottom w:w="0" w:type="dxa"/>
              <w:right w:w="0" w:type="dxa"/>
            </w:tcMar>
            <w:vAlign w:val="center"/>
          </w:tcPr>
          <w:p>
            <w:pPr>
              <w:pStyle w:val="TableContents"/>
              <w:bidi w:val="0"/>
              <w:spacing w:before="0" w:after="283"/>
              <w:ind w:left="0" w:right="0" w:firstLine="504"/>
              <w:jc w:val="left"/>
              <w:rPr>
                <w:rFonts w:ascii="Times New Roman" w:hAnsi="Times New Roman"/>
                <w:color w:val="000000"/>
                <w:sz w:val="20"/>
              </w:rPr>
            </w:pPr>
            <w:r>
              <w:rPr>
                <w:rFonts w:ascii="Times New Roman" w:hAnsi="Times New Roman"/>
                <w:color w:val="000000"/>
                <w:sz w:val="20"/>
              </w:rPr>
              <w:t>ER at Damonte Ranch</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Reno, Nevada</w:t>
            </w:r>
          </w:p>
        </w:tc>
        <w:tc>
          <w:tcPr>
            <w:tcW w:w="858"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37" w:type="dxa"/>
            <w:tcBorders/>
            <w:tcMar>
              <w:top w:w="0" w:type="dxa"/>
              <w:left w:w="0" w:type="dxa"/>
              <w:bottom w:w="0" w:type="dxa"/>
              <w:right w:w="0" w:type="dxa"/>
            </w:tcMar>
            <w:vAlign w:val="center"/>
          </w:tcPr>
          <w:p>
            <w:pPr>
              <w:pStyle w:val="TableContents"/>
              <w:bidi w:val="0"/>
              <w:spacing w:before="0" w:after="283"/>
              <w:ind w:left="0" w:right="0" w:firstLine="504"/>
              <w:jc w:val="center"/>
              <w:rPr>
                <w:rFonts w:ascii="Times New Roman" w:hAnsi="Times New Roman"/>
                <w:color w:val="000000"/>
                <w:sz w:val="20"/>
              </w:rPr>
            </w:pPr>
            <w:r>
              <w:rPr>
                <w:rFonts w:ascii="Times New Roman" w:hAnsi="Times New Roman"/>
                <w:color w:val="000000"/>
                <w:sz w:val="20"/>
              </w:rPr>
              <w:t>Owned</w:t>
            </w:r>
          </w:p>
        </w:tc>
      </w:tr>
      <w:tr>
        <w:trPr/>
        <w:tc>
          <w:tcPr>
            <w:tcW w:w="5859" w:type="dxa"/>
            <w:tcBorders/>
            <w:tcMar>
              <w:top w:w="0" w:type="dxa"/>
              <w:left w:w="0" w:type="dxa"/>
              <w:bottom w:w="0" w:type="dxa"/>
              <w:right w:w="0" w:type="dxa"/>
            </w:tcMar>
            <w:vAlign w:val="center"/>
          </w:tcPr>
          <w:p>
            <w:pPr>
              <w:pStyle w:val="TableContents"/>
              <w:bidi w:val="0"/>
              <w:spacing w:before="0" w:after="283"/>
              <w:ind w:left="0" w:right="0" w:firstLine="504"/>
              <w:jc w:val="left"/>
              <w:rPr>
                <w:rFonts w:ascii="Times New Roman" w:hAnsi="Times New Roman"/>
                <w:color w:val="000000"/>
                <w:sz w:val="20"/>
              </w:rPr>
            </w:pPr>
            <w:r>
              <w:rPr>
                <w:rFonts w:ascii="Times New Roman" w:hAnsi="Times New Roman"/>
                <w:color w:val="000000"/>
                <w:sz w:val="20"/>
              </w:rPr>
              <w:t>ER at McCarran NW</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Reno, Nevada</w:t>
            </w:r>
          </w:p>
        </w:tc>
        <w:tc>
          <w:tcPr>
            <w:tcW w:w="858"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37" w:type="dxa"/>
            <w:tcBorders/>
            <w:tcMar>
              <w:top w:w="0" w:type="dxa"/>
              <w:left w:w="0" w:type="dxa"/>
              <w:bottom w:w="0" w:type="dxa"/>
              <w:right w:w="0" w:type="dxa"/>
            </w:tcMar>
            <w:vAlign w:val="center"/>
          </w:tcPr>
          <w:p>
            <w:pPr>
              <w:pStyle w:val="TableContents"/>
              <w:bidi w:val="0"/>
              <w:spacing w:before="0" w:after="283"/>
              <w:ind w:left="0" w:right="0" w:firstLine="504"/>
              <w:jc w:val="center"/>
              <w:rPr>
                <w:rFonts w:ascii="Times New Roman" w:hAnsi="Times New Roman"/>
                <w:color w:val="000000"/>
                <w:sz w:val="20"/>
              </w:rPr>
            </w:pPr>
            <w:r>
              <w:rPr>
                <w:rFonts w:ascii="Times New Roman" w:hAnsi="Times New Roman"/>
                <w:color w:val="000000"/>
                <w:sz w:val="20"/>
              </w:rPr>
              <w:t>Owned</w:t>
            </w:r>
          </w:p>
        </w:tc>
      </w:tr>
      <w:tr>
        <w:trPr/>
        <w:tc>
          <w:tcPr>
            <w:tcW w:w="5859" w:type="dxa"/>
            <w:tcBorders/>
            <w:tcMar>
              <w:top w:w="0" w:type="dxa"/>
              <w:left w:w="0" w:type="dxa"/>
              <w:bottom w:w="0" w:type="dxa"/>
              <w:right w:w="0" w:type="dxa"/>
            </w:tcMar>
            <w:vAlign w:val="center"/>
          </w:tcPr>
          <w:p>
            <w:pPr>
              <w:pStyle w:val="TableContents"/>
              <w:bidi w:val="0"/>
              <w:spacing w:before="0" w:after="283"/>
              <w:ind w:left="0" w:right="0" w:firstLine="504"/>
              <w:jc w:val="left"/>
              <w:rPr>
                <w:rFonts w:ascii="Times New Roman" w:hAnsi="Times New Roman"/>
                <w:color w:val="000000"/>
                <w:sz w:val="20"/>
              </w:rPr>
            </w:pPr>
            <w:r>
              <w:rPr>
                <w:rFonts w:ascii="Times New Roman" w:hAnsi="Times New Roman"/>
                <w:color w:val="000000"/>
                <w:sz w:val="20"/>
              </w:rPr>
              <w:t>ER at North Valleys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0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Reno, Nevada</w:t>
            </w:r>
          </w:p>
        </w:tc>
        <w:tc>
          <w:tcPr>
            <w:tcW w:w="858"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3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Owned</w:t>
            </w:r>
          </w:p>
        </w:tc>
      </w:tr>
      <w:tr>
        <w:trPr/>
        <w:tc>
          <w:tcPr>
            <w:tcW w:w="5859"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ER at Spanish Springs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Sparks, Nevada</w:t>
            </w:r>
          </w:p>
        </w:tc>
        <w:tc>
          <w:tcPr>
            <w:tcW w:w="858"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3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Owned</w:t>
            </w:r>
          </w:p>
        </w:tc>
      </w:tr>
      <w:tr>
        <w:trPr/>
        <w:tc>
          <w:tcPr>
            <w:tcW w:w="585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Northwest Texas Healthcare System</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Amarillo, Texas</w:t>
            </w:r>
          </w:p>
        </w:tc>
        <w:tc>
          <w:tcPr>
            <w:tcW w:w="85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405</w:t>
            </w:r>
          </w:p>
        </w:tc>
        <w:tc>
          <w:tcPr>
            <w:tcW w:w="1437" w:type="dxa"/>
            <w:tcBorders/>
            <w:tcMar>
              <w:top w:w="0" w:type="dxa"/>
              <w:left w:w="0" w:type="dxa"/>
              <w:bottom w:w="0" w:type="dxa"/>
              <w:right w:w="0" w:type="dxa"/>
            </w:tcMar>
            <w:vAlign w:val="center"/>
          </w:tcPr>
          <w:p>
            <w:pPr>
              <w:pStyle w:val="TableContents"/>
              <w:bidi w:val="0"/>
              <w:spacing w:before="0" w:after="283"/>
              <w:ind w:left="0" w:right="0" w:firstLine="504"/>
              <w:jc w:val="center"/>
              <w:rPr>
                <w:rFonts w:ascii="Times New Roman" w:hAnsi="Times New Roman"/>
                <w:color w:val="000000"/>
                <w:sz w:val="20"/>
              </w:rPr>
            </w:pPr>
            <w:r>
              <w:rPr>
                <w:rFonts w:ascii="Times New Roman" w:hAnsi="Times New Roman"/>
                <w:color w:val="000000"/>
                <w:sz w:val="20"/>
              </w:rPr>
              <w:t>Owned</w:t>
            </w:r>
          </w:p>
        </w:tc>
      </w:tr>
      <w:tr>
        <w:trPr/>
        <w:tc>
          <w:tcPr>
            <w:tcW w:w="5859" w:type="dxa"/>
            <w:tcBorders/>
            <w:tcMar>
              <w:top w:w="0" w:type="dxa"/>
              <w:left w:w="0" w:type="dxa"/>
              <w:bottom w:w="0" w:type="dxa"/>
              <w:right w:w="0" w:type="dxa"/>
            </w:tcMar>
            <w:vAlign w:val="center"/>
          </w:tcPr>
          <w:p>
            <w:pPr>
              <w:pStyle w:val="TableContents"/>
              <w:bidi w:val="0"/>
              <w:spacing w:before="0" w:after="283"/>
              <w:ind w:left="0" w:right="0" w:firstLine="504"/>
              <w:jc w:val="left"/>
              <w:rPr>
                <w:rFonts w:ascii="Times New Roman" w:hAnsi="Times New Roman"/>
                <w:color w:val="000000"/>
                <w:sz w:val="20"/>
              </w:rPr>
            </w:pPr>
            <w:r>
              <w:rPr>
                <w:rFonts w:ascii="Times New Roman" w:hAnsi="Times New Roman"/>
                <w:color w:val="000000"/>
                <w:sz w:val="20"/>
              </w:rPr>
              <w:t>Northwest Texas Healthcare System Behavioral Health</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Amarillo, Texas</w:t>
            </w:r>
          </w:p>
        </w:tc>
        <w:tc>
          <w:tcPr>
            <w:tcW w:w="85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90</w:t>
            </w:r>
          </w:p>
        </w:tc>
        <w:tc>
          <w:tcPr>
            <w:tcW w:w="1437" w:type="dxa"/>
            <w:tcBorders/>
            <w:tcMar>
              <w:top w:w="0" w:type="dxa"/>
              <w:left w:w="0" w:type="dxa"/>
              <w:bottom w:w="0" w:type="dxa"/>
              <w:right w:w="0" w:type="dxa"/>
            </w:tcMar>
            <w:vAlign w:val="center"/>
          </w:tcPr>
          <w:p>
            <w:pPr>
              <w:pStyle w:val="TableContents"/>
              <w:bidi w:val="0"/>
              <w:spacing w:before="0" w:after="283"/>
              <w:ind w:left="0" w:right="0" w:firstLine="504"/>
              <w:jc w:val="center"/>
              <w:rPr>
                <w:rFonts w:ascii="Times New Roman" w:hAnsi="Times New Roman"/>
                <w:color w:val="000000"/>
                <w:sz w:val="20"/>
              </w:rPr>
            </w:pPr>
            <w:r>
              <w:rPr>
                <w:rFonts w:ascii="Times New Roman" w:hAnsi="Times New Roman"/>
                <w:color w:val="000000"/>
                <w:sz w:val="20"/>
              </w:rPr>
              <w:t>Owned</w:t>
            </w:r>
          </w:p>
        </w:tc>
      </w:tr>
      <w:tr>
        <w:trPr/>
        <w:tc>
          <w:tcPr>
            <w:tcW w:w="5859" w:type="dxa"/>
            <w:tcBorders/>
            <w:tcMar>
              <w:top w:w="0" w:type="dxa"/>
              <w:left w:w="0" w:type="dxa"/>
              <w:bottom w:w="0" w:type="dxa"/>
              <w:right w:w="0" w:type="dxa"/>
            </w:tcMar>
            <w:vAlign w:val="center"/>
          </w:tcPr>
          <w:p>
            <w:pPr>
              <w:pStyle w:val="TableContents"/>
              <w:bidi w:val="0"/>
              <w:spacing w:before="0" w:after="283"/>
              <w:ind w:left="0" w:right="0" w:firstLine="504"/>
              <w:jc w:val="left"/>
              <w:rPr>
                <w:rFonts w:ascii="Times New Roman" w:hAnsi="Times New Roman"/>
                <w:color w:val="000000"/>
                <w:sz w:val="20"/>
              </w:rPr>
            </w:pPr>
            <w:r>
              <w:rPr>
                <w:rFonts w:ascii="Times New Roman" w:hAnsi="Times New Roman"/>
                <w:color w:val="000000"/>
                <w:sz w:val="20"/>
              </w:rPr>
              <w:t>Northwest Emergency at Eastern</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0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Amarillo, Texas</w:t>
            </w:r>
          </w:p>
        </w:tc>
        <w:tc>
          <w:tcPr>
            <w:tcW w:w="858"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37" w:type="dxa"/>
            <w:tcBorders/>
            <w:tcMar>
              <w:top w:w="0" w:type="dxa"/>
              <w:left w:w="0" w:type="dxa"/>
              <w:bottom w:w="0" w:type="dxa"/>
              <w:right w:w="0" w:type="dxa"/>
            </w:tcMar>
            <w:vAlign w:val="center"/>
          </w:tcPr>
          <w:p>
            <w:pPr>
              <w:pStyle w:val="TableContents"/>
              <w:bidi w:val="0"/>
              <w:spacing w:before="0" w:after="283"/>
              <w:ind w:left="0" w:right="0" w:firstLine="504"/>
              <w:jc w:val="center"/>
              <w:rPr>
                <w:rFonts w:ascii="Times New Roman" w:hAnsi="Times New Roman"/>
                <w:color w:val="000000"/>
                <w:sz w:val="20"/>
              </w:rPr>
            </w:pPr>
            <w:r>
              <w:rPr>
                <w:rFonts w:ascii="Times New Roman" w:hAnsi="Times New Roman"/>
                <w:color w:val="000000"/>
                <w:sz w:val="20"/>
              </w:rPr>
              <w:t>Owned</w:t>
            </w:r>
          </w:p>
        </w:tc>
      </w:tr>
      <w:tr>
        <w:trPr/>
        <w:tc>
          <w:tcPr>
            <w:tcW w:w="5859" w:type="dxa"/>
            <w:tcBorders/>
            <w:tcMar>
              <w:top w:w="0" w:type="dxa"/>
              <w:left w:w="0" w:type="dxa"/>
              <w:bottom w:w="0" w:type="dxa"/>
              <w:right w:w="0" w:type="dxa"/>
            </w:tcMar>
            <w:vAlign w:val="center"/>
          </w:tcPr>
          <w:p>
            <w:pPr>
              <w:pStyle w:val="TableContents"/>
              <w:bidi w:val="0"/>
              <w:spacing w:before="0" w:after="283"/>
              <w:ind w:left="0" w:right="0" w:firstLine="504"/>
              <w:jc w:val="left"/>
              <w:rPr>
                <w:rFonts w:ascii="Times New Roman" w:hAnsi="Times New Roman"/>
                <w:color w:val="000000"/>
                <w:sz w:val="20"/>
              </w:rPr>
            </w:pPr>
            <w:r>
              <w:rPr>
                <w:rFonts w:ascii="Times New Roman" w:hAnsi="Times New Roman"/>
                <w:color w:val="000000"/>
                <w:sz w:val="20"/>
              </w:rPr>
              <w:t>Northwest Emergency at Tascosa</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0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Amarillo, Texas</w:t>
            </w:r>
          </w:p>
        </w:tc>
        <w:tc>
          <w:tcPr>
            <w:tcW w:w="858"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37" w:type="dxa"/>
            <w:tcBorders/>
            <w:tcMar>
              <w:top w:w="0" w:type="dxa"/>
              <w:left w:w="0" w:type="dxa"/>
              <w:bottom w:w="0" w:type="dxa"/>
              <w:right w:w="0" w:type="dxa"/>
            </w:tcMar>
            <w:vAlign w:val="center"/>
          </w:tcPr>
          <w:p>
            <w:pPr>
              <w:pStyle w:val="TableContents"/>
              <w:bidi w:val="0"/>
              <w:spacing w:before="0" w:after="283"/>
              <w:ind w:left="0" w:right="0" w:firstLine="504"/>
              <w:jc w:val="center"/>
              <w:rPr>
                <w:rFonts w:ascii="Times New Roman" w:hAnsi="Times New Roman"/>
                <w:color w:val="000000"/>
                <w:sz w:val="20"/>
              </w:rPr>
            </w:pPr>
            <w:r>
              <w:rPr>
                <w:rFonts w:ascii="Times New Roman" w:hAnsi="Times New Roman"/>
                <w:color w:val="000000"/>
                <w:sz w:val="20"/>
              </w:rPr>
              <w:t>Owned</w:t>
            </w:r>
          </w:p>
        </w:tc>
      </w:tr>
      <w:tr>
        <w:trPr/>
        <w:tc>
          <w:tcPr>
            <w:tcW w:w="5859" w:type="dxa"/>
            <w:tcBorders/>
            <w:tcMar>
              <w:top w:w="0" w:type="dxa"/>
              <w:left w:w="0" w:type="dxa"/>
              <w:bottom w:w="0" w:type="dxa"/>
              <w:right w:w="0" w:type="dxa"/>
            </w:tcMar>
            <w:vAlign w:val="center"/>
          </w:tcPr>
          <w:p>
            <w:pPr>
              <w:pStyle w:val="TableContents"/>
              <w:bidi w:val="0"/>
              <w:spacing w:before="0" w:after="283"/>
              <w:ind w:left="0" w:right="0" w:firstLine="504"/>
              <w:jc w:val="left"/>
              <w:rPr>
                <w:rFonts w:ascii="Times New Roman" w:hAnsi="Times New Roman"/>
                <w:color w:val="000000"/>
                <w:sz w:val="20"/>
              </w:rPr>
            </w:pPr>
            <w:r>
              <w:rPr>
                <w:rFonts w:ascii="Times New Roman" w:hAnsi="Times New Roman"/>
                <w:color w:val="000000"/>
                <w:sz w:val="20"/>
              </w:rPr>
              <w:t>Northwest Emergency at Town Square</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Amarillo, Texas</w:t>
            </w:r>
          </w:p>
        </w:tc>
        <w:tc>
          <w:tcPr>
            <w:tcW w:w="858"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37" w:type="dxa"/>
            <w:tcBorders/>
            <w:tcMar>
              <w:top w:w="0" w:type="dxa"/>
              <w:left w:w="0" w:type="dxa"/>
              <w:bottom w:w="0" w:type="dxa"/>
              <w:right w:w="0" w:type="dxa"/>
            </w:tcMar>
            <w:vAlign w:val="center"/>
          </w:tcPr>
          <w:p>
            <w:pPr>
              <w:pStyle w:val="TableContents"/>
              <w:bidi w:val="0"/>
              <w:spacing w:before="0" w:after="283"/>
              <w:ind w:left="0" w:right="0" w:firstLine="504"/>
              <w:jc w:val="center"/>
              <w:rPr>
                <w:rFonts w:ascii="Times New Roman" w:hAnsi="Times New Roman"/>
                <w:color w:val="000000"/>
                <w:sz w:val="20"/>
              </w:rPr>
            </w:pPr>
            <w:r>
              <w:rPr>
                <w:rFonts w:ascii="Times New Roman" w:hAnsi="Times New Roman"/>
                <w:color w:val="000000"/>
                <w:sz w:val="20"/>
              </w:rPr>
              <w:t>Owned</w:t>
            </w:r>
          </w:p>
        </w:tc>
      </w:tr>
      <w:tr>
        <w:trPr/>
        <w:tc>
          <w:tcPr>
            <w:tcW w:w="5859" w:type="dxa"/>
            <w:tcBorders/>
            <w:tcMar>
              <w:top w:w="0" w:type="dxa"/>
              <w:left w:w="0" w:type="dxa"/>
              <w:bottom w:w="0" w:type="dxa"/>
              <w:right w:w="0" w:type="dxa"/>
            </w:tcMar>
            <w:vAlign w:val="center"/>
          </w:tcPr>
          <w:p>
            <w:pPr>
              <w:pStyle w:val="TableContents"/>
              <w:bidi w:val="0"/>
              <w:spacing w:before="0" w:after="283"/>
              <w:ind w:left="0" w:right="0" w:firstLine="504"/>
              <w:jc w:val="left"/>
              <w:rPr>
                <w:rFonts w:ascii="Times New Roman" w:hAnsi="Times New Roman"/>
                <w:color w:val="000000"/>
                <w:sz w:val="20"/>
              </w:rPr>
            </w:pPr>
            <w:r>
              <w:rPr>
                <w:rFonts w:ascii="Times New Roman" w:hAnsi="Times New Roman"/>
                <w:color w:val="000000"/>
                <w:sz w:val="20"/>
              </w:rPr>
              <w:t>Northwest Emergency on Georgia</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Amarillo, Texas</w:t>
            </w:r>
          </w:p>
        </w:tc>
        <w:tc>
          <w:tcPr>
            <w:tcW w:w="858"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3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Owned</w:t>
            </w:r>
          </w:p>
        </w:tc>
      </w:tr>
      <w:tr>
        <w:trPr/>
        <w:tc>
          <w:tcPr>
            <w:tcW w:w="585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Palmdale Regional Medical Center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Palmdale, California</w:t>
            </w:r>
          </w:p>
        </w:tc>
        <w:tc>
          <w:tcPr>
            <w:tcW w:w="85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190</w:t>
            </w:r>
          </w:p>
        </w:tc>
        <w:tc>
          <w:tcPr>
            <w:tcW w:w="143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Owned</w:t>
            </w:r>
          </w:p>
        </w:tc>
      </w:tr>
      <w:tr>
        <w:trPr/>
        <w:tc>
          <w:tcPr>
            <w:tcW w:w="585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South Texas Health System (2)</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tcBorders/>
            <w:tcMar>
              <w:top w:w="0" w:type="dxa"/>
              <w:left w:w="0" w:type="dxa"/>
              <w:bottom w:w="0" w:type="dxa"/>
              <w:right w:w="0" w:type="dxa"/>
            </w:tcMar>
            <w:vAlign w:val="center"/>
          </w:tcPr>
          <w:p>
            <w:pPr>
              <w:pStyle w:val="TableContents"/>
              <w:bidi w:val="0"/>
              <w:spacing w:before="0" w:after="283"/>
              <w:ind w:left="0" w:right="0" w:firstLine="504"/>
              <w:jc w:val="left"/>
              <w:rPr>
                <w:sz w:val="4"/>
                <w:szCs w:val="4"/>
              </w:rPr>
            </w:pPr>
            <w:r>
              <w:rPr>
                <w:sz w:val="4"/>
                <w:szCs w:val="4"/>
              </w:rPr>
            </w:r>
          </w:p>
        </w:tc>
      </w:tr>
      <w:tr>
        <w:trPr/>
        <w:tc>
          <w:tcPr>
            <w:tcW w:w="5859" w:type="dxa"/>
            <w:tcBorders/>
            <w:tcMar>
              <w:top w:w="0" w:type="dxa"/>
              <w:left w:w="0" w:type="dxa"/>
              <w:bottom w:w="0" w:type="dxa"/>
              <w:right w:w="0" w:type="dxa"/>
            </w:tcMar>
            <w:vAlign w:val="center"/>
          </w:tcPr>
          <w:p>
            <w:pPr>
              <w:pStyle w:val="TableContents"/>
              <w:bidi w:val="0"/>
              <w:spacing w:before="0" w:after="283"/>
              <w:ind w:left="0" w:right="0" w:firstLine="504"/>
              <w:jc w:val="left"/>
              <w:rPr>
                <w:rFonts w:ascii="Times New Roman" w:hAnsi="Times New Roman"/>
                <w:color w:val="000000"/>
                <w:sz w:val="20"/>
              </w:rPr>
            </w:pPr>
            <w:r>
              <w:rPr>
                <w:rFonts w:ascii="Times New Roman" w:hAnsi="Times New Roman"/>
                <w:color w:val="000000"/>
                <w:sz w:val="20"/>
              </w:rPr>
              <w:t>South Texas Health System Edinburg/South Texas Health System Children’s (2)</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Edinburg, Texas</w:t>
            </w:r>
          </w:p>
        </w:tc>
        <w:tc>
          <w:tcPr>
            <w:tcW w:w="85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 xml:space="preserve">294 </w:t>
            </w:r>
          </w:p>
        </w:tc>
        <w:tc>
          <w:tcPr>
            <w:tcW w:w="1437" w:type="dxa"/>
            <w:tcBorders/>
            <w:tcMar>
              <w:top w:w="0" w:type="dxa"/>
              <w:left w:w="0" w:type="dxa"/>
              <w:bottom w:w="0" w:type="dxa"/>
              <w:right w:w="0" w:type="dxa"/>
            </w:tcMar>
            <w:vAlign w:val="center"/>
          </w:tcPr>
          <w:p>
            <w:pPr>
              <w:pStyle w:val="TableContents"/>
              <w:bidi w:val="0"/>
              <w:spacing w:before="0" w:after="283"/>
              <w:ind w:left="0" w:right="0" w:firstLine="504"/>
              <w:jc w:val="center"/>
              <w:rPr>
                <w:rFonts w:ascii="Times New Roman" w:hAnsi="Times New Roman"/>
                <w:color w:val="000000"/>
                <w:sz w:val="20"/>
              </w:rPr>
            </w:pPr>
            <w:r>
              <w:rPr>
                <w:rFonts w:ascii="Times New Roman" w:hAnsi="Times New Roman"/>
                <w:color w:val="000000"/>
                <w:sz w:val="20"/>
              </w:rPr>
              <w:t>Owned</w:t>
            </w:r>
          </w:p>
        </w:tc>
      </w:tr>
      <w:tr>
        <w:trPr/>
        <w:tc>
          <w:tcPr>
            <w:tcW w:w="5859" w:type="dxa"/>
            <w:tcBorders/>
            <w:tcMar>
              <w:top w:w="0" w:type="dxa"/>
              <w:left w:w="0" w:type="dxa"/>
              <w:bottom w:w="0" w:type="dxa"/>
              <w:right w:w="0" w:type="dxa"/>
            </w:tcMar>
            <w:vAlign w:val="center"/>
          </w:tcPr>
          <w:p>
            <w:pPr>
              <w:pStyle w:val="TableContents"/>
              <w:bidi w:val="0"/>
              <w:spacing w:before="0" w:after="283"/>
              <w:ind w:left="0" w:right="0" w:firstLine="504"/>
              <w:jc w:val="left"/>
              <w:rPr>
                <w:rFonts w:ascii="Times New Roman" w:hAnsi="Times New Roman"/>
                <w:color w:val="000000"/>
                <w:sz w:val="20"/>
              </w:rPr>
            </w:pPr>
            <w:r>
              <w:rPr>
                <w:rFonts w:ascii="Times New Roman" w:hAnsi="Times New Roman"/>
                <w:color w:val="000000"/>
                <w:sz w:val="20"/>
              </w:rPr>
              <w:t>South Texas Health System Behavioral (2)</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Edinburg, Texas</w:t>
            </w:r>
          </w:p>
        </w:tc>
        <w:tc>
          <w:tcPr>
            <w:tcW w:w="85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134</w:t>
            </w:r>
          </w:p>
        </w:tc>
        <w:tc>
          <w:tcPr>
            <w:tcW w:w="1437" w:type="dxa"/>
            <w:tcBorders/>
            <w:tcMar>
              <w:top w:w="0" w:type="dxa"/>
              <w:left w:w="0" w:type="dxa"/>
              <w:bottom w:w="0" w:type="dxa"/>
              <w:right w:w="0" w:type="dxa"/>
            </w:tcMar>
            <w:vAlign w:val="center"/>
          </w:tcPr>
          <w:p>
            <w:pPr>
              <w:pStyle w:val="TableContents"/>
              <w:bidi w:val="0"/>
              <w:spacing w:before="0" w:after="283"/>
              <w:ind w:left="0" w:right="0" w:firstLine="504"/>
              <w:jc w:val="center"/>
              <w:rPr>
                <w:rFonts w:ascii="Times New Roman" w:hAnsi="Times New Roman"/>
                <w:color w:val="000000"/>
                <w:sz w:val="20"/>
              </w:rPr>
            </w:pPr>
            <w:r>
              <w:rPr>
                <w:rFonts w:ascii="Times New Roman" w:hAnsi="Times New Roman"/>
                <w:color w:val="000000"/>
                <w:sz w:val="20"/>
              </w:rPr>
              <w:t>Owned</w:t>
            </w:r>
          </w:p>
        </w:tc>
      </w:tr>
      <w:tr>
        <w:trPr/>
        <w:tc>
          <w:tcPr>
            <w:tcW w:w="5859" w:type="dxa"/>
            <w:tcBorders/>
            <w:tcMar>
              <w:top w:w="0" w:type="dxa"/>
              <w:left w:w="0" w:type="dxa"/>
              <w:bottom w:w="0" w:type="dxa"/>
              <w:right w:w="0" w:type="dxa"/>
            </w:tcMar>
            <w:vAlign w:val="center"/>
          </w:tcPr>
          <w:p>
            <w:pPr>
              <w:pStyle w:val="TableContents"/>
              <w:bidi w:val="0"/>
              <w:spacing w:before="0" w:after="283"/>
              <w:ind w:left="0" w:right="0" w:firstLine="504"/>
              <w:jc w:val="left"/>
              <w:rPr>
                <w:rFonts w:ascii="Times New Roman" w:hAnsi="Times New Roman"/>
                <w:color w:val="000000"/>
                <w:sz w:val="20"/>
              </w:rPr>
            </w:pPr>
            <w:r>
              <w:rPr>
                <w:rFonts w:ascii="Times New Roman" w:hAnsi="Times New Roman"/>
                <w:color w:val="000000"/>
                <w:sz w:val="20"/>
              </w:rPr>
              <w:t>South Texas Health System Heart (2)</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McAllen, Texas</w:t>
            </w:r>
          </w:p>
        </w:tc>
        <w:tc>
          <w:tcPr>
            <w:tcW w:w="85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60</w:t>
            </w:r>
          </w:p>
        </w:tc>
        <w:tc>
          <w:tcPr>
            <w:tcW w:w="1437" w:type="dxa"/>
            <w:tcBorders/>
            <w:tcMar>
              <w:top w:w="0" w:type="dxa"/>
              <w:left w:w="0" w:type="dxa"/>
              <w:bottom w:w="0" w:type="dxa"/>
              <w:right w:w="0" w:type="dxa"/>
            </w:tcMar>
            <w:vAlign w:val="center"/>
          </w:tcPr>
          <w:p>
            <w:pPr>
              <w:pStyle w:val="TableContents"/>
              <w:bidi w:val="0"/>
              <w:spacing w:before="0" w:after="283"/>
              <w:ind w:left="0" w:right="0" w:firstLine="504"/>
              <w:jc w:val="center"/>
              <w:rPr>
                <w:rFonts w:ascii="Times New Roman" w:hAnsi="Times New Roman"/>
                <w:color w:val="000000"/>
                <w:sz w:val="20"/>
              </w:rPr>
            </w:pPr>
            <w:r>
              <w:rPr>
                <w:rFonts w:ascii="Times New Roman" w:hAnsi="Times New Roman"/>
                <w:color w:val="000000"/>
                <w:sz w:val="20"/>
              </w:rPr>
              <w:t>Owned</w:t>
            </w:r>
          </w:p>
        </w:tc>
      </w:tr>
      <w:tr>
        <w:trPr/>
        <w:tc>
          <w:tcPr>
            <w:tcW w:w="5859" w:type="dxa"/>
            <w:tcBorders/>
            <w:tcMar>
              <w:top w:w="0" w:type="dxa"/>
              <w:left w:w="0" w:type="dxa"/>
              <w:bottom w:w="0" w:type="dxa"/>
              <w:right w:w="0" w:type="dxa"/>
            </w:tcMar>
            <w:vAlign w:val="center"/>
          </w:tcPr>
          <w:p>
            <w:pPr>
              <w:pStyle w:val="TableContents"/>
              <w:bidi w:val="0"/>
              <w:spacing w:before="0" w:after="283"/>
              <w:ind w:left="0" w:right="0" w:firstLine="504"/>
              <w:jc w:val="left"/>
              <w:rPr>
                <w:rFonts w:ascii="Times New Roman" w:hAnsi="Times New Roman"/>
                <w:color w:val="000000"/>
                <w:sz w:val="20"/>
              </w:rPr>
            </w:pPr>
            <w:r>
              <w:rPr>
                <w:rFonts w:ascii="Times New Roman" w:hAnsi="Times New Roman"/>
                <w:color w:val="000000"/>
                <w:sz w:val="20"/>
              </w:rPr>
              <w:t>South Texas Health System McAllen (1) (2)</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McAllen, Texas</w:t>
            </w:r>
          </w:p>
        </w:tc>
        <w:tc>
          <w:tcPr>
            <w:tcW w:w="85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431</w:t>
            </w:r>
          </w:p>
        </w:tc>
        <w:tc>
          <w:tcPr>
            <w:tcW w:w="1437" w:type="dxa"/>
            <w:tcBorders/>
            <w:tcMar>
              <w:top w:w="0" w:type="dxa"/>
              <w:left w:w="0" w:type="dxa"/>
              <w:bottom w:w="0" w:type="dxa"/>
              <w:right w:w="0" w:type="dxa"/>
            </w:tcMar>
            <w:vAlign w:val="center"/>
          </w:tcPr>
          <w:p>
            <w:pPr>
              <w:pStyle w:val="TableContents"/>
              <w:bidi w:val="0"/>
              <w:spacing w:before="0" w:after="283"/>
              <w:ind w:left="0" w:right="0" w:firstLine="504"/>
              <w:jc w:val="center"/>
              <w:rPr>
                <w:rFonts w:ascii="Times New Roman" w:hAnsi="Times New Roman"/>
                <w:color w:val="000000"/>
                <w:sz w:val="20"/>
              </w:rPr>
            </w:pPr>
            <w:r>
              <w:rPr>
                <w:rFonts w:ascii="Times New Roman" w:hAnsi="Times New Roman"/>
                <w:color w:val="000000"/>
                <w:sz w:val="20"/>
              </w:rPr>
              <w:t>Leased</w:t>
            </w:r>
          </w:p>
        </w:tc>
      </w:tr>
      <w:tr>
        <w:trPr/>
        <w:tc>
          <w:tcPr>
            <w:tcW w:w="5859" w:type="dxa"/>
            <w:tcBorders/>
            <w:tcMar>
              <w:top w:w="0" w:type="dxa"/>
              <w:left w:w="0" w:type="dxa"/>
              <w:bottom w:w="0" w:type="dxa"/>
              <w:right w:w="0" w:type="dxa"/>
            </w:tcMar>
            <w:vAlign w:val="center"/>
          </w:tcPr>
          <w:p>
            <w:pPr>
              <w:pStyle w:val="TableContents"/>
              <w:bidi w:val="0"/>
              <w:spacing w:before="0" w:after="283"/>
              <w:ind w:left="0" w:right="0" w:firstLine="504"/>
              <w:jc w:val="left"/>
              <w:rPr>
                <w:rFonts w:ascii="Times New Roman" w:hAnsi="Times New Roman"/>
                <w:color w:val="000000"/>
                <w:sz w:val="20"/>
              </w:rPr>
            </w:pPr>
            <w:r>
              <w:rPr>
                <w:rFonts w:ascii="Times New Roman" w:hAnsi="Times New Roman"/>
                <w:color w:val="000000"/>
                <w:sz w:val="20"/>
              </w:rPr>
              <w:t>South Texas Health System ER Alamo (2)</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Alamo, Texas</w:t>
            </w:r>
          </w:p>
        </w:tc>
        <w:tc>
          <w:tcPr>
            <w:tcW w:w="858"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37" w:type="dxa"/>
            <w:tcBorders/>
            <w:tcMar>
              <w:top w:w="0" w:type="dxa"/>
              <w:left w:w="0" w:type="dxa"/>
              <w:bottom w:w="0" w:type="dxa"/>
              <w:right w:w="0" w:type="dxa"/>
            </w:tcMar>
            <w:vAlign w:val="center"/>
          </w:tcPr>
          <w:p>
            <w:pPr>
              <w:pStyle w:val="TableContents"/>
              <w:bidi w:val="0"/>
              <w:spacing w:before="0" w:after="283"/>
              <w:ind w:left="0" w:right="0" w:firstLine="504"/>
              <w:jc w:val="center"/>
              <w:rPr>
                <w:rFonts w:ascii="Times New Roman" w:hAnsi="Times New Roman"/>
                <w:color w:val="000000"/>
                <w:sz w:val="20"/>
              </w:rPr>
            </w:pPr>
            <w:r>
              <w:rPr>
                <w:rFonts w:ascii="Times New Roman" w:hAnsi="Times New Roman"/>
                <w:color w:val="000000"/>
                <w:sz w:val="20"/>
              </w:rPr>
              <w:t>Owned</w:t>
            </w:r>
          </w:p>
        </w:tc>
      </w:tr>
      <w:tr>
        <w:trPr/>
        <w:tc>
          <w:tcPr>
            <w:tcW w:w="5859" w:type="dxa"/>
            <w:tcBorders/>
            <w:tcMar>
              <w:top w:w="0" w:type="dxa"/>
              <w:left w:w="0" w:type="dxa"/>
              <w:bottom w:w="0" w:type="dxa"/>
              <w:right w:w="0" w:type="dxa"/>
            </w:tcMar>
            <w:vAlign w:val="center"/>
          </w:tcPr>
          <w:p>
            <w:pPr>
              <w:pStyle w:val="TableContents"/>
              <w:bidi w:val="0"/>
              <w:spacing w:before="0" w:after="283"/>
              <w:ind w:left="0" w:right="0" w:firstLine="504"/>
              <w:jc w:val="left"/>
              <w:rPr>
                <w:rFonts w:ascii="Times New Roman" w:hAnsi="Times New Roman"/>
                <w:color w:val="000000"/>
                <w:sz w:val="20"/>
              </w:rPr>
            </w:pPr>
            <w:r>
              <w:rPr>
                <w:rFonts w:ascii="Times New Roman" w:hAnsi="Times New Roman"/>
                <w:color w:val="000000"/>
                <w:sz w:val="20"/>
              </w:rPr>
              <w:t>South Texas Health System ER McColl (2)</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Edinburg, Texas</w:t>
            </w:r>
          </w:p>
        </w:tc>
        <w:tc>
          <w:tcPr>
            <w:tcW w:w="858"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37" w:type="dxa"/>
            <w:tcBorders/>
            <w:tcMar>
              <w:top w:w="0" w:type="dxa"/>
              <w:left w:w="0" w:type="dxa"/>
              <w:bottom w:w="0" w:type="dxa"/>
              <w:right w:w="0" w:type="dxa"/>
            </w:tcMar>
            <w:vAlign w:val="center"/>
          </w:tcPr>
          <w:p>
            <w:pPr>
              <w:pStyle w:val="TableContents"/>
              <w:bidi w:val="0"/>
              <w:spacing w:before="0" w:after="283"/>
              <w:ind w:left="0" w:right="0" w:firstLine="504"/>
              <w:jc w:val="center"/>
              <w:rPr>
                <w:rFonts w:ascii="Times New Roman" w:hAnsi="Times New Roman"/>
                <w:color w:val="000000"/>
                <w:sz w:val="20"/>
              </w:rPr>
            </w:pPr>
            <w:r>
              <w:rPr>
                <w:rFonts w:ascii="Times New Roman" w:hAnsi="Times New Roman"/>
                <w:color w:val="000000"/>
                <w:sz w:val="20"/>
              </w:rPr>
              <w:t>Owned</w:t>
            </w:r>
          </w:p>
        </w:tc>
      </w:tr>
      <w:tr>
        <w:trPr/>
        <w:tc>
          <w:tcPr>
            <w:tcW w:w="5859" w:type="dxa"/>
            <w:tcBorders/>
            <w:tcMar>
              <w:top w:w="0" w:type="dxa"/>
              <w:left w:w="0" w:type="dxa"/>
              <w:bottom w:w="0" w:type="dxa"/>
              <w:right w:w="0" w:type="dxa"/>
            </w:tcMar>
            <w:vAlign w:val="center"/>
          </w:tcPr>
          <w:p>
            <w:pPr>
              <w:pStyle w:val="TableContents"/>
              <w:bidi w:val="0"/>
              <w:spacing w:before="0" w:after="283"/>
              <w:ind w:left="0" w:right="0" w:firstLine="504"/>
              <w:jc w:val="left"/>
              <w:rPr>
                <w:rFonts w:ascii="Times New Roman" w:hAnsi="Times New Roman"/>
                <w:color w:val="000000"/>
                <w:sz w:val="20"/>
              </w:rPr>
            </w:pPr>
            <w:r>
              <w:rPr>
                <w:rFonts w:ascii="Times New Roman" w:hAnsi="Times New Roman"/>
                <w:color w:val="000000"/>
                <w:sz w:val="20"/>
              </w:rPr>
              <w:t>South Texas Health System ER Mission (1) (2)</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Mission, Texas</w:t>
            </w:r>
          </w:p>
        </w:tc>
        <w:tc>
          <w:tcPr>
            <w:tcW w:w="858"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37" w:type="dxa"/>
            <w:tcBorders/>
            <w:tcMar>
              <w:top w:w="0" w:type="dxa"/>
              <w:left w:w="0" w:type="dxa"/>
              <w:bottom w:w="0" w:type="dxa"/>
              <w:right w:w="0" w:type="dxa"/>
            </w:tcMar>
            <w:vAlign w:val="center"/>
          </w:tcPr>
          <w:p>
            <w:pPr>
              <w:pStyle w:val="TableContents"/>
              <w:bidi w:val="0"/>
              <w:spacing w:before="0" w:after="283"/>
              <w:ind w:left="0" w:right="0" w:firstLine="504"/>
              <w:jc w:val="center"/>
              <w:rPr>
                <w:rFonts w:ascii="Times New Roman" w:hAnsi="Times New Roman"/>
                <w:color w:val="000000"/>
                <w:sz w:val="20"/>
              </w:rPr>
            </w:pPr>
            <w:r>
              <w:rPr>
                <w:rFonts w:ascii="Times New Roman" w:hAnsi="Times New Roman"/>
                <w:color w:val="000000"/>
                <w:sz w:val="20"/>
              </w:rPr>
              <w:t>Leased</w:t>
            </w:r>
          </w:p>
        </w:tc>
      </w:tr>
      <w:tr>
        <w:trPr/>
        <w:tc>
          <w:tcPr>
            <w:tcW w:w="5859" w:type="dxa"/>
            <w:tcBorders/>
            <w:tcMar>
              <w:top w:w="0" w:type="dxa"/>
              <w:left w:w="0" w:type="dxa"/>
              <w:bottom w:w="0" w:type="dxa"/>
              <w:right w:w="0" w:type="dxa"/>
            </w:tcMar>
            <w:vAlign w:val="center"/>
          </w:tcPr>
          <w:p>
            <w:pPr>
              <w:pStyle w:val="TableContents"/>
              <w:bidi w:val="0"/>
              <w:spacing w:before="0" w:after="283"/>
              <w:ind w:left="0" w:right="0" w:firstLine="504"/>
              <w:jc w:val="left"/>
              <w:rPr>
                <w:rFonts w:ascii="Times New Roman" w:hAnsi="Times New Roman"/>
                <w:color w:val="000000"/>
                <w:sz w:val="20"/>
              </w:rPr>
            </w:pPr>
            <w:r>
              <w:rPr>
                <w:rFonts w:ascii="Times New Roman" w:hAnsi="Times New Roman"/>
                <w:color w:val="000000"/>
                <w:sz w:val="20"/>
              </w:rPr>
              <w:t>South Texas Health System ER Monte Cristo (2)</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Edinburg, Texas</w:t>
            </w:r>
          </w:p>
        </w:tc>
        <w:tc>
          <w:tcPr>
            <w:tcW w:w="858"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37" w:type="dxa"/>
            <w:tcBorders/>
            <w:tcMar>
              <w:top w:w="0" w:type="dxa"/>
              <w:left w:w="0" w:type="dxa"/>
              <w:bottom w:w="0" w:type="dxa"/>
              <w:right w:w="0" w:type="dxa"/>
            </w:tcMar>
            <w:vAlign w:val="center"/>
          </w:tcPr>
          <w:p>
            <w:pPr>
              <w:pStyle w:val="TableContents"/>
              <w:bidi w:val="0"/>
              <w:spacing w:before="0" w:after="283"/>
              <w:ind w:left="0" w:right="0" w:firstLine="504"/>
              <w:jc w:val="center"/>
              <w:rPr>
                <w:rFonts w:ascii="Times New Roman" w:hAnsi="Times New Roman"/>
                <w:color w:val="000000"/>
                <w:sz w:val="20"/>
              </w:rPr>
            </w:pPr>
            <w:r>
              <w:rPr>
                <w:rFonts w:ascii="Times New Roman" w:hAnsi="Times New Roman"/>
                <w:color w:val="000000"/>
                <w:sz w:val="20"/>
              </w:rPr>
              <w:t>Owned</w:t>
            </w:r>
          </w:p>
        </w:tc>
      </w:tr>
      <w:tr>
        <w:trPr/>
        <w:tc>
          <w:tcPr>
            <w:tcW w:w="5859" w:type="dxa"/>
            <w:tcBorders/>
            <w:tcMar>
              <w:top w:w="0" w:type="dxa"/>
              <w:left w:w="0" w:type="dxa"/>
              <w:bottom w:w="0" w:type="dxa"/>
              <w:right w:w="0" w:type="dxa"/>
            </w:tcMar>
            <w:vAlign w:val="center"/>
          </w:tcPr>
          <w:p>
            <w:pPr>
              <w:pStyle w:val="TableContents"/>
              <w:bidi w:val="0"/>
              <w:spacing w:before="0" w:after="283"/>
              <w:ind w:left="0" w:right="0" w:firstLine="504"/>
              <w:jc w:val="left"/>
              <w:rPr>
                <w:rFonts w:ascii="Times New Roman" w:hAnsi="Times New Roman"/>
                <w:color w:val="000000"/>
                <w:sz w:val="20"/>
              </w:rPr>
            </w:pPr>
            <w:r>
              <w:rPr>
                <w:rFonts w:ascii="Times New Roman" w:hAnsi="Times New Roman"/>
                <w:color w:val="000000"/>
                <w:sz w:val="20"/>
              </w:rPr>
              <w:t>South Texas Health System ER Pharr (2)</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Pharr, Texas</w:t>
            </w:r>
          </w:p>
        </w:tc>
        <w:tc>
          <w:tcPr>
            <w:tcW w:w="858"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37" w:type="dxa"/>
            <w:tcBorders/>
            <w:tcMar>
              <w:top w:w="0" w:type="dxa"/>
              <w:left w:w="0" w:type="dxa"/>
              <w:bottom w:w="0" w:type="dxa"/>
              <w:right w:w="0" w:type="dxa"/>
            </w:tcMar>
            <w:vAlign w:val="center"/>
          </w:tcPr>
          <w:p>
            <w:pPr>
              <w:pStyle w:val="TableContents"/>
              <w:bidi w:val="0"/>
              <w:spacing w:before="0" w:after="283"/>
              <w:ind w:left="0" w:right="0" w:firstLine="504"/>
              <w:jc w:val="center"/>
              <w:rPr>
                <w:rFonts w:ascii="Times New Roman" w:hAnsi="Times New Roman"/>
                <w:color w:val="000000"/>
                <w:sz w:val="20"/>
              </w:rPr>
            </w:pPr>
            <w:r>
              <w:rPr>
                <w:rFonts w:ascii="Times New Roman" w:hAnsi="Times New Roman"/>
                <w:color w:val="000000"/>
                <w:sz w:val="20"/>
              </w:rPr>
              <w:t>Owned</w:t>
            </w:r>
          </w:p>
        </w:tc>
      </w:tr>
      <w:tr>
        <w:trPr/>
        <w:tc>
          <w:tcPr>
            <w:tcW w:w="5859" w:type="dxa"/>
            <w:tcBorders/>
            <w:tcMar>
              <w:top w:w="0" w:type="dxa"/>
              <w:left w:w="0" w:type="dxa"/>
              <w:bottom w:w="0" w:type="dxa"/>
              <w:right w:w="0" w:type="dxa"/>
            </w:tcMar>
            <w:vAlign w:val="center"/>
          </w:tcPr>
          <w:p>
            <w:pPr>
              <w:pStyle w:val="TableContents"/>
              <w:bidi w:val="0"/>
              <w:spacing w:before="0" w:after="283"/>
              <w:ind w:left="0" w:right="0" w:firstLine="504"/>
              <w:jc w:val="left"/>
              <w:rPr>
                <w:rFonts w:ascii="Times New Roman" w:hAnsi="Times New Roman"/>
                <w:color w:val="000000"/>
                <w:sz w:val="20"/>
              </w:rPr>
            </w:pPr>
            <w:r>
              <w:rPr>
                <w:rFonts w:ascii="Times New Roman" w:hAnsi="Times New Roman"/>
                <w:color w:val="000000"/>
                <w:sz w:val="20"/>
              </w:rPr>
              <w:t>South Texas Health System ER Ware Road (2)</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McAllen, Texas</w:t>
            </w:r>
          </w:p>
        </w:tc>
        <w:tc>
          <w:tcPr>
            <w:tcW w:w="858"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37" w:type="dxa"/>
            <w:tcBorders/>
            <w:tcMar>
              <w:top w:w="0" w:type="dxa"/>
              <w:left w:w="0" w:type="dxa"/>
              <w:bottom w:w="0" w:type="dxa"/>
              <w:right w:w="0" w:type="dxa"/>
            </w:tcMar>
            <w:vAlign w:val="center"/>
          </w:tcPr>
          <w:p>
            <w:pPr>
              <w:pStyle w:val="TableContents"/>
              <w:bidi w:val="0"/>
              <w:spacing w:before="0" w:after="283"/>
              <w:ind w:left="0" w:right="0" w:firstLine="504"/>
              <w:jc w:val="center"/>
              <w:rPr>
                <w:rFonts w:ascii="Times New Roman" w:hAnsi="Times New Roman"/>
                <w:color w:val="000000"/>
                <w:sz w:val="20"/>
              </w:rPr>
            </w:pPr>
            <w:r>
              <w:rPr>
                <w:rFonts w:ascii="Times New Roman" w:hAnsi="Times New Roman"/>
                <w:color w:val="000000"/>
                <w:sz w:val="20"/>
              </w:rPr>
              <w:t>Owned</w:t>
            </w:r>
          </w:p>
        </w:tc>
      </w:tr>
      <w:tr>
        <w:trPr/>
        <w:tc>
          <w:tcPr>
            <w:tcW w:w="5859" w:type="dxa"/>
            <w:tcBorders/>
            <w:tcMar>
              <w:top w:w="0" w:type="dxa"/>
              <w:left w:w="0" w:type="dxa"/>
              <w:bottom w:w="0" w:type="dxa"/>
              <w:right w:w="0" w:type="dxa"/>
            </w:tcMar>
            <w:vAlign w:val="center"/>
          </w:tcPr>
          <w:p>
            <w:pPr>
              <w:pStyle w:val="TableContents"/>
              <w:bidi w:val="0"/>
              <w:spacing w:before="0" w:after="283"/>
              <w:ind w:left="0" w:right="0" w:firstLine="504"/>
              <w:jc w:val="left"/>
              <w:rPr>
                <w:rFonts w:ascii="Times New Roman" w:hAnsi="Times New Roman"/>
                <w:color w:val="000000"/>
                <w:sz w:val="20"/>
              </w:rPr>
            </w:pPr>
            <w:r>
              <w:rPr>
                <w:rFonts w:ascii="Times New Roman" w:hAnsi="Times New Roman"/>
                <w:color w:val="000000"/>
                <w:sz w:val="20"/>
              </w:rPr>
              <w:t>South Texas Health System ER Weslaco (1) (2)</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Weslaco, Texas</w:t>
            </w:r>
          </w:p>
        </w:tc>
        <w:tc>
          <w:tcPr>
            <w:tcW w:w="858"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3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Leased</w:t>
            </w:r>
          </w:p>
        </w:tc>
      </w:tr>
      <w:tr>
        <w:trPr/>
        <w:tc>
          <w:tcPr>
            <w:tcW w:w="585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Southwest Healthcare System</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tcBorders/>
            <w:tcMar>
              <w:top w:w="0" w:type="dxa"/>
              <w:left w:w="0" w:type="dxa"/>
              <w:bottom w:w="0" w:type="dxa"/>
              <w:right w:w="0" w:type="dxa"/>
            </w:tcMar>
            <w:vAlign w:val="center"/>
          </w:tcPr>
          <w:p>
            <w:pPr>
              <w:pStyle w:val="TableContents"/>
              <w:bidi w:val="0"/>
              <w:spacing w:before="0" w:after="283"/>
              <w:ind w:left="0" w:right="0" w:firstLine="504"/>
              <w:jc w:val="left"/>
              <w:rPr>
                <w:sz w:val="4"/>
                <w:szCs w:val="4"/>
              </w:rPr>
            </w:pPr>
            <w:r>
              <w:rPr>
                <w:sz w:val="4"/>
                <w:szCs w:val="4"/>
              </w:rPr>
            </w:r>
          </w:p>
        </w:tc>
      </w:tr>
      <w:tr>
        <w:trPr/>
        <w:tc>
          <w:tcPr>
            <w:tcW w:w="5859" w:type="dxa"/>
            <w:tcBorders/>
            <w:tcMar>
              <w:top w:w="0" w:type="dxa"/>
              <w:left w:w="0" w:type="dxa"/>
              <w:bottom w:w="0" w:type="dxa"/>
              <w:right w:w="0" w:type="dxa"/>
            </w:tcMar>
            <w:vAlign w:val="center"/>
          </w:tcPr>
          <w:p>
            <w:pPr>
              <w:pStyle w:val="TableContents"/>
              <w:bidi w:val="0"/>
              <w:spacing w:before="0" w:after="283"/>
              <w:ind w:left="0" w:right="0" w:firstLine="504"/>
              <w:jc w:val="left"/>
              <w:rPr>
                <w:rFonts w:ascii="Times New Roman" w:hAnsi="Times New Roman"/>
                <w:color w:val="000000"/>
                <w:sz w:val="20"/>
              </w:rPr>
            </w:pPr>
            <w:r>
              <w:rPr>
                <w:rFonts w:ascii="Times New Roman" w:hAnsi="Times New Roman"/>
                <w:color w:val="000000"/>
                <w:sz w:val="20"/>
              </w:rPr>
              <w:t xml:space="preserve">Southwest Healthcare Inland Valley Hospital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Wildomar, California</w:t>
            </w:r>
          </w:p>
        </w:tc>
        <w:tc>
          <w:tcPr>
            <w:tcW w:w="85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120</w:t>
            </w:r>
          </w:p>
        </w:tc>
        <w:tc>
          <w:tcPr>
            <w:tcW w:w="1437" w:type="dxa"/>
            <w:tcBorders/>
            <w:tcMar>
              <w:top w:w="0" w:type="dxa"/>
              <w:left w:w="0" w:type="dxa"/>
              <w:bottom w:w="0" w:type="dxa"/>
              <w:right w:w="0" w:type="dxa"/>
            </w:tcMar>
            <w:vAlign w:val="center"/>
          </w:tcPr>
          <w:p>
            <w:pPr>
              <w:pStyle w:val="TableContents"/>
              <w:bidi w:val="0"/>
              <w:spacing w:before="0" w:after="283"/>
              <w:ind w:left="0" w:right="0" w:firstLine="504"/>
              <w:jc w:val="center"/>
              <w:rPr>
                <w:rFonts w:ascii="Times New Roman" w:hAnsi="Times New Roman"/>
                <w:color w:val="000000"/>
                <w:sz w:val="20"/>
              </w:rPr>
            </w:pPr>
            <w:r>
              <w:rPr>
                <w:rFonts w:ascii="Times New Roman" w:hAnsi="Times New Roman"/>
                <w:color w:val="000000"/>
                <w:sz w:val="20"/>
              </w:rPr>
              <w:t>Owned</w:t>
            </w:r>
          </w:p>
        </w:tc>
      </w:tr>
      <w:tr>
        <w:trPr/>
        <w:tc>
          <w:tcPr>
            <w:tcW w:w="5859" w:type="dxa"/>
            <w:tcBorders/>
            <w:tcMar>
              <w:top w:w="0" w:type="dxa"/>
              <w:left w:w="0" w:type="dxa"/>
              <w:bottom w:w="0" w:type="dxa"/>
              <w:right w:w="0" w:type="dxa"/>
            </w:tcMar>
            <w:vAlign w:val="center"/>
          </w:tcPr>
          <w:p>
            <w:pPr>
              <w:pStyle w:val="TableContents"/>
              <w:bidi w:val="0"/>
              <w:spacing w:before="0" w:after="283"/>
              <w:ind w:left="0" w:right="0" w:firstLine="504"/>
              <w:jc w:val="left"/>
              <w:rPr>
                <w:rFonts w:ascii="Times New Roman" w:hAnsi="Times New Roman"/>
                <w:color w:val="000000"/>
                <w:sz w:val="20"/>
              </w:rPr>
            </w:pPr>
            <w:r>
              <w:rPr>
                <w:rFonts w:ascii="Times New Roman" w:hAnsi="Times New Roman"/>
                <w:color w:val="000000"/>
                <w:sz w:val="20"/>
              </w:rPr>
              <w:t>Southwest Healthcare Rancho Springs Hospital</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Murrieta, California</w:t>
            </w:r>
          </w:p>
        </w:tc>
        <w:tc>
          <w:tcPr>
            <w:tcW w:w="85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120</w:t>
            </w:r>
          </w:p>
        </w:tc>
        <w:tc>
          <w:tcPr>
            <w:tcW w:w="143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Owned</w:t>
            </w:r>
          </w:p>
        </w:tc>
      </w:tr>
      <w:tr>
        <w:trPr/>
        <w:tc>
          <w:tcPr>
            <w:tcW w:w="585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Spring Valley Hospital Medical Center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Las Vegas, Nevada</w:t>
            </w:r>
          </w:p>
        </w:tc>
        <w:tc>
          <w:tcPr>
            <w:tcW w:w="85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364</w:t>
            </w:r>
          </w:p>
        </w:tc>
        <w:tc>
          <w:tcPr>
            <w:tcW w:w="1437" w:type="dxa"/>
            <w:tcBorders/>
            <w:tcMar>
              <w:top w:w="0" w:type="dxa"/>
              <w:left w:w="0" w:type="dxa"/>
              <w:bottom w:w="0" w:type="dxa"/>
              <w:right w:w="0" w:type="dxa"/>
            </w:tcMar>
            <w:vAlign w:val="center"/>
          </w:tcPr>
          <w:p>
            <w:pPr>
              <w:pStyle w:val="TableContents"/>
              <w:bidi w:val="0"/>
              <w:spacing w:before="0" w:after="283"/>
              <w:ind w:left="0" w:right="0" w:firstLine="504"/>
              <w:jc w:val="center"/>
              <w:rPr>
                <w:rFonts w:ascii="Times New Roman" w:hAnsi="Times New Roman"/>
                <w:color w:val="000000"/>
                <w:sz w:val="20"/>
              </w:rPr>
            </w:pPr>
            <w:r>
              <w:rPr>
                <w:rFonts w:ascii="Times New Roman" w:hAnsi="Times New Roman"/>
                <w:color w:val="000000"/>
                <w:sz w:val="20"/>
              </w:rPr>
              <w:t>Owned</w:t>
            </w:r>
          </w:p>
        </w:tc>
      </w:tr>
      <w:tr>
        <w:trPr/>
        <w:tc>
          <w:tcPr>
            <w:tcW w:w="5859" w:type="dxa"/>
            <w:tcBorders/>
            <w:tcMar>
              <w:top w:w="0" w:type="dxa"/>
              <w:left w:w="0" w:type="dxa"/>
              <w:bottom w:w="0" w:type="dxa"/>
              <w:right w:w="0" w:type="dxa"/>
            </w:tcMar>
            <w:vAlign w:val="center"/>
          </w:tcPr>
          <w:p>
            <w:pPr>
              <w:pStyle w:val="TableContents"/>
              <w:bidi w:val="0"/>
              <w:spacing w:before="0" w:after="283"/>
              <w:ind w:left="0" w:right="0" w:firstLine="504"/>
              <w:jc w:val="left"/>
              <w:rPr>
                <w:rFonts w:ascii="Times New Roman" w:hAnsi="Times New Roman"/>
                <w:color w:val="000000"/>
                <w:sz w:val="20"/>
              </w:rPr>
            </w:pPr>
            <w:r>
              <w:rPr>
                <w:rFonts w:ascii="Times New Roman" w:hAnsi="Times New Roman"/>
                <w:color w:val="000000"/>
                <w:sz w:val="20"/>
              </w:rPr>
              <w:t>Spring Mountain Sahara (Behavioral Health)</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0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Las Vegas, Nevada</w:t>
            </w:r>
          </w:p>
        </w:tc>
        <w:tc>
          <w:tcPr>
            <w:tcW w:w="85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30</w:t>
            </w:r>
          </w:p>
        </w:tc>
        <w:tc>
          <w:tcPr>
            <w:tcW w:w="1437" w:type="dxa"/>
            <w:tcBorders/>
            <w:tcMar>
              <w:top w:w="0" w:type="dxa"/>
              <w:left w:w="0" w:type="dxa"/>
              <w:bottom w:w="0" w:type="dxa"/>
              <w:right w:w="0" w:type="dxa"/>
            </w:tcMar>
            <w:vAlign w:val="center"/>
          </w:tcPr>
          <w:p>
            <w:pPr>
              <w:pStyle w:val="TableContents"/>
              <w:bidi w:val="0"/>
              <w:spacing w:before="0" w:after="283"/>
              <w:ind w:left="0" w:right="0" w:firstLine="504"/>
              <w:jc w:val="center"/>
              <w:rPr>
                <w:rFonts w:ascii="Times New Roman" w:hAnsi="Times New Roman"/>
                <w:color w:val="000000"/>
                <w:sz w:val="20"/>
              </w:rPr>
            </w:pPr>
            <w:r>
              <w:rPr>
                <w:rFonts w:ascii="Times New Roman" w:hAnsi="Times New Roman"/>
                <w:color w:val="000000"/>
                <w:sz w:val="20"/>
              </w:rPr>
              <w:t>Owned</w:t>
            </w:r>
          </w:p>
        </w:tc>
      </w:tr>
      <w:tr>
        <w:trPr/>
        <w:tc>
          <w:tcPr>
            <w:tcW w:w="5859" w:type="dxa"/>
            <w:tcBorders/>
            <w:tcMar>
              <w:top w:w="0" w:type="dxa"/>
              <w:left w:w="0" w:type="dxa"/>
              <w:bottom w:w="0" w:type="dxa"/>
              <w:right w:w="0" w:type="dxa"/>
            </w:tcMar>
            <w:vAlign w:val="center"/>
          </w:tcPr>
          <w:p>
            <w:pPr>
              <w:pStyle w:val="TableContents"/>
              <w:bidi w:val="0"/>
              <w:spacing w:before="0" w:after="283"/>
              <w:ind w:left="0" w:right="0" w:firstLine="504"/>
              <w:jc w:val="left"/>
              <w:rPr>
                <w:rFonts w:ascii="Times New Roman" w:hAnsi="Times New Roman"/>
                <w:color w:val="000000"/>
                <w:sz w:val="20"/>
              </w:rPr>
            </w:pPr>
            <w:r>
              <w:rPr>
                <w:rFonts w:ascii="Times New Roman" w:hAnsi="Times New Roman"/>
                <w:color w:val="000000"/>
                <w:sz w:val="20"/>
              </w:rPr>
              <w:t>Spring Mountain Treatment Center (Behavioral Health)</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0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Las Vegas, Nevada</w:t>
            </w:r>
          </w:p>
        </w:tc>
        <w:tc>
          <w:tcPr>
            <w:tcW w:w="85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110</w:t>
            </w:r>
          </w:p>
        </w:tc>
        <w:tc>
          <w:tcPr>
            <w:tcW w:w="1437" w:type="dxa"/>
            <w:tcBorders/>
            <w:tcMar>
              <w:top w:w="0" w:type="dxa"/>
              <w:left w:w="0" w:type="dxa"/>
              <w:bottom w:w="0" w:type="dxa"/>
              <w:right w:w="0" w:type="dxa"/>
            </w:tcMar>
            <w:vAlign w:val="center"/>
          </w:tcPr>
          <w:p>
            <w:pPr>
              <w:pStyle w:val="TableContents"/>
              <w:bidi w:val="0"/>
              <w:spacing w:before="0" w:after="283"/>
              <w:ind w:left="0" w:right="0" w:firstLine="504"/>
              <w:jc w:val="center"/>
              <w:rPr>
                <w:rFonts w:ascii="Times New Roman" w:hAnsi="Times New Roman"/>
                <w:color w:val="000000"/>
                <w:sz w:val="20"/>
              </w:rPr>
            </w:pPr>
            <w:r>
              <w:rPr>
                <w:rFonts w:ascii="Times New Roman" w:hAnsi="Times New Roman"/>
                <w:color w:val="000000"/>
                <w:sz w:val="20"/>
              </w:rPr>
              <w:t>Owned</w:t>
            </w:r>
          </w:p>
        </w:tc>
      </w:tr>
      <w:tr>
        <w:trPr/>
        <w:tc>
          <w:tcPr>
            <w:tcW w:w="5859" w:type="dxa"/>
            <w:tcBorders/>
            <w:tcMar>
              <w:top w:w="0" w:type="dxa"/>
              <w:left w:w="0" w:type="dxa"/>
              <w:bottom w:w="0" w:type="dxa"/>
              <w:right w:w="0" w:type="dxa"/>
            </w:tcMar>
            <w:vAlign w:val="center"/>
          </w:tcPr>
          <w:p>
            <w:pPr>
              <w:pStyle w:val="TableContents"/>
              <w:bidi w:val="0"/>
              <w:spacing w:before="0" w:after="283"/>
              <w:ind w:left="0" w:right="0" w:firstLine="504"/>
              <w:jc w:val="left"/>
              <w:rPr>
                <w:rFonts w:ascii="Times New Roman" w:hAnsi="Times New Roman"/>
                <w:color w:val="000000"/>
                <w:sz w:val="20"/>
              </w:rPr>
            </w:pPr>
            <w:r>
              <w:rPr>
                <w:rFonts w:ascii="Times New Roman" w:hAnsi="Times New Roman"/>
                <w:color w:val="000000"/>
                <w:sz w:val="20"/>
              </w:rPr>
              <w:t>ER at Blue Diamond</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Las Vegas, Nevada</w:t>
            </w:r>
          </w:p>
        </w:tc>
        <w:tc>
          <w:tcPr>
            <w:tcW w:w="858"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37" w:type="dxa"/>
            <w:tcBorders/>
            <w:tcMar>
              <w:top w:w="0" w:type="dxa"/>
              <w:left w:w="0" w:type="dxa"/>
              <w:bottom w:w="0" w:type="dxa"/>
              <w:right w:w="0" w:type="dxa"/>
            </w:tcMar>
            <w:vAlign w:val="center"/>
          </w:tcPr>
          <w:p>
            <w:pPr>
              <w:pStyle w:val="TableContents"/>
              <w:bidi w:val="0"/>
              <w:spacing w:before="0" w:after="283"/>
              <w:ind w:left="0" w:right="0" w:firstLine="504"/>
              <w:jc w:val="center"/>
              <w:rPr>
                <w:rFonts w:ascii="Times New Roman" w:hAnsi="Times New Roman"/>
                <w:color w:val="000000"/>
                <w:sz w:val="20"/>
              </w:rPr>
            </w:pPr>
            <w:r>
              <w:rPr>
                <w:rFonts w:ascii="Times New Roman" w:hAnsi="Times New Roman"/>
                <w:color w:val="000000"/>
                <w:sz w:val="20"/>
              </w:rPr>
              <w:t>Owned</w:t>
            </w:r>
          </w:p>
        </w:tc>
      </w:tr>
      <w:tr>
        <w:trPr/>
        <w:tc>
          <w:tcPr>
            <w:tcW w:w="5859" w:type="dxa"/>
            <w:tcBorders/>
            <w:tcMar>
              <w:top w:w="0" w:type="dxa"/>
              <w:left w:w="0" w:type="dxa"/>
              <w:bottom w:w="0" w:type="dxa"/>
              <w:right w:w="0" w:type="dxa"/>
            </w:tcMar>
            <w:vAlign w:val="center"/>
          </w:tcPr>
          <w:p>
            <w:pPr>
              <w:pStyle w:val="TableContents"/>
              <w:bidi w:val="0"/>
              <w:spacing w:before="0" w:after="283"/>
              <w:ind w:left="0" w:right="0" w:firstLine="504"/>
              <w:jc w:val="left"/>
              <w:rPr>
                <w:rFonts w:ascii="Times New Roman" w:hAnsi="Times New Roman"/>
                <w:color w:val="000000"/>
                <w:sz w:val="20"/>
              </w:rPr>
            </w:pPr>
            <w:r>
              <w:rPr>
                <w:rFonts w:ascii="Times New Roman" w:hAnsi="Times New Roman"/>
                <w:color w:val="000000"/>
                <w:sz w:val="20"/>
              </w:rPr>
              <w:t>Valley Health Specialty Hospital</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Las Vegas, Nevada</w:t>
            </w:r>
          </w:p>
        </w:tc>
        <w:tc>
          <w:tcPr>
            <w:tcW w:w="85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66</w:t>
            </w:r>
          </w:p>
        </w:tc>
        <w:tc>
          <w:tcPr>
            <w:tcW w:w="143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Owned</w:t>
            </w:r>
          </w:p>
        </w:tc>
      </w:tr>
      <w:tr>
        <w:trPr/>
        <w:tc>
          <w:tcPr>
            <w:tcW w:w="585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 Mary’s Regional Medical Center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Enid, Oklahoma</w:t>
            </w:r>
          </w:p>
        </w:tc>
        <w:tc>
          <w:tcPr>
            <w:tcW w:w="85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229</w:t>
            </w:r>
          </w:p>
        </w:tc>
        <w:tc>
          <w:tcPr>
            <w:tcW w:w="143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Owned</w:t>
            </w:r>
          </w:p>
        </w:tc>
      </w:tr>
      <w:tr>
        <w:trPr/>
        <w:tc>
          <w:tcPr>
            <w:tcW w:w="585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Summerlin Hospital Medical Center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Las Vegas, Nevada</w:t>
            </w:r>
          </w:p>
        </w:tc>
        <w:tc>
          <w:tcPr>
            <w:tcW w:w="85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490</w:t>
            </w:r>
          </w:p>
        </w:tc>
        <w:tc>
          <w:tcPr>
            <w:tcW w:w="1437" w:type="dxa"/>
            <w:tcBorders/>
            <w:tcMar>
              <w:top w:w="0" w:type="dxa"/>
              <w:left w:w="0" w:type="dxa"/>
              <w:bottom w:w="0" w:type="dxa"/>
              <w:right w:w="0" w:type="dxa"/>
            </w:tcMar>
            <w:vAlign w:val="center"/>
          </w:tcPr>
          <w:p>
            <w:pPr>
              <w:pStyle w:val="TableContents"/>
              <w:bidi w:val="0"/>
              <w:spacing w:before="0" w:after="283"/>
              <w:ind w:left="0" w:right="0" w:firstLine="504"/>
              <w:jc w:val="center"/>
              <w:rPr>
                <w:rFonts w:ascii="Times New Roman" w:hAnsi="Times New Roman"/>
                <w:color w:val="000000"/>
                <w:sz w:val="20"/>
              </w:rPr>
            </w:pPr>
            <w:r>
              <w:rPr>
                <w:rFonts w:ascii="Times New Roman" w:hAnsi="Times New Roman"/>
                <w:color w:val="000000"/>
                <w:sz w:val="20"/>
              </w:rPr>
              <w:t>Owned</w:t>
            </w:r>
          </w:p>
        </w:tc>
      </w:tr>
      <w:tr>
        <w:trPr/>
        <w:tc>
          <w:tcPr>
            <w:tcW w:w="5859" w:type="dxa"/>
            <w:tcBorders/>
            <w:tcMar>
              <w:top w:w="0" w:type="dxa"/>
              <w:left w:w="0" w:type="dxa"/>
              <w:bottom w:w="0" w:type="dxa"/>
              <w:right w:w="0" w:type="dxa"/>
            </w:tcMar>
            <w:vAlign w:val="center"/>
          </w:tcPr>
          <w:p>
            <w:pPr>
              <w:pStyle w:val="TableContents"/>
              <w:bidi w:val="0"/>
              <w:spacing w:before="0" w:after="283"/>
              <w:ind w:left="0" w:right="0" w:firstLine="504"/>
              <w:jc w:val="left"/>
              <w:rPr>
                <w:rFonts w:ascii="Times New Roman" w:hAnsi="Times New Roman"/>
                <w:color w:val="000000"/>
                <w:sz w:val="20"/>
              </w:rPr>
            </w:pPr>
            <w:r>
              <w:rPr>
                <w:rFonts w:ascii="Times New Roman" w:hAnsi="Times New Roman"/>
                <w:color w:val="000000"/>
                <w:sz w:val="20"/>
              </w:rPr>
              <w:t>ER at South Summerlin</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0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Las Vegas, Nevada</w:t>
            </w:r>
          </w:p>
        </w:tc>
        <w:tc>
          <w:tcPr>
            <w:tcW w:w="858"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3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Owned</w:t>
            </w:r>
          </w:p>
        </w:tc>
      </w:tr>
      <w:tr>
        <w:trPr/>
        <w:tc>
          <w:tcPr>
            <w:tcW w:w="585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Temecula Valley Hospital</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Temecula, California</w:t>
            </w:r>
          </w:p>
        </w:tc>
        <w:tc>
          <w:tcPr>
            <w:tcW w:w="85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140</w:t>
            </w:r>
          </w:p>
        </w:tc>
        <w:tc>
          <w:tcPr>
            <w:tcW w:w="143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Owned</w:t>
            </w:r>
          </w:p>
        </w:tc>
      </w:tr>
      <w:tr>
        <w:trPr/>
        <w:tc>
          <w:tcPr>
            <w:tcW w:w="585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Texoma Medical Center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Denison, Texas</w:t>
            </w:r>
          </w:p>
        </w:tc>
        <w:tc>
          <w:tcPr>
            <w:tcW w:w="85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354</w:t>
            </w:r>
          </w:p>
        </w:tc>
        <w:tc>
          <w:tcPr>
            <w:tcW w:w="1437" w:type="dxa"/>
            <w:tcBorders/>
            <w:tcMar>
              <w:top w:w="0" w:type="dxa"/>
              <w:left w:w="0" w:type="dxa"/>
              <w:bottom w:w="0" w:type="dxa"/>
              <w:right w:w="0" w:type="dxa"/>
            </w:tcMar>
            <w:vAlign w:val="center"/>
          </w:tcPr>
          <w:p>
            <w:pPr>
              <w:pStyle w:val="TableContents"/>
              <w:bidi w:val="0"/>
              <w:spacing w:before="0" w:after="283"/>
              <w:ind w:left="0" w:right="0" w:firstLine="504"/>
              <w:jc w:val="center"/>
              <w:rPr>
                <w:rFonts w:ascii="Times New Roman" w:hAnsi="Times New Roman"/>
                <w:color w:val="000000"/>
                <w:sz w:val="20"/>
              </w:rPr>
            </w:pPr>
            <w:r>
              <w:rPr>
                <w:rFonts w:ascii="Times New Roman" w:hAnsi="Times New Roman"/>
                <w:color w:val="000000"/>
                <w:sz w:val="20"/>
              </w:rPr>
              <w:t>Owned</w:t>
            </w:r>
          </w:p>
        </w:tc>
      </w:tr>
      <w:tr>
        <w:trPr/>
        <w:tc>
          <w:tcPr>
            <w:tcW w:w="5859" w:type="dxa"/>
            <w:tcBorders/>
            <w:tcMar>
              <w:top w:w="0" w:type="dxa"/>
              <w:left w:w="0" w:type="dxa"/>
              <w:bottom w:w="0" w:type="dxa"/>
              <w:right w:w="0" w:type="dxa"/>
            </w:tcMar>
            <w:vAlign w:val="center"/>
          </w:tcPr>
          <w:p>
            <w:pPr>
              <w:pStyle w:val="TableContents"/>
              <w:bidi w:val="0"/>
              <w:spacing w:before="0" w:after="283"/>
              <w:ind w:left="0" w:right="0" w:firstLine="504"/>
              <w:jc w:val="left"/>
              <w:rPr>
                <w:rFonts w:ascii="Times New Roman" w:hAnsi="Times New Roman"/>
                <w:color w:val="000000"/>
                <w:sz w:val="20"/>
              </w:rPr>
            </w:pPr>
            <w:r>
              <w:rPr>
                <w:rFonts w:ascii="Times New Roman" w:hAnsi="Times New Roman"/>
                <w:color w:val="000000"/>
                <w:sz w:val="20"/>
              </w:rPr>
              <w:t>TMC Behavioral Health Center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Sherman, Texas</w:t>
            </w:r>
          </w:p>
        </w:tc>
        <w:tc>
          <w:tcPr>
            <w:tcW w:w="85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60</w:t>
            </w:r>
          </w:p>
        </w:tc>
        <w:tc>
          <w:tcPr>
            <w:tcW w:w="1437" w:type="dxa"/>
            <w:tcBorders/>
            <w:tcMar>
              <w:top w:w="0" w:type="dxa"/>
              <w:left w:w="0" w:type="dxa"/>
              <w:bottom w:w="0" w:type="dxa"/>
              <w:right w:w="0" w:type="dxa"/>
            </w:tcMar>
            <w:vAlign w:val="center"/>
          </w:tcPr>
          <w:p>
            <w:pPr>
              <w:pStyle w:val="TableContents"/>
              <w:bidi w:val="0"/>
              <w:spacing w:before="0" w:after="283"/>
              <w:ind w:left="0" w:right="0" w:firstLine="504"/>
              <w:jc w:val="center"/>
              <w:rPr>
                <w:rFonts w:ascii="Times New Roman" w:hAnsi="Times New Roman"/>
                <w:color w:val="000000"/>
                <w:sz w:val="20"/>
              </w:rPr>
            </w:pPr>
            <w:r>
              <w:rPr>
                <w:rFonts w:ascii="Times New Roman" w:hAnsi="Times New Roman"/>
                <w:color w:val="000000"/>
                <w:sz w:val="20"/>
              </w:rPr>
              <w:t>Owned</w:t>
            </w:r>
          </w:p>
        </w:tc>
      </w:tr>
      <w:tr>
        <w:trPr/>
        <w:tc>
          <w:tcPr>
            <w:tcW w:w="5859" w:type="dxa"/>
            <w:tcBorders/>
            <w:tcMar>
              <w:top w:w="0" w:type="dxa"/>
              <w:left w:w="0" w:type="dxa"/>
              <w:bottom w:w="0" w:type="dxa"/>
              <w:right w:w="0" w:type="dxa"/>
            </w:tcMar>
            <w:vAlign w:val="center"/>
          </w:tcPr>
          <w:p>
            <w:pPr>
              <w:pStyle w:val="TableContents"/>
              <w:bidi w:val="0"/>
              <w:spacing w:before="0" w:after="283"/>
              <w:ind w:left="0" w:right="0" w:firstLine="504"/>
              <w:jc w:val="left"/>
              <w:rPr>
                <w:rFonts w:ascii="Times New Roman" w:hAnsi="Times New Roman"/>
                <w:color w:val="000000"/>
                <w:sz w:val="20"/>
              </w:rPr>
            </w:pPr>
            <w:r>
              <w:rPr>
                <w:rFonts w:ascii="Times New Roman" w:hAnsi="Times New Roman"/>
                <w:color w:val="000000"/>
                <w:sz w:val="20"/>
              </w:rPr>
              <w:t>ER at Anna</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Anna, Texas</w:t>
            </w:r>
          </w:p>
        </w:tc>
        <w:tc>
          <w:tcPr>
            <w:tcW w:w="858"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37" w:type="dxa"/>
            <w:tcBorders/>
            <w:tcMar>
              <w:top w:w="0" w:type="dxa"/>
              <w:left w:w="0" w:type="dxa"/>
              <w:bottom w:w="0" w:type="dxa"/>
              <w:right w:w="0" w:type="dxa"/>
            </w:tcMar>
            <w:vAlign w:val="center"/>
          </w:tcPr>
          <w:p>
            <w:pPr>
              <w:pStyle w:val="TableContents"/>
              <w:bidi w:val="0"/>
              <w:spacing w:before="0" w:after="283"/>
              <w:ind w:left="0" w:right="0" w:firstLine="504"/>
              <w:jc w:val="center"/>
              <w:rPr>
                <w:rFonts w:ascii="Times New Roman" w:hAnsi="Times New Roman"/>
                <w:color w:val="000000"/>
                <w:sz w:val="20"/>
              </w:rPr>
            </w:pPr>
            <w:r>
              <w:rPr>
                <w:rFonts w:ascii="Times New Roman" w:hAnsi="Times New Roman"/>
                <w:color w:val="000000"/>
                <w:sz w:val="20"/>
              </w:rPr>
              <w:t>Owned</w:t>
            </w:r>
          </w:p>
        </w:tc>
      </w:tr>
      <w:tr>
        <w:trPr/>
        <w:tc>
          <w:tcPr>
            <w:tcW w:w="5859" w:type="dxa"/>
            <w:tcBorders/>
            <w:tcMar>
              <w:top w:w="0" w:type="dxa"/>
              <w:left w:w="0" w:type="dxa"/>
              <w:bottom w:w="0" w:type="dxa"/>
              <w:right w:w="0" w:type="dxa"/>
            </w:tcMar>
            <w:vAlign w:val="center"/>
          </w:tcPr>
          <w:p>
            <w:pPr>
              <w:pStyle w:val="TableContents"/>
              <w:bidi w:val="0"/>
              <w:spacing w:before="0" w:after="283"/>
              <w:ind w:left="0" w:right="0" w:firstLine="504"/>
              <w:jc w:val="left"/>
              <w:rPr>
                <w:rFonts w:ascii="Times New Roman" w:hAnsi="Times New Roman"/>
                <w:color w:val="000000"/>
                <w:sz w:val="20"/>
              </w:rPr>
            </w:pPr>
            <w:r>
              <w:rPr>
                <w:rFonts w:ascii="Times New Roman" w:hAnsi="Times New Roman"/>
                <w:color w:val="000000"/>
                <w:sz w:val="20"/>
              </w:rPr>
              <w:t>ER at Sherman</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Sherman, Texas</w:t>
            </w:r>
          </w:p>
        </w:tc>
        <w:tc>
          <w:tcPr>
            <w:tcW w:w="858"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3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Owned</w:t>
            </w:r>
          </w:p>
        </w:tc>
      </w:tr>
      <w:tr>
        <w:trPr/>
        <w:tc>
          <w:tcPr>
            <w:tcW w:w="585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Valley Hospital Medical Center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Las Vegas, Nevada</w:t>
            </w:r>
          </w:p>
        </w:tc>
        <w:tc>
          <w:tcPr>
            <w:tcW w:w="85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306</w:t>
            </w:r>
          </w:p>
        </w:tc>
        <w:tc>
          <w:tcPr>
            <w:tcW w:w="1437" w:type="dxa"/>
            <w:tcBorders/>
            <w:tcMar>
              <w:top w:w="0" w:type="dxa"/>
              <w:left w:w="0" w:type="dxa"/>
              <w:bottom w:w="0" w:type="dxa"/>
              <w:right w:w="0" w:type="dxa"/>
            </w:tcMar>
            <w:vAlign w:val="center"/>
          </w:tcPr>
          <w:p>
            <w:pPr>
              <w:pStyle w:val="TableContents"/>
              <w:bidi w:val="0"/>
              <w:spacing w:before="0" w:after="283"/>
              <w:ind w:left="0" w:right="0" w:firstLine="504"/>
              <w:jc w:val="center"/>
              <w:rPr>
                <w:rFonts w:ascii="Times New Roman" w:hAnsi="Times New Roman"/>
                <w:color w:val="000000"/>
                <w:sz w:val="20"/>
              </w:rPr>
            </w:pPr>
            <w:r>
              <w:rPr>
                <w:rFonts w:ascii="Times New Roman" w:hAnsi="Times New Roman"/>
                <w:color w:val="000000"/>
                <w:sz w:val="20"/>
              </w:rPr>
              <w:t>Owned</w:t>
            </w:r>
          </w:p>
        </w:tc>
      </w:tr>
      <w:tr>
        <w:trPr/>
        <w:tc>
          <w:tcPr>
            <w:tcW w:w="5859" w:type="dxa"/>
            <w:tcBorders/>
            <w:tcMar>
              <w:top w:w="0" w:type="dxa"/>
              <w:left w:w="0" w:type="dxa"/>
              <w:bottom w:w="0" w:type="dxa"/>
              <w:right w:w="0" w:type="dxa"/>
            </w:tcMar>
            <w:vAlign w:val="center"/>
          </w:tcPr>
          <w:p>
            <w:pPr>
              <w:pStyle w:val="TableContents"/>
              <w:bidi w:val="0"/>
              <w:spacing w:before="0" w:after="283"/>
              <w:ind w:left="0" w:right="0" w:firstLine="504"/>
              <w:jc w:val="left"/>
              <w:rPr>
                <w:rFonts w:ascii="Times New Roman" w:hAnsi="Times New Roman"/>
                <w:color w:val="000000"/>
                <w:sz w:val="20"/>
              </w:rPr>
            </w:pPr>
            <w:r>
              <w:rPr>
                <w:rFonts w:ascii="Times New Roman" w:hAnsi="Times New Roman"/>
                <w:color w:val="000000"/>
                <w:sz w:val="20"/>
              </w:rPr>
              <w:t>Elite Medical Center (ER)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Las Vegas, Nevada</w:t>
            </w:r>
          </w:p>
        </w:tc>
        <w:tc>
          <w:tcPr>
            <w:tcW w:w="858"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37" w:type="dxa"/>
            <w:tcBorders/>
            <w:tcMar>
              <w:top w:w="0" w:type="dxa"/>
              <w:left w:w="0" w:type="dxa"/>
              <w:bottom w:w="0" w:type="dxa"/>
              <w:right w:w="0" w:type="dxa"/>
            </w:tcMar>
            <w:vAlign w:val="center"/>
          </w:tcPr>
          <w:p>
            <w:pPr>
              <w:pStyle w:val="TableContents"/>
              <w:bidi w:val="0"/>
              <w:spacing w:before="0" w:after="283"/>
              <w:ind w:left="0" w:right="0" w:firstLine="504"/>
              <w:jc w:val="center"/>
              <w:rPr>
                <w:rFonts w:ascii="Times New Roman" w:hAnsi="Times New Roman"/>
                <w:color w:val="000000"/>
                <w:sz w:val="20"/>
              </w:rPr>
            </w:pPr>
            <w:r>
              <w:rPr>
                <w:rFonts w:ascii="Times New Roman" w:hAnsi="Times New Roman"/>
                <w:color w:val="000000"/>
                <w:sz w:val="20"/>
              </w:rPr>
              <w:t>Owned</w:t>
            </w:r>
          </w:p>
        </w:tc>
      </w:tr>
      <w:tr>
        <w:trPr/>
        <w:tc>
          <w:tcPr>
            <w:tcW w:w="5859" w:type="dxa"/>
            <w:tcBorders/>
            <w:tcMar>
              <w:top w:w="0" w:type="dxa"/>
              <w:left w:w="0" w:type="dxa"/>
              <w:bottom w:w="0" w:type="dxa"/>
              <w:right w:w="0" w:type="dxa"/>
            </w:tcMar>
            <w:vAlign w:val="center"/>
          </w:tcPr>
          <w:p>
            <w:pPr>
              <w:pStyle w:val="TableContents"/>
              <w:bidi w:val="0"/>
              <w:spacing w:before="0" w:after="283"/>
              <w:ind w:left="0" w:right="0" w:firstLine="504"/>
              <w:jc w:val="left"/>
              <w:rPr>
                <w:rFonts w:ascii="Times New Roman" w:hAnsi="Times New Roman"/>
                <w:color w:val="000000"/>
                <w:sz w:val="20"/>
              </w:rPr>
            </w:pPr>
            <w:r>
              <w:rPr>
                <w:rFonts w:ascii="Times New Roman" w:hAnsi="Times New Roman"/>
                <w:color w:val="000000"/>
                <w:sz w:val="20"/>
              </w:rPr>
              <w:t>ER at Desert Springs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Las Vegas, Nevada</w:t>
            </w:r>
          </w:p>
        </w:tc>
        <w:tc>
          <w:tcPr>
            <w:tcW w:w="858"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37" w:type="dxa"/>
            <w:tcBorders/>
            <w:tcMar>
              <w:top w:w="0" w:type="dxa"/>
              <w:left w:w="0" w:type="dxa"/>
              <w:bottom w:w="0" w:type="dxa"/>
              <w:right w:w="0" w:type="dxa"/>
            </w:tcMar>
            <w:vAlign w:val="center"/>
          </w:tcPr>
          <w:p>
            <w:pPr>
              <w:pStyle w:val="TableContents"/>
              <w:bidi w:val="0"/>
              <w:spacing w:before="0" w:after="283"/>
              <w:ind w:left="0" w:right="0" w:firstLine="504"/>
              <w:jc w:val="center"/>
              <w:rPr>
                <w:rFonts w:ascii="Times New Roman" w:hAnsi="Times New Roman"/>
                <w:color w:val="000000"/>
                <w:sz w:val="20"/>
              </w:rPr>
            </w:pPr>
            <w:r>
              <w:rPr>
                <w:rFonts w:ascii="Times New Roman" w:hAnsi="Times New Roman"/>
                <w:color w:val="000000"/>
                <w:sz w:val="20"/>
              </w:rPr>
              <w:t>Owned</w:t>
            </w:r>
          </w:p>
        </w:tc>
      </w:tr>
      <w:tr>
        <w:trPr/>
        <w:tc>
          <w:tcPr>
            <w:tcW w:w="5859" w:type="dxa"/>
            <w:tcBorders/>
            <w:tcMar>
              <w:top w:w="0" w:type="dxa"/>
              <w:left w:w="0" w:type="dxa"/>
              <w:bottom w:w="0" w:type="dxa"/>
              <w:right w:w="0" w:type="dxa"/>
            </w:tcMar>
            <w:vAlign w:val="center"/>
          </w:tcPr>
          <w:p>
            <w:pPr>
              <w:pStyle w:val="TableContents"/>
              <w:bidi w:val="0"/>
              <w:spacing w:before="0" w:after="283"/>
              <w:ind w:left="0" w:right="0" w:firstLine="504"/>
              <w:jc w:val="left"/>
              <w:rPr>
                <w:rFonts w:ascii="Times New Roman" w:hAnsi="Times New Roman"/>
                <w:color w:val="000000"/>
                <w:sz w:val="20"/>
              </w:rPr>
            </w:pPr>
            <w:r>
              <w:rPr>
                <w:rFonts w:ascii="Times New Roman" w:hAnsi="Times New Roman"/>
                <w:color w:val="000000"/>
                <w:sz w:val="20"/>
              </w:rPr>
              <w:t>ER at North Las Vegas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North Las Vegas, Nevada</w:t>
            </w:r>
          </w:p>
        </w:tc>
        <w:tc>
          <w:tcPr>
            <w:tcW w:w="858"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3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Owned</w:t>
            </w:r>
          </w:p>
        </w:tc>
      </w:tr>
      <w:tr>
        <w:trPr/>
        <w:tc>
          <w:tcPr>
            <w:tcW w:w="585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Wellington Regional Medical Center (1)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Wellington, Florida</w:t>
            </w:r>
          </w:p>
        </w:tc>
        <w:tc>
          <w:tcPr>
            <w:tcW w:w="85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235</w:t>
            </w:r>
          </w:p>
        </w:tc>
        <w:tc>
          <w:tcPr>
            <w:tcW w:w="1437" w:type="dxa"/>
            <w:tcBorders/>
            <w:tcMar>
              <w:top w:w="0" w:type="dxa"/>
              <w:left w:w="0" w:type="dxa"/>
              <w:bottom w:w="0" w:type="dxa"/>
              <w:right w:w="0" w:type="dxa"/>
            </w:tcMar>
            <w:vAlign w:val="center"/>
          </w:tcPr>
          <w:p>
            <w:pPr>
              <w:pStyle w:val="TableContents"/>
              <w:bidi w:val="0"/>
              <w:spacing w:before="0" w:after="283"/>
              <w:ind w:left="0" w:right="0" w:firstLine="504"/>
              <w:jc w:val="center"/>
              <w:rPr>
                <w:rFonts w:ascii="Times New Roman" w:hAnsi="Times New Roman"/>
                <w:color w:val="000000"/>
                <w:sz w:val="20"/>
              </w:rPr>
            </w:pPr>
            <w:r>
              <w:rPr>
                <w:rFonts w:ascii="Times New Roman" w:hAnsi="Times New Roman"/>
                <w:color w:val="000000"/>
                <w:sz w:val="20"/>
              </w:rPr>
              <w:t>Leased</w:t>
            </w:r>
          </w:p>
        </w:tc>
      </w:tr>
      <w:tr>
        <w:trPr/>
        <w:tc>
          <w:tcPr>
            <w:tcW w:w="5859" w:type="dxa"/>
            <w:tcBorders/>
            <w:tcMar>
              <w:top w:w="0" w:type="dxa"/>
              <w:left w:w="0" w:type="dxa"/>
              <w:bottom w:w="0" w:type="dxa"/>
              <w:right w:w="0" w:type="dxa"/>
            </w:tcMar>
            <w:vAlign w:val="center"/>
          </w:tcPr>
          <w:p>
            <w:pPr>
              <w:pStyle w:val="TableContents"/>
              <w:bidi w:val="0"/>
              <w:spacing w:before="0" w:after="283"/>
              <w:ind w:left="0" w:right="0" w:firstLine="504"/>
              <w:jc w:val="left"/>
              <w:rPr>
                <w:rFonts w:ascii="Times New Roman" w:hAnsi="Times New Roman"/>
                <w:color w:val="000000"/>
                <w:sz w:val="20"/>
              </w:rPr>
            </w:pPr>
            <w:r>
              <w:rPr>
                <w:rFonts w:ascii="Times New Roman" w:hAnsi="Times New Roman"/>
                <w:color w:val="000000"/>
                <w:sz w:val="20"/>
              </w:rPr>
              <w:t>ER at Westlake</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Westlake, Florida </w:t>
            </w:r>
          </w:p>
        </w:tc>
        <w:tc>
          <w:tcPr>
            <w:tcW w:w="858"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p>
        </w:tc>
        <w:tc>
          <w:tcPr>
            <w:tcW w:w="143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Leased</w:t>
            </w:r>
          </w:p>
        </w:tc>
      </w:tr>
      <w:tr>
        <w:trPr/>
        <w:tc>
          <w:tcPr>
            <w:tcW w:w="585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West Henderson Hospital..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Henderson, Nevada</w:t>
            </w:r>
          </w:p>
        </w:tc>
        <w:tc>
          <w:tcPr>
            <w:tcW w:w="85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150</w:t>
            </w:r>
          </w:p>
        </w:tc>
        <w:tc>
          <w:tcPr>
            <w:tcW w:w="143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Owned</w:t>
            </w:r>
          </w:p>
        </w:tc>
      </w:tr>
    </w:tbl>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Inpatient Behavioral Health Care Facilities</w:t>
      </w:r>
      <w:r>
        <w:rPr>
          <w:rFonts w:ascii="Times New Roman" w:hAnsi="Times New Roman"/>
          <w:color w:val="000000"/>
          <w:sz w:val="20"/>
        </w:rPr>
        <w:t xml:space="preserve"> </w:t>
      </w:r>
    </w:p>
    <w:p>
      <w:pPr>
        <w:pStyle w:val="TextBody"/>
        <w:bidi w:val="0"/>
        <w:jc w:val="left"/>
        <w:rPr/>
      </w:pPr>
      <w:r>
        <w:rPr/>
        <w:t> </w:t>
      </w:r>
    </w:p>
    <w:tbl>
      <w:tblPr>
        <w:tblW w:w="9782" w:type="dxa"/>
        <w:jc w:val="left"/>
        <w:tblInd w:w="0" w:type="dxa"/>
        <w:tblLayout w:type="fixed"/>
        <w:tblCellMar>
          <w:top w:w="28" w:type="dxa"/>
          <w:left w:w="28" w:type="dxa"/>
          <w:bottom w:w="28" w:type="dxa"/>
          <w:right w:w="28" w:type="dxa"/>
        </w:tblCellMar>
      </w:tblPr>
      <w:tblGrid>
        <w:gridCol w:w="4906"/>
        <w:gridCol w:w="109"/>
        <w:gridCol w:w="2656"/>
        <w:gridCol w:w="886"/>
        <w:gridCol w:w="1225"/>
      </w:tblGrid>
      <w:tr>
        <w:trPr/>
        <w:tc>
          <w:tcPr>
            <w:tcW w:w="490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656" w:type="dxa"/>
            <w:tcBorders/>
            <w:shd w:fill="FFFFFF" w:val="clear"/>
            <w:vAlign w:val="center"/>
          </w:tcPr>
          <w:p>
            <w:pPr>
              <w:pStyle w:val="TableContents"/>
              <w:bidi w:val="0"/>
              <w:spacing w:before="0" w:after="283"/>
              <w:jc w:val="left"/>
              <w:rPr>
                <w:sz w:val="4"/>
                <w:szCs w:val="4"/>
              </w:rPr>
            </w:pPr>
            <w:r>
              <w:rPr>
                <w:sz w:val="4"/>
                <w:szCs w:val="4"/>
              </w:rPr>
            </w:r>
          </w:p>
        </w:tc>
        <w:tc>
          <w:tcPr>
            <w:tcW w:w="886" w:type="dxa"/>
            <w:tcBorders/>
            <w:shd w:fill="FFFFFF" w:val="clear"/>
            <w:vAlign w:val="center"/>
          </w:tcPr>
          <w:p>
            <w:pPr>
              <w:pStyle w:val="TableContents"/>
              <w:bidi w:val="0"/>
              <w:spacing w:before="0" w:after="283"/>
              <w:jc w:val="left"/>
              <w:rPr>
                <w:sz w:val="4"/>
                <w:szCs w:val="4"/>
              </w:rPr>
            </w:pPr>
            <w:r>
              <w:rPr>
                <w:sz w:val="4"/>
                <w:szCs w:val="4"/>
              </w:rPr>
            </w:r>
          </w:p>
        </w:tc>
        <w:tc>
          <w:tcPr>
            <w:tcW w:w="1225" w:type="dxa"/>
            <w:tcBorders/>
            <w:shd w:fill="FFFFFF" w:val="clear"/>
            <w:vAlign w:val="center"/>
          </w:tcPr>
          <w:p>
            <w:pPr>
              <w:pStyle w:val="TableContents"/>
              <w:bidi w:val="0"/>
              <w:spacing w:before="0" w:after="283"/>
              <w:jc w:val="left"/>
              <w:rPr>
                <w:sz w:val="4"/>
                <w:szCs w:val="4"/>
              </w:rPr>
            </w:pPr>
            <w:r>
              <w:rPr>
                <w:sz w:val="4"/>
                <w:szCs w:val="4"/>
              </w:rPr>
            </w:r>
          </w:p>
        </w:tc>
      </w:tr>
      <w:tr>
        <w:trPr/>
        <w:tc>
          <w:tcPr>
            <w:tcW w:w="49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United States:</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Name of Facility</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b/>
                <w:color w:val="000000"/>
                <w:sz w:val="16"/>
              </w:rPr>
              <w:t>Location</w:t>
            </w:r>
            <w:r>
              <w:rPr>
                <w:rFonts w:ascii="Times New Roman" w:hAnsi="Times New Roman"/>
                <w:color w:val="000000"/>
                <w:sz w:val="16"/>
              </w:rPr>
              <w:t xml:space="preserve"> </w:t>
            </w:r>
          </w:p>
        </w:tc>
        <w:tc>
          <w:tcPr>
            <w:tcW w:w="8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Number of</w:t>
              <w:br/>
              <w:t>Beds</w:t>
            </w:r>
            <w:r>
              <w:rPr>
                <w:rFonts w:ascii="Times New Roman" w:hAnsi="Times New Roman"/>
                <w:color w:val="000000"/>
                <w:sz w:val="16"/>
              </w:rPr>
              <w:t xml:space="preserve"> </w:t>
            </w:r>
          </w:p>
        </w:tc>
        <w:tc>
          <w:tcPr>
            <w:tcW w:w="122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Real</w:t>
              <w:br/>
              <w:t>Property</w:t>
              <w:br/>
              <w:t>Ownership</w:t>
              <w:br/>
              <w:t>Interest</w:t>
            </w:r>
            <w:r>
              <w:rPr>
                <w:rFonts w:ascii="Times New Roman" w:hAnsi="Times New Roman"/>
                <w:color w:val="000000"/>
                <w:sz w:val="16"/>
              </w:rPr>
              <w:t xml:space="preserve"> </w:t>
            </w:r>
          </w:p>
        </w:tc>
      </w:tr>
      <w:tr>
        <w:trPr/>
        <w:tc>
          <w:tcPr>
            <w:tcW w:w="49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Alabama Clinical Schools</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Birmingham, Alabama</w:t>
            </w:r>
          </w:p>
        </w:tc>
        <w:tc>
          <w:tcPr>
            <w:tcW w:w="8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80</w:t>
            </w:r>
          </w:p>
        </w:tc>
        <w:tc>
          <w:tcPr>
            <w:tcW w:w="122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Owned</w:t>
            </w:r>
          </w:p>
        </w:tc>
      </w:tr>
      <w:tr>
        <w:trPr/>
        <w:tc>
          <w:tcPr>
            <w:tcW w:w="49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Alliance Health Center</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Meridian, Mississippi</w:t>
            </w:r>
          </w:p>
        </w:tc>
        <w:tc>
          <w:tcPr>
            <w:tcW w:w="8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214</w:t>
            </w:r>
          </w:p>
        </w:tc>
        <w:tc>
          <w:tcPr>
            <w:tcW w:w="122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Owned</w:t>
            </w:r>
          </w:p>
        </w:tc>
      </w:tr>
      <w:tr>
        <w:trPr/>
        <w:tc>
          <w:tcPr>
            <w:tcW w:w="49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Anchor Hospital</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Atlanta, Georgia</w:t>
            </w:r>
          </w:p>
        </w:tc>
        <w:tc>
          <w:tcPr>
            <w:tcW w:w="8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122</w:t>
            </w:r>
          </w:p>
        </w:tc>
        <w:tc>
          <w:tcPr>
            <w:tcW w:w="122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Owned</w:t>
            </w:r>
          </w:p>
        </w:tc>
      </w:tr>
      <w:tr>
        <w:trPr/>
        <w:tc>
          <w:tcPr>
            <w:tcW w:w="49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Arbour Hospital</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Jamaica Plain, Massachusetts</w:t>
            </w:r>
          </w:p>
        </w:tc>
        <w:tc>
          <w:tcPr>
            <w:tcW w:w="8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142</w:t>
            </w:r>
          </w:p>
        </w:tc>
        <w:tc>
          <w:tcPr>
            <w:tcW w:w="122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Owned</w:t>
            </w:r>
          </w:p>
        </w:tc>
      </w:tr>
      <w:tr>
        <w:trPr/>
        <w:tc>
          <w:tcPr>
            <w:tcW w:w="49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Arrowhead Behavioral Health (13)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Maumee, Ohio</w:t>
            </w:r>
          </w:p>
        </w:tc>
        <w:tc>
          <w:tcPr>
            <w:tcW w:w="8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48</w:t>
            </w:r>
          </w:p>
        </w:tc>
        <w:tc>
          <w:tcPr>
            <w:tcW w:w="122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Owned</w:t>
            </w:r>
          </w:p>
        </w:tc>
      </w:tr>
      <w:tr>
        <w:trPr/>
        <w:tc>
          <w:tcPr>
            <w:tcW w:w="49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Aspen Grove Behavioral Hospital</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Orem, Utah</w:t>
            </w:r>
          </w:p>
        </w:tc>
        <w:tc>
          <w:tcPr>
            <w:tcW w:w="8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94</w:t>
            </w:r>
          </w:p>
        </w:tc>
        <w:tc>
          <w:tcPr>
            <w:tcW w:w="122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Owned</w:t>
            </w:r>
          </w:p>
        </w:tc>
      </w:tr>
      <w:tr>
        <w:trPr/>
        <w:tc>
          <w:tcPr>
            <w:tcW w:w="49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Austin Oaks Hospital</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Austin, Texas</w:t>
            </w:r>
          </w:p>
        </w:tc>
        <w:tc>
          <w:tcPr>
            <w:tcW w:w="8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80</w:t>
            </w:r>
          </w:p>
        </w:tc>
        <w:tc>
          <w:tcPr>
            <w:tcW w:w="122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Owned</w:t>
            </w:r>
          </w:p>
        </w:tc>
      </w:tr>
      <w:tr>
        <w:trPr/>
        <w:tc>
          <w:tcPr>
            <w:tcW w:w="49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Behavioral Hospital of Bellaire</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Houston, Texas</w:t>
            </w:r>
          </w:p>
        </w:tc>
        <w:tc>
          <w:tcPr>
            <w:tcW w:w="8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124</w:t>
            </w:r>
          </w:p>
        </w:tc>
        <w:tc>
          <w:tcPr>
            <w:tcW w:w="122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Leased</w:t>
            </w:r>
          </w:p>
        </w:tc>
      </w:tr>
      <w:tr>
        <w:trPr/>
        <w:tc>
          <w:tcPr>
            <w:tcW w:w="49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Belmont Pines Hospital</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Youngstown, Ohio</w:t>
            </w:r>
          </w:p>
        </w:tc>
        <w:tc>
          <w:tcPr>
            <w:tcW w:w="8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127</w:t>
            </w:r>
          </w:p>
        </w:tc>
        <w:tc>
          <w:tcPr>
            <w:tcW w:w="122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Owned</w:t>
            </w:r>
          </w:p>
        </w:tc>
      </w:tr>
      <w:tr>
        <w:trPr/>
        <w:tc>
          <w:tcPr>
            <w:tcW w:w="49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Benchmark Behavioral Health Systems</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Woods Cross, Utah</w:t>
            </w:r>
          </w:p>
        </w:tc>
        <w:tc>
          <w:tcPr>
            <w:tcW w:w="8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94</w:t>
            </w:r>
          </w:p>
        </w:tc>
        <w:tc>
          <w:tcPr>
            <w:tcW w:w="122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Owned</w:t>
            </w:r>
          </w:p>
        </w:tc>
      </w:tr>
      <w:tr>
        <w:trPr/>
        <w:tc>
          <w:tcPr>
            <w:tcW w:w="49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BHC Alhambra Hospital</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Rosemead, California</w:t>
            </w:r>
          </w:p>
        </w:tc>
        <w:tc>
          <w:tcPr>
            <w:tcW w:w="8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109</w:t>
            </w:r>
          </w:p>
        </w:tc>
        <w:tc>
          <w:tcPr>
            <w:tcW w:w="122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Owned</w:t>
            </w:r>
          </w:p>
        </w:tc>
      </w:tr>
      <w:tr>
        <w:trPr/>
        <w:tc>
          <w:tcPr>
            <w:tcW w:w="49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Black Bear Lodge</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Sautee Nacoochee, Georgia</w:t>
            </w:r>
          </w:p>
        </w:tc>
        <w:tc>
          <w:tcPr>
            <w:tcW w:w="8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115</w:t>
            </w:r>
          </w:p>
        </w:tc>
        <w:tc>
          <w:tcPr>
            <w:tcW w:w="122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Owned</w:t>
            </w:r>
          </w:p>
        </w:tc>
      </w:tr>
      <w:tr>
        <w:trPr/>
        <w:tc>
          <w:tcPr>
            <w:tcW w:w="49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Bloomington Meadows Hospital</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Bloomington, Indiana</w:t>
            </w:r>
          </w:p>
        </w:tc>
        <w:tc>
          <w:tcPr>
            <w:tcW w:w="8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78</w:t>
            </w:r>
          </w:p>
        </w:tc>
        <w:tc>
          <w:tcPr>
            <w:tcW w:w="122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Owned</w:t>
            </w:r>
          </w:p>
        </w:tc>
      </w:tr>
      <w:tr>
        <w:trPr/>
        <w:tc>
          <w:tcPr>
            <w:tcW w:w="49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Brentwood Behavioral Healthcare</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Flowood, Mississippi</w:t>
            </w:r>
          </w:p>
        </w:tc>
        <w:tc>
          <w:tcPr>
            <w:tcW w:w="8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133</w:t>
            </w:r>
          </w:p>
        </w:tc>
        <w:tc>
          <w:tcPr>
            <w:tcW w:w="122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Owned</w:t>
            </w:r>
          </w:p>
        </w:tc>
      </w:tr>
      <w:tr>
        <w:trPr/>
        <w:tc>
          <w:tcPr>
            <w:tcW w:w="49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Brentwood Hospital</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Shreveport, Louisiana</w:t>
            </w:r>
          </w:p>
        </w:tc>
        <w:tc>
          <w:tcPr>
            <w:tcW w:w="8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260</w:t>
            </w:r>
          </w:p>
        </w:tc>
        <w:tc>
          <w:tcPr>
            <w:tcW w:w="122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Owned</w:t>
            </w:r>
          </w:p>
        </w:tc>
      </w:tr>
      <w:tr>
        <w:trPr/>
        <w:tc>
          <w:tcPr>
            <w:tcW w:w="49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 Bridgeway</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North Little Rock, Arkansas</w:t>
            </w:r>
          </w:p>
        </w:tc>
        <w:tc>
          <w:tcPr>
            <w:tcW w:w="8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127</w:t>
            </w:r>
          </w:p>
        </w:tc>
        <w:tc>
          <w:tcPr>
            <w:tcW w:w="122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Owned</w:t>
            </w:r>
          </w:p>
        </w:tc>
      </w:tr>
      <w:tr>
        <w:trPr/>
        <w:tc>
          <w:tcPr>
            <w:tcW w:w="49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 Brook Hospital—Dupont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Louisville, Kentucky</w:t>
            </w:r>
          </w:p>
        </w:tc>
        <w:tc>
          <w:tcPr>
            <w:tcW w:w="8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88</w:t>
            </w:r>
          </w:p>
        </w:tc>
        <w:tc>
          <w:tcPr>
            <w:tcW w:w="122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Owned</w:t>
            </w:r>
          </w:p>
        </w:tc>
      </w:tr>
      <w:tr>
        <w:trPr/>
        <w:tc>
          <w:tcPr>
            <w:tcW w:w="49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 Brook Hospital—KMI</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Louisville, Kentucky</w:t>
            </w:r>
          </w:p>
        </w:tc>
        <w:tc>
          <w:tcPr>
            <w:tcW w:w="8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110</w:t>
            </w:r>
          </w:p>
        </w:tc>
        <w:tc>
          <w:tcPr>
            <w:tcW w:w="122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Owned</w:t>
            </w:r>
          </w:p>
        </w:tc>
      </w:tr>
      <w:tr>
        <w:trPr/>
        <w:tc>
          <w:tcPr>
            <w:tcW w:w="49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Brooke Glen Behavioral Hospital</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Fort Washington, Pennsylvania</w:t>
            </w:r>
          </w:p>
        </w:tc>
        <w:tc>
          <w:tcPr>
            <w:tcW w:w="8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146</w:t>
            </w:r>
          </w:p>
        </w:tc>
        <w:tc>
          <w:tcPr>
            <w:tcW w:w="122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Owned</w:t>
            </w:r>
          </w:p>
        </w:tc>
      </w:tr>
      <w:tr>
        <w:trPr/>
        <w:tc>
          <w:tcPr>
            <w:tcW w:w="49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Brynn Marr Hospital</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Jacksonville, North Carolina</w:t>
            </w:r>
          </w:p>
        </w:tc>
        <w:tc>
          <w:tcPr>
            <w:tcW w:w="8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102</w:t>
            </w:r>
          </w:p>
        </w:tc>
        <w:tc>
          <w:tcPr>
            <w:tcW w:w="122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Owned</w:t>
            </w:r>
          </w:p>
        </w:tc>
      </w:tr>
      <w:tr>
        <w:trPr/>
        <w:tc>
          <w:tcPr>
            <w:tcW w:w="49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Calvary Healing Center</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Phoenix, Arizona</w:t>
            </w:r>
          </w:p>
        </w:tc>
        <w:tc>
          <w:tcPr>
            <w:tcW w:w="8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68</w:t>
            </w:r>
          </w:p>
        </w:tc>
        <w:tc>
          <w:tcPr>
            <w:tcW w:w="122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Owned</w:t>
            </w:r>
          </w:p>
        </w:tc>
      </w:tr>
      <w:tr>
        <w:trPr/>
        <w:tc>
          <w:tcPr>
            <w:tcW w:w="49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Canyon Creek Behavioral Health (1)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Temple, Texas</w:t>
            </w:r>
          </w:p>
        </w:tc>
        <w:tc>
          <w:tcPr>
            <w:tcW w:w="8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102</w:t>
            </w:r>
          </w:p>
        </w:tc>
        <w:tc>
          <w:tcPr>
            <w:tcW w:w="122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Leased</w:t>
            </w:r>
          </w:p>
        </w:tc>
      </w:tr>
      <w:tr>
        <w:trPr/>
        <w:tc>
          <w:tcPr>
            <w:tcW w:w="49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Canyon Ridge Hospital</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Chino, California</w:t>
            </w:r>
          </w:p>
        </w:tc>
        <w:tc>
          <w:tcPr>
            <w:tcW w:w="8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157</w:t>
            </w:r>
          </w:p>
        </w:tc>
        <w:tc>
          <w:tcPr>
            <w:tcW w:w="122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Owned</w:t>
            </w:r>
          </w:p>
        </w:tc>
      </w:tr>
      <w:tr>
        <w:trPr/>
        <w:tc>
          <w:tcPr>
            <w:tcW w:w="49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 Carolina Center for Behavioral Health</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Greer, South Carolina</w:t>
            </w:r>
          </w:p>
        </w:tc>
        <w:tc>
          <w:tcPr>
            <w:tcW w:w="8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156</w:t>
            </w:r>
          </w:p>
        </w:tc>
        <w:tc>
          <w:tcPr>
            <w:tcW w:w="122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Owned</w:t>
            </w:r>
          </w:p>
        </w:tc>
      </w:tr>
      <w:tr>
        <w:trPr/>
        <w:tc>
          <w:tcPr>
            <w:tcW w:w="49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Cedar Creek Hospital</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St. Johns, Michigan </w:t>
            </w:r>
          </w:p>
        </w:tc>
        <w:tc>
          <w:tcPr>
            <w:tcW w:w="8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72</w:t>
            </w:r>
          </w:p>
        </w:tc>
        <w:tc>
          <w:tcPr>
            <w:tcW w:w="122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Owned</w:t>
            </w:r>
          </w:p>
        </w:tc>
      </w:tr>
      <w:tr>
        <w:trPr/>
        <w:tc>
          <w:tcPr>
            <w:tcW w:w="49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Cedar Hills Hospital (7)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Portland, Oregon</w:t>
            </w:r>
          </w:p>
        </w:tc>
        <w:tc>
          <w:tcPr>
            <w:tcW w:w="8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98</w:t>
            </w:r>
          </w:p>
        </w:tc>
        <w:tc>
          <w:tcPr>
            <w:tcW w:w="122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Owned</w:t>
            </w:r>
          </w:p>
        </w:tc>
      </w:tr>
      <w:tr>
        <w:trPr/>
        <w:tc>
          <w:tcPr>
            <w:tcW w:w="49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Cedar Ridge Behavioral Hospital</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Oklahoma City, Oklahoma</w:t>
            </w:r>
          </w:p>
        </w:tc>
        <w:tc>
          <w:tcPr>
            <w:tcW w:w="8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60</w:t>
            </w:r>
          </w:p>
        </w:tc>
        <w:tc>
          <w:tcPr>
            <w:tcW w:w="1225" w:type="dxa"/>
            <w:tcBorders/>
            <w:tcMar>
              <w:top w:w="0" w:type="dxa"/>
              <w:left w:w="0" w:type="dxa"/>
              <w:bottom w:w="0" w:type="dxa"/>
              <w:right w:w="0" w:type="dxa"/>
            </w:tcMar>
            <w:vAlign w:val="center"/>
          </w:tcPr>
          <w:p>
            <w:pPr>
              <w:pStyle w:val="TableContents"/>
              <w:bidi w:val="0"/>
              <w:spacing w:before="0" w:after="283"/>
              <w:ind w:left="0" w:right="0" w:firstLine="504"/>
              <w:jc w:val="center"/>
              <w:rPr>
                <w:rFonts w:ascii="Times New Roman" w:hAnsi="Times New Roman"/>
                <w:color w:val="000000"/>
                <w:sz w:val="20"/>
              </w:rPr>
            </w:pPr>
            <w:r>
              <w:rPr>
                <w:rFonts w:ascii="Times New Roman" w:hAnsi="Times New Roman"/>
                <w:color w:val="000000"/>
                <w:sz w:val="20"/>
              </w:rPr>
              <w:t>Owned</w:t>
            </w:r>
          </w:p>
        </w:tc>
      </w:tr>
      <w:tr>
        <w:trPr/>
        <w:tc>
          <w:tcPr>
            <w:tcW w:w="4906" w:type="dxa"/>
            <w:tcBorders/>
            <w:tcMar>
              <w:top w:w="0" w:type="dxa"/>
              <w:left w:w="0" w:type="dxa"/>
              <w:bottom w:w="0" w:type="dxa"/>
              <w:right w:w="0" w:type="dxa"/>
            </w:tcMar>
            <w:vAlign w:val="center"/>
          </w:tcPr>
          <w:p>
            <w:pPr>
              <w:pStyle w:val="TableContents"/>
              <w:bidi w:val="0"/>
              <w:spacing w:before="0" w:after="283"/>
              <w:ind w:left="0" w:right="0" w:firstLine="504"/>
              <w:jc w:val="left"/>
              <w:rPr>
                <w:rFonts w:ascii="Times New Roman" w:hAnsi="Times New Roman"/>
                <w:color w:val="000000"/>
                <w:sz w:val="20"/>
              </w:rPr>
            </w:pPr>
            <w:r>
              <w:rPr>
                <w:rFonts w:ascii="Times New Roman" w:hAnsi="Times New Roman"/>
                <w:color w:val="000000"/>
                <w:sz w:val="20"/>
              </w:rPr>
              <w:t>Cedar Ridge Behavioral Hospital at Bethany</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Bethany, Oklahoma</w:t>
            </w:r>
          </w:p>
        </w:tc>
        <w:tc>
          <w:tcPr>
            <w:tcW w:w="8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56</w:t>
            </w:r>
          </w:p>
        </w:tc>
        <w:tc>
          <w:tcPr>
            <w:tcW w:w="122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Owned</w:t>
            </w:r>
          </w:p>
        </w:tc>
      </w:tr>
      <w:tr>
        <w:trPr/>
        <w:tc>
          <w:tcPr>
            <w:tcW w:w="49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Cedar Ridge Residential Treatment Center</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Oklahoma City, Oklahoma</w:t>
            </w:r>
          </w:p>
        </w:tc>
        <w:tc>
          <w:tcPr>
            <w:tcW w:w="8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56</w:t>
            </w:r>
          </w:p>
        </w:tc>
        <w:tc>
          <w:tcPr>
            <w:tcW w:w="122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Owned</w:t>
            </w:r>
          </w:p>
        </w:tc>
      </w:tr>
      <w:tr>
        <w:trPr/>
        <w:tc>
          <w:tcPr>
            <w:tcW w:w="49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Cedar Springs Hospital</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Colorado Springs, Colorado</w:t>
            </w:r>
          </w:p>
        </w:tc>
        <w:tc>
          <w:tcPr>
            <w:tcW w:w="8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110</w:t>
            </w:r>
          </w:p>
        </w:tc>
        <w:tc>
          <w:tcPr>
            <w:tcW w:w="122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Owned</w:t>
            </w:r>
          </w:p>
        </w:tc>
      </w:tr>
      <w:tr>
        <w:trPr/>
        <w:tc>
          <w:tcPr>
            <w:tcW w:w="49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Centennial Peaks Hospital</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Louisville, Colorado</w:t>
            </w:r>
          </w:p>
        </w:tc>
        <w:tc>
          <w:tcPr>
            <w:tcW w:w="8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104</w:t>
            </w:r>
          </w:p>
        </w:tc>
        <w:tc>
          <w:tcPr>
            <w:tcW w:w="122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Owned</w:t>
            </w:r>
          </w:p>
        </w:tc>
      </w:tr>
      <w:tr>
        <w:trPr/>
        <w:tc>
          <w:tcPr>
            <w:tcW w:w="49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Center for Change</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Orem, Utah</w:t>
            </w:r>
          </w:p>
        </w:tc>
        <w:tc>
          <w:tcPr>
            <w:tcW w:w="8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66</w:t>
            </w:r>
          </w:p>
        </w:tc>
        <w:tc>
          <w:tcPr>
            <w:tcW w:w="122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Owned</w:t>
            </w:r>
          </w:p>
        </w:tc>
      </w:tr>
      <w:tr>
        <w:trPr/>
        <w:tc>
          <w:tcPr>
            <w:tcW w:w="49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Central Florida Behavioral Hospital</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Orlando, Florida</w:t>
            </w:r>
          </w:p>
        </w:tc>
        <w:tc>
          <w:tcPr>
            <w:tcW w:w="8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174</w:t>
            </w:r>
          </w:p>
        </w:tc>
        <w:tc>
          <w:tcPr>
            <w:tcW w:w="122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Owned</w:t>
            </w:r>
          </w:p>
        </w:tc>
      </w:tr>
      <w:tr>
        <w:trPr/>
        <w:tc>
          <w:tcPr>
            <w:tcW w:w="49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Clarion Psychiatric Center</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Clarion, Pennsylvania</w:t>
            </w:r>
          </w:p>
        </w:tc>
        <w:tc>
          <w:tcPr>
            <w:tcW w:w="8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112</w:t>
            </w:r>
          </w:p>
        </w:tc>
        <w:tc>
          <w:tcPr>
            <w:tcW w:w="122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Owned</w:t>
            </w:r>
          </w:p>
        </w:tc>
      </w:tr>
      <w:tr>
        <w:trPr/>
        <w:tc>
          <w:tcPr>
            <w:tcW w:w="49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Clive Behavioral Health (1) (11)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Clive, Iowa</w:t>
            </w:r>
          </w:p>
        </w:tc>
        <w:tc>
          <w:tcPr>
            <w:tcW w:w="8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100</w:t>
            </w:r>
          </w:p>
        </w:tc>
        <w:tc>
          <w:tcPr>
            <w:tcW w:w="122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Leased</w:t>
            </w:r>
          </w:p>
        </w:tc>
      </w:tr>
      <w:tr>
        <w:trPr/>
        <w:tc>
          <w:tcPr>
            <w:tcW w:w="49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Coastal Behavioral Health</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Savannah, Georgia</w:t>
            </w:r>
          </w:p>
        </w:tc>
        <w:tc>
          <w:tcPr>
            <w:tcW w:w="8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50</w:t>
            </w:r>
          </w:p>
        </w:tc>
        <w:tc>
          <w:tcPr>
            <w:tcW w:w="122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Owned</w:t>
            </w:r>
          </w:p>
        </w:tc>
      </w:tr>
      <w:tr>
        <w:trPr/>
        <w:tc>
          <w:tcPr>
            <w:tcW w:w="49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Coastal Harbor Treatment Center</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Savannah, Georgia</w:t>
            </w:r>
          </w:p>
        </w:tc>
        <w:tc>
          <w:tcPr>
            <w:tcW w:w="8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145</w:t>
            </w:r>
          </w:p>
        </w:tc>
        <w:tc>
          <w:tcPr>
            <w:tcW w:w="122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Owned</w:t>
            </w:r>
          </w:p>
        </w:tc>
      </w:tr>
      <w:tr>
        <w:trPr/>
        <w:tc>
          <w:tcPr>
            <w:tcW w:w="49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Columbus Behavioral Center for Children and Adolescents</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Columbus, Indiana</w:t>
            </w:r>
          </w:p>
        </w:tc>
        <w:tc>
          <w:tcPr>
            <w:tcW w:w="8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57</w:t>
            </w:r>
          </w:p>
        </w:tc>
        <w:tc>
          <w:tcPr>
            <w:tcW w:w="122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Owned</w:t>
            </w:r>
          </w:p>
        </w:tc>
      </w:tr>
      <w:tr>
        <w:trPr/>
        <w:tc>
          <w:tcPr>
            <w:tcW w:w="49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Compass Intervention Center</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Memphis, Tennessee</w:t>
            </w:r>
          </w:p>
        </w:tc>
        <w:tc>
          <w:tcPr>
            <w:tcW w:w="8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148</w:t>
            </w:r>
          </w:p>
        </w:tc>
        <w:tc>
          <w:tcPr>
            <w:tcW w:w="122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Owned</w:t>
            </w:r>
          </w:p>
        </w:tc>
      </w:tr>
      <w:tr>
        <w:trPr/>
        <w:tc>
          <w:tcPr>
            <w:tcW w:w="49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Copper Hills Youth Center</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West Jordan, Utah</w:t>
            </w:r>
          </w:p>
        </w:tc>
        <w:tc>
          <w:tcPr>
            <w:tcW w:w="8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164</w:t>
            </w:r>
          </w:p>
        </w:tc>
        <w:tc>
          <w:tcPr>
            <w:tcW w:w="122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Owned</w:t>
            </w:r>
          </w:p>
        </w:tc>
      </w:tr>
      <w:tr>
        <w:trPr/>
        <w:tc>
          <w:tcPr>
            <w:tcW w:w="49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Coral Shores Behavioral Health</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Stuart, Florida</w:t>
            </w:r>
          </w:p>
        </w:tc>
        <w:tc>
          <w:tcPr>
            <w:tcW w:w="8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80</w:t>
            </w:r>
          </w:p>
        </w:tc>
        <w:tc>
          <w:tcPr>
            <w:tcW w:w="122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Owned</w:t>
            </w:r>
          </w:p>
        </w:tc>
      </w:tr>
      <w:tr>
        <w:trPr/>
        <w:tc>
          <w:tcPr>
            <w:tcW w:w="49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Cumberland Hall Hospital</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Hopkinsville, Kentucky</w:t>
            </w:r>
          </w:p>
        </w:tc>
        <w:tc>
          <w:tcPr>
            <w:tcW w:w="8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97</w:t>
            </w:r>
          </w:p>
        </w:tc>
        <w:tc>
          <w:tcPr>
            <w:tcW w:w="122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Owned</w:t>
            </w:r>
          </w:p>
        </w:tc>
      </w:tr>
      <w:tr>
        <w:trPr/>
        <w:tc>
          <w:tcPr>
            <w:tcW w:w="49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Cumberland Hospital for Children and Adolescents</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New Kent, Virginia</w:t>
            </w:r>
          </w:p>
        </w:tc>
        <w:tc>
          <w:tcPr>
            <w:tcW w:w="8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106</w:t>
            </w:r>
          </w:p>
        </w:tc>
        <w:tc>
          <w:tcPr>
            <w:tcW w:w="122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Owned</w:t>
            </w:r>
          </w:p>
        </w:tc>
      </w:tr>
      <w:tr>
        <w:trPr/>
        <w:tc>
          <w:tcPr>
            <w:tcW w:w="49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Cypress Creek Hospital</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Houston, Texas</w:t>
            </w:r>
          </w:p>
        </w:tc>
        <w:tc>
          <w:tcPr>
            <w:tcW w:w="8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128</w:t>
            </w:r>
          </w:p>
        </w:tc>
        <w:tc>
          <w:tcPr>
            <w:tcW w:w="122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Owned</w:t>
            </w:r>
          </w:p>
        </w:tc>
      </w:tr>
      <w:tr>
        <w:trPr/>
        <w:tc>
          <w:tcPr>
            <w:tcW w:w="49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Del Amo Behavioral Health System</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Torrance, California</w:t>
            </w:r>
          </w:p>
        </w:tc>
        <w:tc>
          <w:tcPr>
            <w:tcW w:w="8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166</w:t>
            </w:r>
          </w:p>
        </w:tc>
        <w:tc>
          <w:tcPr>
            <w:tcW w:w="122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Owned</w:t>
            </w:r>
          </w:p>
        </w:tc>
      </w:tr>
      <w:tr>
        <w:trPr/>
        <w:tc>
          <w:tcPr>
            <w:tcW w:w="49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Diamond Grove Center</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Louisville, Mississippi</w:t>
            </w:r>
          </w:p>
        </w:tc>
        <w:tc>
          <w:tcPr>
            <w:tcW w:w="8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61</w:t>
            </w:r>
          </w:p>
        </w:tc>
        <w:tc>
          <w:tcPr>
            <w:tcW w:w="122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Owned</w:t>
            </w:r>
          </w:p>
        </w:tc>
      </w:tr>
    </w:tbl>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8148" w:type="dxa"/>
        <w:jc w:val="left"/>
        <w:tblInd w:w="0" w:type="dxa"/>
        <w:tblLayout w:type="fixed"/>
        <w:tblCellMar>
          <w:top w:w="28" w:type="dxa"/>
          <w:left w:w="28" w:type="dxa"/>
          <w:bottom w:w="28" w:type="dxa"/>
          <w:right w:w="28" w:type="dxa"/>
        </w:tblCellMar>
      </w:tblPr>
      <w:tblGrid>
        <w:gridCol w:w="3565"/>
        <w:gridCol w:w="146"/>
        <w:gridCol w:w="2326"/>
        <w:gridCol w:w="886"/>
        <w:gridCol w:w="1225"/>
      </w:tblGrid>
      <w:tr>
        <w:trPr/>
        <w:tc>
          <w:tcPr>
            <w:tcW w:w="3565"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326" w:type="dxa"/>
            <w:tcBorders/>
            <w:shd w:fill="FFFFFF" w:val="clear"/>
            <w:vAlign w:val="center"/>
          </w:tcPr>
          <w:p>
            <w:pPr>
              <w:pStyle w:val="TableContents"/>
              <w:bidi w:val="0"/>
              <w:spacing w:before="0" w:after="283"/>
              <w:jc w:val="left"/>
              <w:rPr>
                <w:sz w:val="4"/>
                <w:szCs w:val="4"/>
              </w:rPr>
            </w:pPr>
            <w:r>
              <w:rPr>
                <w:sz w:val="4"/>
                <w:szCs w:val="4"/>
              </w:rPr>
            </w:r>
          </w:p>
        </w:tc>
        <w:tc>
          <w:tcPr>
            <w:tcW w:w="886" w:type="dxa"/>
            <w:tcBorders/>
            <w:shd w:fill="FFFFFF" w:val="clear"/>
            <w:vAlign w:val="center"/>
          </w:tcPr>
          <w:p>
            <w:pPr>
              <w:pStyle w:val="TableContents"/>
              <w:bidi w:val="0"/>
              <w:spacing w:before="0" w:after="283"/>
              <w:jc w:val="left"/>
              <w:rPr>
                <w:sz w:val="4"/>
                <w:szCs w:val="4"/>
              </w:rPr>
            </w:pPr>
            <w:r>
              <w:rPr>
                <w:sz w:val="4"/>
                <w:szCs w:val="4"/>
              </w:rPr>
            </w:r>
          </w:p>
        </w:tc>
        <w:tc>
          <w:tcPr>
            <w:tcW w:w="1225" w:type="dxa"/>
            <w:tcBorders/>
            <w:shd w:fill="FFFFFF" w:val="clear"/>
            <w:vAlign w:val="center"/>
          </w:tcPr>
          <w:p>
            <w:pPr>
              <w:pStyle w:val="TableContents"/>
              <w:bidi w:val="0"/>
              <w:spacing w:before="0" w:after="283"/>
              <w:jc w:val="left"/>
              <w:rPr>
                <w:sz w:val="4"/>
                <w:szCs w:val="4"/>
              </w:rPr>
            </w:pPr>
            <w:r>
              <w:rPr>
                <w:sz w:val="4"/>
                <w:szCs w:val="4"/>
              </w:rPr>
            </w:r>
          </w:p>
        </w:tc>
      </w:tr>
      <w:tr>
        <w:trPr/>
        <w:tc>
          <w:tcPr>
            <w:tcW w:w="356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United States: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Name of Facility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b/>
                <w:color w:val="000000"/>
                <w:sz w:val="16"/>
              </w:rPr>
              <w:t>Location</w:t>
            </w:r>
            <w:r>
              <w:rPr>
                <w:rFonts w:ascii="Times New Roman" w:hAnsi="Times New Roman"/>
                <w:color w:val="000000"/>
                <w:sz w:val="16"/>
              </w:rPr>
              <w:t xml:space="preserve"> </w:t>
            </w:r>
          </w:p>
        </w:tc>
        <w:tc>
          <w:tcPr>
            <w:tcW w:w="8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Number of</w:t>
              <w:br/>
              <w:t>Beds</w:t>
            </w:r>
            <w:r>
              <w:rPr>
                <w:rFonts w:ascii="Times New Roman" w:hAnsi="Times New Roman"/>
                <w:color w:val="000000"/>
                <w:sz w:val="16"/>
              </w:rPr>
              <w:t xml:space="preserve"> </w:t>
            </w:r>
          </w:p>
        </w:tc>
        <w:tc>
          <w:tcPr>
            <w:tcW w:w="122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Real</w:t>
              <w:br/>
              <w:t>Property</w:t>
              <w:br/>
              <w:t>Ownership</w:t>
              <w:br/>
              <w:t>Interest</w:t>
            </w:r>
            <w:r>
              <w:rPr>
                <w:rFonts w:ascii="Times New Roman" w:hAnsi="Times New Roman"/>
                <w:color w:val="000000"/>
                <w:sz w:val="16"/>
              </w:rPr>
              <w:t xml:space="preserve"> </w:t>
            </w:r>
          </w:p>
        </w:tc>
      </w:tr>
      <w:tr>
        <w:trPr/>
        <w:tc>
          <w:tcPr>
            <w:tcW w:w="356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Dover Behavioral Health System</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Dover, Delaware</w:t>
            </w:r>
          </w:p>
        </w:tc>
        <w:tc>
          <w:tcPr>
            <w:tcW w:w="8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104</w:t>
            </w:r>
          </w:p>
        </w:tc>
        <w:tc>
          <w:tcPr>
            <w:tcW w:w="122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Owned</w:t>
            </w:r>
          </w:p>
        </w:tc>
      </w:tr>
      <w:tr>
        <w:trPr/>
        <w:tc>
          <w:tcPr>
            <w:tcW w:w="356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El Paso Behavioral Health System</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El Paso, Texas</w:t>
            </w:r>
          </w:p>
        </w:tc>
        <w:tc>
          <w:tcPr>
            <w:tcW w:w="8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166</w:t>
            </w:r>
          </w:p>
        </w:tc>
        <w:tc>
          <w:tcPr>
            <w:tcW w:w="122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Owned</w:t>
            </w:r>
          </w:p>
        </w:tc>
      </w:tr>
      <w:tr>
        <w:trPr/>
        <w:tc>
          <w:tcPr>
            <w:tcW w:w="356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Emerald Coast Behavioral Hospital</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Panama City, Florida</w:t>
            </w:r>
          </w:p>
        </w:tc>
        <w:tc>
          <w:tcPr>
            <w:tcW w:w="8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86</w:t>
            </w:r>
          </w:p>
        </w:tc>
        <w:tc>
          <w:tcPr>
            <w:tcW w:w="122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Owned</w:t>
            </w:r>
          </w:p>
        </w:tc>
      </w:tr>
      <w:tr>
        <w:trPr/>
        <w:tc>
          <w:tcPr>
            <w:tcW w:w="356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Fairfax</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tcBorders/>
            <w:tcMar>
              <w:top w:w="0" w:type="dxa"/>
              <w:left w:w="0" w:type="dxa"/>
              <w:bottom w:w="0" w:type="dxa"/>
              <w:right w:w="0" w:type="dxa"/>
            </w:tcMar>
            <w:vAlign w:val="center"/>
          </w:tcPr>
          <w:p>
            <w:pPr>
              <w:pStyle w:val="TableContents"/>
              <w:bidi w:val="0"/>
              <w:spacing w:before="0" w:after="283"/>
              <w:ind w:left="0" w:right="0" w:firstLine="504"/>
              <w:jc w:val="left"/>
              <w:rPr>
                <w:sz w:val="4"/>
                <w:szCs w:val="4"/>
              </w:rPr>
            </w:pPr>
            <w:r>
              <w:rPr>
                <w:sz w:val="4"/>
                <w:szCs w:val="4"/>
              </w:rPr>
            </w:r>
          </w:p>
        </w:tc>
      </w:tr>
      <w:tr>
        <w:trPr/>
        <w:tc>
          <w:tcPr>
            <w:tcW w:w="3565" w:type="dxa"/>
            <w:tcBorders/>
            <w:tcMar>
              <w:top w:w="0" w:type="dxa"/>
              <w:left w:w="0" w:type="dxa"/>
              <w:bottom w:w="0" w:type="dxa"/>
              <w:right w:w="0" w:type="dxa"/>
            </w:tcMar>
            <w:vAlign w:val="center"/>
          </w:tcPr>
          <w:p>
            <w:pPr>
              <w:pStyle w:val="TableContents"/>
              <w:bidi w:val="0"/>
              <w:spacing w:before="0" w:after="283"/>
              <w:ind w:left="0" w:right="0" w:firstLine="504"/>
              <w:jc w:val="left"/>
              <w:rPr>
                <w:rFonts w:ascii="Times New Roman" w:hAnsi="Times New Roman"/>
                <w:color w:val="000000"/>
                <w:sz w:val="20"/>
              </w:rPr>
            </w:pPr>
            <w:r>
              <w:rPr>
                <w:rFonts w:ascii="Times New Roman" w:hAnsi="Times New Roman"/>
                <w:color w:val="000000"/>
                <w:sz w:val="20"/>
              </w:rPr>
              <w:t>Fairfax Behavioral Health</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Kirkland, Washington</w:t>
            </w:r>
          </w:p>
        </w:tc>
        <w:tc>
          <w:tcPr>
            <w:tcW w:w="8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157</w:t>
            </w:r>
          </w:p>
        </w:tc>
        <w:tc>
          <w:tcPr>
            <w:tcW w:w="1225" w:type="dxa"/>
            <w:tcBorders/>
            <w:tcMar>
              <w:top w:w="0" w:type="dxa"/>
              <w:left w:w="0" w:type="dxa"/>
              <w:bottom w:w="0" w:type="dxa"/>
              <w:right w:w="0" w:type="dxa"/>
            </w:tcMar>
            <w:vAlign w:val="center"/>
          </w:tcPr>
          <w:p>
            <w:pPr>
              <w:pStyle w:val="TableContents"/>
              <w:bidi w:val="0"/>
              <w:spacing w:before="0" w:after="283"/>
              <w:ind w:left="0" w:right="0" w:firstLine="504"/>
              <w:jc w:val="center"/>
              <w:rPr>
                <w:rFonts w:ascii="Times New Roman" w:hAnsi="Times New Roman"/>
                <w:color w:val="000000"/>
                <w:sz w:val="20"/>
              </w:rPr>
            </w:pPr>
            <w:r>
              <w:rPr>
                <w:rFonts w:ascii="Times New Roman" w:hAnsi="Times New Roman"/>
                <w:color w:val="000000"/>
                <w:sz w:val="20"/>
              </w:rPr>
              <w:t>Owned</w:t>
            </w:r>
          </w:p>
        </w:tc>
      </w:tr>
      <w:tr>
        <w:trPr/>
        <w:tc>
          <w:tcPr>
            <w:tcW w:w="3565" w:type="dxa"/>
            <w:tcBorders/>
            <w:tcMar>
              <w:top w:w="0" w:type="dxa"/>
              <w:left w:w="0" w:type="dxa"/>
              <w:bottom w:w="0" w:type="dxa"/>
              <w:right w:w="0" w:type="dxa"/>
            </w:tcMar>
            <w:vAlign w:val="center"/>
          </w:tcPr>
          <w:p>
            <w:pPr>
              <w:pStyle w:val="TableContents"/>
              <w:bidi w:val="0"/>
              <w:spacing w:before="0" w:after="283"/>
              <w:ind w:left="0" w:right="0" w:firstLine="504"/>
              <w:jc w:val="left"/>
              <w:rPr>
                <w:rFonts w:ascii="Times New Roman" w:hAnsi="Times New Roman"/>
                <w:color w:val="000000"/>
                <w:sz w:val="20"/>
              </w:rPr>
            </w:pPr>
            <w:r>
              <w:rPr>
                <w:rFonts w:ascii="Times New Roman" w:hAnsi="Times New Roman"/>
                <w:color w:val="000000"/>
                <w:sz w:val="20"/>
              </w:rPr>
              <w:t>Fairfax Behavioral Health—Everett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Everett, Washington</w:t>
            </w:r>
          </w:p>
        </w:tc>
        <w:tc>
          <w:tcPr>
            <w:tcW w:w="8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30</w:t>
            </w:r>
          </w:p>
        </w:tc>
        <w:tc>
          <w:tcPr>
            <w:tcW w:w="1225" w:type="dxa"/>
            <w:tcBorders/>
            <w:tcMar>
              <w:top w:w="0" w:type="dxa"/>
              <w:left w:w="0" w:type="dxa"/>
              <w:bottom w:w="0" w:type="dxa"/>
              <w:right w:w="0" w:type="dxa"/>
            </w:tcMar>
            <w:vAlign w:val="center"/>
          </w:tcPr>
          <w:p>
            <w:pPr>
              <w:pStyle w:val="TableContents"/>
              <w:bidi w:val="0"/>
              <w:spacing w:before="0" w:after="283"/>
              <w:ind w:left="0" w:right="0" w:firstLine="504"/>
              <w:jc w:val="center"/>
              <w:rPr>
                <w:rFonts w:ascii="Times New Roman" w:hAnsi="Times New Roman"/>
                <w:color w:val="000000"/>
                <w:sz w:val="20"/>
              </w:rPr>
            </w:pPr>
            <w:r>
              <w:rPr>
                <w:rFonts w:ascii="Times New Roman" w:hAnsi="Times New Roman"/>
                <w:color w:val="000000"/>
                <w:sz w:val="20"/>
              </w:rPr>
              <w:t>Leased</w:t>
            </w:r>
          </w:p>
        </w:tc>
      </w:tr>
      <w:tr>
        <w:trPr/>
        <w:tc>
          <w:tcPr>
            <w:tcW w:w="3565" w:type="dxa"/>
            <w:tcBorders/>
            <w:tcMar>
              <w:top w:w="0" w:type="dxa"/>
              <w:left w:w="0" w:type="dxa"/>
              <w:bottom w:w="0" w:type="dxa"/>
              <w:right w:w="0" w:type="dxa"/>
            </w:tcMar>
            <w:vAlign w:val="center"/>
          </w:tcPr>
          <w:p>
            <w:pPr>
              <w:pStyle w:val="TableContents"/>
              <w:bidi w:val="0"/>
              <w:spacing w:before="0" w:after="283"/>
              <w:ind w:left="0" w:right="0" w:firstLine="504"/>
              <w:jc w:val="left"/>
              <w:rPr>
                <w:rFonts w:ascii="Times New Roman" w:hAnsi="Times New Roman"/>
                <w:color w:val="000000"/>
                <w:sz w:val="20"/>
              </w:rPr>
            </w:pPr>
            <w:r>
              <w:rPr>
                <w:rFonts w:ascii="Times New Roman" w:hAnsi="Times New Roman"/>
                <w:color w:val="000000"/>
                <w:sz w:val="20"/>
              </w:rPr>
              <w:t>Fairfax Behavioral Health—Monroe</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Monroe, Washington</w:t>
            </w:r>
          </w:p>
        </w:tc>
        <w:tc>
          <w:tcPr>
            <w:tcW w:w="8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34</w:t>
            </w:r>
          </w:p>
        </w:tc>
        <w:tc>
          <w:tcPr>
            <w:tcW w:w="122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Leased</w:t>
            </w:r>
          </w:p>
        </w:tc>
      </w:tr>
      <w:tr>
        <w:trPr/>
        <w:tc>
          <w:tcPr>
            <w:tcW w:w="356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Fairmount Behavioral Health System</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Philadelphia, Pennsylvania</w:t>
            </w:r>
          </w:p>
        </w:tc>
        <w:tc>
          <w:tcPr>
            <w:tcW w:w="8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239</w:t>
            </w:r>
          </w:p>
        </w:tc>
        <w:tc>
          <w:tcPr>
            <w:tcW w:w="122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Owned</w:t>
            </w:r>
          </w:p>
        </w:tc>
      </w:tr>
      <w:tr>
        <w:trPr/>
        <w:tc>
          <w:tcPr>
            <w:tcW w:w="356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Forest View Hospital</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Grand Rapids, Michigan</w:t>
            </w:r>
          </w:p>
        </w:tc>
        <w:tc>
          <w:tcPr>
            <w:tcW w:w="8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108</w:t>
            </w:r>
          </w:p>
        </w:tc>
        <w:tc>
          <w:tcPr>
            <w:tcW w:w="122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Owned</w:t>
            </w:r>
          </w:p>
        </w:tc>
      </w:tr>
      <w:tr>
        <w:trPr/>
        <w:tc>
          <w:tcPr>
            <w:tcW w:w="356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Fort Lauderdale Behavioral Health Center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Fort Lauderdale, Florida</w:t>
            </w:r>
          </w:p>
        </w:tc>
        <w:tc>
          <w:tcPr>
            <w:tcW w:w="8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182</w:t>
            </w:r>
          </w:p>
        </w:tc>
        <w:tc>
          <w:tcPr>
            <w:tcW w:w="122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Owned</w:t>
            </w:r>
          </w:p>
        </w:tc>
      </w:tr>
      <w:tr>
        <w:trPr/>
        <w:tc>
          <w:tcPr>
            <w:tcW w:w="356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Foundations Behavioral Health</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Doylestown, Pennsylvania</w:t>
            </w:r>
          </w:p>
        </w:tc>
        <w:tc>
          <w:tcPr>
            <w:tcW w:w="8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122</w:t>
            </w:r>
          </w:p>
        </w:tc>
        <w:tc>
          <w:tcPr>
            <w:tcW w:w="122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Leased</w:t>
            </w:r>
          </w:p>
        </w:tc>
      </w:tr>
      <w:tr>
        <w:trPr/>
        <w:tc>
          <w:tcPr>
            <w:tcW w:w="356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Foundations for Living</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Mansfield, Ohio</w:t>
            </w:r>
          </w:p>
        </w:tc>
        <w:tc>
          <w:tcPr>
            <w:tcW w:w="8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84</w:t>
            </w:r>
          </w:p>
        </w:tc>
        <w:tc>
          <w:tcPr>
            <w:tcW w:w="122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Owned</w:t>
            </w:r>
          </w:p>
        </w:tc>
      </w:tr>
      <w:tr>
        <w:trPr/>
        <w:tc>
          <w:tcPr>
            <w:tcW w:w="356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Fox Run Center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 Clairsville, Ohio</w:t>
            </w:r>
          </w:p>
        </w:tc>
        <w:tc>
          <w:tcPr>
            <w:tcW w:w="8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100</w:t>
            </w:r>
          </w:p>
        </w:tc>
        <w:tc>
          <w:tcPr>
            <w:tcW w:w="122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Owned</w:t>
            </w:r>
          </w:p>
        </w:tc>
      </w:tr>
      <w:tr>
        <w:trPr/>
        <w:tc>
          <w:tcPr>
            <w:tcW w:w="356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Fremont Hospital</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Fremont, California</w:t>
            </w:r>
          </w:p>
        </w:tc>
        <w:tc>
          <w:tcPr>
            <w:tcW w:w="8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148</w:t>
            </w:r>
          </w:p>
        </w:tc>
        <w:tc>
          <w:tcPr>
            <w:tcW w:w="122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Owned</w:t>
            </w:r>
          </w:p>
        </w:tc>
      </w:tr>
      <w:tr>
        <w:trPr/>
        <w:tc>
          <w:tcPr>
            <w:tcW w:w="356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Friends Hospital</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Philadelphia, Pennsylvania</w:t>
            </w:r>
          </w:p>
        </w:tc>
        <w:tc>
          <w:tcPr>
            <w:tcW w:w="8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220</w:t>
            </w:r>
          </w:p>
        </w:tc>
        <w:tc>
          <w:tcPr>
            <w:tcW w:w="122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Owned</w:t>
            </w:r>
          </w:p>
        </w:tc>
      </w:tr>
      <w:tr>
        <w:trPr/>
        <w:tc>
          <w:tcPr>
            <w:tcW w:w="356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Fuller Hospital</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Attleboro, Massachusetts</w:t>
            </w:r>
          </w:p>
        </w:tc>
        <w:tc>
          <w:tcPr>
            <w:tcW w:w="8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109</w:t>
            </w:r>
          </w:p>
        </w:tc>
        <w:tc>
          <w:tcPr>
            <w:tcW w:w="122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Owned</w:t>
            </w:r>
          </w:p>
        </w:tc>
      </w:tr>
      <w:tr>
        <w:trPr/>
        <w:tc>
          <w:tcPr>
            <w:tcW w:w="356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Garfield Park Behavioral Hospital</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Chicago, Illinois</w:t>
            </w:r>
          </w:p>
        </w:tc>
        <w:tc>
          <w:tcPr>
            <w:tcW w:w="8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88</w:t>
            </w:r>
          </w:p>
        </w:tc>
        <w:tc>
          <w:tcPr>
            <w:tcW w:w="122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Owned</w:t>
            </w:r>
          </w:p>
        </w:tc>
      </w:tr>
      <w:tr>
        <w:trPr/>
        <w:tc>
          <w:tcPr>
            <w:tcW w:w="356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Glen Oaks Hospital</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Greenville, Texas</w:t>
            </w:r>
          </w:p>
        </w:tc>
        <w:tc>
          <w:tcPr>
            <w:tcW w:w="8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54</w:t>
            </w:r>
          </w:p>
        </w:tc>
        <w:tc>
          <w:tcPr>
            <w:tcW w:w="122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Owned</w:t>
            </w:r>
          </w:p>
        </w:tc>
      </w:tr>
      <w:tr>
        <w:trPr/>
        <w:tc>
          <w:tcPr>
            <w:tcW w:w="356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Granite Hills Hospital</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West Allis, Wisconsin</w:t>
            </w:r>
          </w:p>
        </w:tc>
        <w:tc>
          <w:tcPr>
            <w:tcW w:w="8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120</w:t>
            </w:r>
          </w:p>
        </w:tc>
        <w:tc>
          <w:tcPr>
            <w:tcW w:w="122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Leased</w:t>
            </w:r>
          </w:p>
        </w:tc>
      </w:tr>
      <w:tr>
        <w:trPr/>
        <w:tc>
          <w:tcPr>
            <w:tcW w:w="356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Gulf Coast Treatment Center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Fort Walton Beach, Florida</w:t>
            </w:r>
          </w:p>
        </w:tc>
        <w:tc>
          <w:tcPr>
            <w:tcW w:w="8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28</w:t>
            </w:r>
          </w:p>
        </w:tc>
        <w:tc>
          <w:tcPr>
            <w:tcW w:w="122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Owned</w:t>
            </w:r>
          </w:p>
        </w:tc>
      </w:tr>
      <w:tr>
        <w:trPr/>
        <w:tc>
          <w:tcPr>
            <w:tcW w:w="356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Gulfport Behavioral Health System</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Gulfport, Mississippi</w:t>
            </w:r>
          </w:p>
        </w:tc>
        <w:tc>
          <w:tcPr>
            <w:tcW w:w="8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109</w:t>
            </w:r>
          </w:p>
        </w:tc>
        <w:tc>
          <w:tcPr>
            <w:tcW w:w="122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Owned</w:t>
            </w:r>
          </w:p>
        </w:tc>
      </w:tr>
      <w:tr>
        <w:trPr/>
        <w:tc>
          <w:tcPr>
            <w:tcW w:w="356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Hampton Behavioral Health Center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Westampton, New Jersey</w:t>
            </w:r>
          </w:p>
        </w:tc>
        <w:tc>
          <w:tcPr>
            <w:tcW w:w="8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120</w:t>
            </w:r>
          </w:p>
        </w:tc>
        <w:tc>
          <w:tcPr>
            <w:tcW w:w="122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Owned</w:t>
            </w:r>
          </w:p>
        </w:tc>
      </w:tr>
      <w:tr>
        <w:trPr/>
        <w:tc>
          <w:tcPr>
            <w:tcW w:w="356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Hanover Hill Behavioral Health (19)</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Bethlehem, PA</w:t>
            </w:r>
          </w:p>
        </w:tc>
        <w:tc>
          <w:tcPr>
            <w:tcW w:w="8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144</w:t>
            </w:r>
          </w:p>
        </w:tc>
        <w:tc>
          <w:tcPr>
            <w:tcW w:w="122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Leased</w:t>
            </w:r>
          </w:p>
        </w:tc>
      </w:tr>
      <w:tr>
        <w:trPr/>
        <w:tc>
          <w:tcPr>
            <w:tcW w:w="356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Harbor Point Behavioral Health Center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Portsmouth, Virginia</w:t>
            </w:r>
          </w:p>
        </w:tc>
        <w:tc>
          <w:tcPr>
            <w:tcW w:w="8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186</w:t>
            </w:r>
          </w:p>
        </w:tc>
        <w:tc>
          <w:tcPr>
            <w:tcW w:w="122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Owned</w:t>
            </w:r>
          </w:p>
        </w:tc>
      </w:tr>
      <w:tr>
        <w:trPr/>
        <w:tc>
          <w:tcPr>
            <w:tcW w:w="356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Hartgrove Behavioral Health System</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Chicago, Illinois</w:t>
            </w:r>
          </w:p>
        </w:tc>
        <w:tc>
          <w:tcPr>
            <w:tcW w:w="8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160</w:t>
            </w:r>
          </w:p>
        </w:tc>
        <w:tc>
          <w:tcPr>
            <w:tcW w:w="122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Owned</w:t>
            </w:r>
          </w:p>
        </w:tc>
      </w:tr>
      <w:tr>
        <w:trPr/>
        <w:tc>
          <w:tcPr>
            <w:tcW w:w="356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Havenwyck Hospital</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Auburn Hills, Michigan</w:t>
            </w:r>
          </w:p>
        </w:tc>
        <w:tc>
          <w:tcPr>
            <w:tcW w:w="8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253</w:t>
            </w:r>
          </w:p>
        </w:tc>
        <w:tc>
          <w:tcPr>
            <w:tcW w:w="122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Owned</w:t>
            </w:r>
          </w:p>
        </w:tc>
      </w:tr>
      <w:tr>
        <w:trPr/>
        <w:tc>
          <w:tcPr>
            <w:tcW w:w="356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Heartland Behavioral Health Services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Nevada, Missouri</w:t>
            </w:r>
          </w:p>
        </w:tc>
        <w:tc>
          <w:tcPr>
            <w:tcW w:w="8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111</w:t>
            </w:r>
          </w:p>
        </w:tc>
        <w:tc>
          <w:tcPr>
            <w:tcW w:w="122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Owned</w:t>
            </w:r>
          </w:p>
        </w:tc>
      </w:tr>
      <w:tr>
        <w:trPr/>
        <w:tc>
          <w:tcPr>
            <w:tcW w:w="356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Heritage Oaks Hospital</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Sacramento, California</w:t>
            </w:r>
          </w:p>
        </w:tc>
        <w:tc>
          <w:tcPr>
            <w:tcW w:w="8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125</w:t>
            </w:r>
          </w:p>
        </w:tc>
        <w:tc>
          <w:tcPr>
            <w:tcW w:w="122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Owned</w:t>
            </w:r>
          </w:p>
        </w:tc>
      </w:tr>
      <w:tr>
        <w:trPr/>
        <w:tc>
          <w:tcPr>
            <w:tcW w:w="356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Heritage Oaks Patient Enrichment Center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Sacramento, California</w:t>
            </w:r>
          </w:p>
        </w:tc>
        <w:tc>
          <w:tcPr>
            <w:tcW w:w="8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16</w:t>
            </w:r>
          </w:p>
        </w:tc>
        <w:tc>
          <w:tcPr>
            <w:tcW w:w="122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Owned</w:t>
            </w:r>
          </w:p>
        </w:tc>
      </w:tr>
      <w:tr>
        <w:trPr/>
        <w:tc>
          <w:tcPr>
            <w:tcW w:w="356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Hermitage Hall</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Nashville, Tennessee</w:t>
            </w:r>
          </w:p>
        </w:tc>
        <w:tc>
          <w:tcPr>
            <w:tcW w:w="8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111</w:t>
            </w:r>
          </w:p>
        </w:tc>
        <w:tc>
          <w:tcPr>
            <w:tcW w:w="122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Owned</w:t>
            </w:r>
          </w:p>
        </w:tc>
      </w:tr>
      <w:tr>
        <w:trPr/>
        <w:tc>
          <w:tcPr>
            <w:tcW w:w="356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Hickory Trail Hospital</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DeSoto, Texas</w:t>
            </w:r>
          </w:p>
        </w:tc>
        <w:tc>
          <w:tcPr>
            <w:tcW w:w="8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86</w:t>
            </w:r>
          </w:p>
        </w:tc>
        <w:tc>
          <w:tcPr>
            <w:tcW w:w="122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Owned</w:t>
            </w:r>
          </w:p>
        </w:tc>
      </w:tr>
      <w:tr>
        <w:trPr/>
        <w:tc>
          <w:tcPr>
            <w:tcW w:w="356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Highlands Behavioral Health System</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Littleton, Colorado</w:t>
            </w:r>
          </w:p>
        </w:tc>
        <w:tc>
          <w:tcPr>
            <w:tcW w:w="8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86</w:t>
            </w:r>
          </w:p>
        </w:tc>
        <w:tc>
          <w:tcPr>
            <w:tcW w:w="122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Owned</w:t>
            </w:r>
          </w:p>
        </w:tc>
      </w:tr>
      <w:tr>
        <w:trPr/>
        <w:tc>
          <w:tcPr>
            <w:tcW w:w="356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Hill Crest Behavioral Health Services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Birmingham, Alabama</w:t>
            </w:r>
          </w:p>
        </w:tc>
        <w:tc>
          <w:tcPr>
            <w:tcW w:w="8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221</w:t>
            </w:r>
          </w:p>
        </w:tc>
        <w:tc>
          <w:tcPr>
            <w:tcW w:w="122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Owned</w:t>
            </w:r>
          </w:p>
        </w:tc>
      </w:tr>
      <w:tr>
        <w:trPr/>
        <w:tc>
          <w:tcPr>
            <w:tcW w:w="356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Holly Hill Hospital</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Raleigh, North Carolina</w:t>
            </w:r>
          </w:p>
        </w:tc>
        <w:tc>
          <w:tcPr>
            <w:tcW w:w="8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296</w:t>
            </w:r>
          </w:p>
        </w:tc>
        <w:tc>
          <w:tcPr>
            <w:tcW w:w="122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Owned</w:t>
            </w:r>
          </w:p>
        </w:tc>
      </w:tr>
      <w:tr>
        <w:trPr/>
        <w:tc>
          <w:tcPr>
            <w:tcW w:w="356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 Horsham Clinic</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Ambler, Pennsylvania</w:t>
            </w:r>
          </w:p>
        </w:tc>
        <w:tc>
          <w:tcPr>
            <w:tcW w:w="8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206</w:t>
            </w:r>
          </w:p>
        </w:tc>
        <w:tc>
          <w:tcPr>
            <w:tcW w:w="122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Owned</w:t>
            </w:r>
          </w:p>
        </w:tc>
      </w:tr>
      <w:tr>
        <w:trPr/>
        <w:tc>
          <w:tcPr>
            <w:tcW w:w="356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HRI Hospital</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Brookline, Massachusetts</w:t>
            </w:r>
          </w:p>
        </w:tc>
        <w:tc>
          <w:tcPr>
            <w:tcW w:w="8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66</w:t>
            </w:r>
          </w:p>
        </w:tc>
        <w:tc>
          <w:tcPr>
            <w:tcW w:w="122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Owned</w:t>
            </w:r>
          </w:p>
        </w:tc>
      </w:tr>
      <w:tr>
        <w:trPr/>
        <w:tc>
          <w:tcPr>
            <w:tcW w:w="356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 Hughes Center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Danville, Virginia</w:t>
            </w:r>
          </w:p>
        </w:tc>
        <w:tc>
          <w:tcPr>
            <w:tcW w:w="8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96</w:t>
            </w:r>
          </w:p>
        </w:tc>
        <w:tc>
          <w:tcPr>
            <w:tcW w:w="122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Owned</w:t>
            </w:r>
          </w:p>
        </w:tc>
      </w:tr>
      <w:tr>
        <w:trPr/>
        <w:tc>
          <w:tcPr>
            <w:tcW w:w="356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Inland Northwest Behavioral Health (9)</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Spokane, Washington</w:t>
            </w:r>
          </w:p>
        </w:tc>
        <w:tc>
          <w:tcPr>
            <w:tcW w:w="8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100</w:t>
            </w:r>
          </w:p>
        </w:tc>
        <w:tc>
          <w:tcPr>
            <w:tcW w:w="122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Owned</w:t>
            </w:r>
          </w:p>
        </w:tc>
      </w:tr>
      <w:tr>
        <w:trPr/>
        <w:tc>
          <w:tcPr>
            <w:tcW w:w="356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Intermountain Hospital</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Boise, Idaho</w:t>
            </w:r>
          </w:p>
        </w:tc>
        <w:tc>
          <w:tcPr>
            <w:tcW w:w="8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155</w:t>
            </w:r>
          </w:p>
        </w:tc>
        <w:tc>
          <w:tcPr>
            <w:tcW w:w="122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Owned</w:t>
            </w:r>
          </w:p>
        </w:tc>
      </w:tr>
      <w:tr>
        <w:trPr/>
        <w:tc>
          <w:tcPr>
            <w:tcW w:w="356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Kempsville Center for Behavioral Health</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Norfolk, Virginia</w:t>
            </w:r>
          </w:p>
        </w:tc>
        <w:tc>
          <w:tcPr>
            <w:tcW w:w="8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106</w:t>
            </w:r>
          </w:p>
        </w:tc>
        <w:tc>
          <w:tcPr>
            <w:tcW w:w="122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Owned</w:t>
            </w:r>
          </w:p>
        </w:tc>
      </w:tr>
      <w:tr>
        <w:trPr/>
        <w:tc>
          <w:tcPr>
            <w:tcW w:w="356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KeyStone Center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Chester, Pennsylvania</w:t>
            </w:r>
          </w:p>
        </w:tc>
        <w:tc>
          <w:tcPr>
            <w:tcW w:w="8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153</w:t>
            </w:r>
          </w:p>
        </w:tc>
        <w:tc>
          <w:tcPr>
            <w:tcW w:w="122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Owned</w:t>
            </w:r>
          </w:p>
        </w:tc>
      </w:tr>
      <w:tr>
        <w:trPr/>
        <w:tc>
          <w:tcPr>
            <w:tcW w:w="356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Kingwood Pines Hospital</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Kingwood, Texas</w:t>
            </w:r>
          </w:p>
        </w:tc>
        <w:tc>
          <w:tcPr>
            <w:tcW w:w="8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116</w:t>
            </w:r>
          </w:p>
        </w:tc>
        <w:tc>
          <w:tcPr>
            <w:tcW w:w="122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Owned</w:t>
            </w:r>
          </w:p>
        </w:tc>
      </w:tr>
      <w:tr>
        <w:trPr/>
        <w:tc>
          <w:tcPr>
            <w:tcW w:w="356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 Amistad Behavioral Health Services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Maitland, Florida</w:t>
            </w:r>
          </w:p>
        </w:tc>
        <w:tc>
          <w:tcPr>
            <w:tcW w:w="8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85</w:t>
            </w:r>
          </w:p>
        </w:tc>
        <w:tc>
          <w:tcPr>
            <w:tcW w:w="122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Owned</w:t>
            </w:r>
          </w:p>
        </w:tc>
      </w:tr>
      <w:tr>
        <w:trPr/>
        <w:tc>
          <w:tcPr>
            <w:tcW w:w="356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Lakeside Behavioral Health System</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Memphis, Tennessee</w:t>
            </w:r>
          </w:p>
        </w:tc>
        <w:tc>
          <w:tcPr>
            <w:tcW w:w="8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373</w:t>
            </w:r>
          </w:p>
        </w:tc>
        <w:tc>
          <w:tcPr>
            <w:tcW w:w="122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Owned</w:t>
            </w:r>
          </w:p>
        </w:tc>
      </w:tr>
      <w:tr>
        <w:trPr/>
        <w:tc>
          <w:tcPr>
            <w:tcW w:w="356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Lancaster Behavioral Health Hospital (8)</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Lancaster, Pennsylvania</w:t>
            </w:r>
          </w:p>
        </w:tc>
        <w:tc>
          <w:tcPr>
            <w:tcW w:w="8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126</w:t>
            </w:r>
          </w:p>
        </w:tc>
        <w:tc>
          <w:tcPr>
            <w:tcW w:w="122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Owned</w:t>
            </w:r>
          </w:p>
        </w:tc>
      </w:tr>
      <w:tr>
        <w:trPr/>
        <w:tc>
          <w:tcPr>
            <w:tcW w:w="356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Laurel Heights Hospital</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Atlanta, Georgia</w:t>
            </w:r>
          </w:p>
        </w:tc>
        <w:tc>
          <w:tcPr>
            <w:tcW w:w="8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132</w:t>
            </w:r>
          </w:p>
        </w:tc>
        <w:tc>
          <w:tcPr>
            <w:tcW w:w="122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Owned</w:t>
            </w:r>
          </w:p>
        </w:tc>
      </w:tr>
      <w:tr>
        <w:trPr/>
        <w:tc>
          <w:tcPr>
            <w:tcW w:w="356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Laurel Oaks Behavioral Health Center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Dothan, Alabama</w:t>
            </w:r>
          </w:p>
        </w:tc>
        <w:tc>
          <w:tcPr>
            <w:tcW w:w="8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118</w:t>
            </w:r>
          </w:p>
        </w:tc>
        <w:tc>
          <w:tcPr>
            <w:tcW w:w="122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Owned</w:t>
            </w:r>
          </w:p>
        </w:tc>
      </w:tr>
      <w:tr>
        <w:trPr/>
        <w:tc>
          <w:tcPr>
            <w:tcW w:w="356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Laurel Ridge Treatment Center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San Antonio, Texas</w:t>
            </w:r>
          </w:p>
        </w:tc>
        <w:tc>
          <w:tcPr>
            <w:tcW w:w="8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330</w:t>
            </w:r>
          </w:p>
        </w:tc>
        <w:tc>
          <w:tcPr>
            <w:tcW w:w="122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Owned</w:t>
            </w:r>
          </w:p>
        </w:tc>
      </w:tr>
      <w:tr>
        <w:trPr/>
        <w:tc>
          <w:tcPr>
            <w:tcW w:w="356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Liberty Point Behavioral Healthcare</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Stauton, Virginia</w:t>
            </w:r>
          </w:p>
        </w:tc>
        <w:tc>
          <w:tcPr>
            <w:tcW w:w="8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42</w:t>
            </w:r>
          </w:p>
        </w:tc>
        <w:tc>
          <w:tcPr>
            <w:tcW w:w="122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Owned</w:t>
            </w:r>
          </w:p>
        </w:tc>
      </w:tr>
      <w:tr>
        <w:trPr/>
        <w:tc>
          <w:tcPr>
            <w:tcW w:w="356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Lighthouse Behavioral Health Hospital</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Conway, South Carolina</w:t>
            </w:r>
          </w:p>
        </w:tc>
        <w:tc>
          <w:tcPr>
            <w:tcW w:w="8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105</w:t>
            </w:r>
          </w:p>
        </w:tc>
        <w:tc>
          <w:tcPr>
            <w:tcW w:w="122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Owned</w:t>
            </w:r>
          </w:p>
        </w:tc>
      </w:tr>
      <w:tr>
        <w:trPr/>
        <w:tc>
          <w:tcPr>
            <w:tcW w:w="356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Lighthouse Care Center of Augusta</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Augusta, Georgia</w:t>
            </w:r>
          </w:p>
        </w:tc>
        <w:tc>
          <w:tcPr>
            <w:tcW w:w="8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82</w:t>
            </w:r>
          </w:p>
        </w:tc>
        <w:tc>
          <w:tcPr>
            <w:tcW w:w="122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Owned</w:t>
            </w:r>
          </w:p>
        </w:tc>
      </w:tr>
      <w:tr>
        <w:trPr/>
        <w:tc>
          <w:tcPr>
            <w:tcW w:w="356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Lincoln Prairie Behavioral Health Center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Springfield, Illinois</w:t>
            </w:r>
          </w:p>
        </w:tc>
        <w:tc>
          <w:tcPr>
            <w:tcW w:w="8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97</w:t>
            </w:r>
          </w:p>
        </w:tc>
        <w:tc>
          <w:tcPr>
            <w:tcW w:w="122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Owned</w:t>
            </w:r>
          </w:p>
        </w:tc>
      </w:tr>
      <w:tr>
        <w:trPr/>
        <w:tc>
          <w:tcPr>
            <w:tcW w:w="356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Lincoln Trail Behavioral Health System</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Radcliff, Kentucky</w:t>
            </w:r>
          </w:p>
        </w:tc>
        <w:tc>
          <w:tcPr>
            <w:tcW w:w="8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140</w:t>
            </w:r>
          </w:p>
        </w:tc>
        <w:tc>
          <w:tcPr>
            <w:tcW w:w="122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Owned</w:t>
            </w:r>
          </w:p>
        </w:tc>
      </w:tr>
      <w:tr>
        <w:trPr/>
        <w:tc>
          <w:tcPr>
            <w:tcW w:w="356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McDowell Center for Children</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Dyersburg, Tennessee</w:t>
            </w:r>
          </w:p>
        </w:tc>
        <w:tc>
          <w:tcPr>
            <w:tcW w:w="8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28</w:t>
            </w:r>
          </w:p>
        </w:tc>
        <w:tc>
          <w:tcPr>
            <w:tcW w:w="122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Owned</w:t>
            </w:r>
          </w:p>
        </w:tc>
      </w:tr>
      <w:tr>
        <w:trPr/>
        <w:tc>
          <w:tcPr>
            <w:tcW w:w="356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 Meadows Psychiatric Center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Centre Hall, Pennsylvania</w:t>
            </w:r>
          </w:p>
        </w:tc>
        <w:tc>
          <w:tcPr>
            <w:tcW w:w="8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119</w:t>
            </w:r>
          </w:p>
        </w:tc>
        <w:tc>
          <w:tcPr>
            <w:tcW w:w="122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Owned</w:t>
            </w:r>
          </w:p>
        </w:tc>
      </w:tr>
    </w:tbl>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9573" w:type="dxa"/>
        <w:jc w:val="left"/>
        <w:tblInd w:w="0" w:type="dxa"/>
        <w:tblLayout w:type="fixed"/>
        <w:tblCellMar>
          <w:top w:w="28" w:type="dxa"/>
          <w:left w:w="28" w:type="dxa"/>
          <w:bottom w:w="28" w:type="dxa"/>
          <w:right w:w="28" w:type="dxa"/>
        </w:tblCellMar>
      </w:tblPr>
      <w:tblGrid>
        <w:gridCol w:w="4495"/>
        <w:gridCol w:w="146"/>
        <w:gridCol w:w="2821"/>
        <w:gridCol w:w="886"/>
        <w:gridCol w:w="1225"/>
      </w:tblGrid>
      <w:tr>
        <w:trPr/>
        <w:tc>
          <w:tcPr>
            <w:tcW w:w="4495"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821" w:type="dxa"/>
            <w:tcBorders/>
            <w:shd w:fill="FFFFFF" w:val="clear"/>
            <w:vAlign w:val="center"/>
          </w:tcPr>
          <w:p>
            <w:pPr>
              <w:pStyle w:val="TableContents"/>
              <w:bidi w:val="0"/>
              <w:spacing w:before="0" w:after="283"/>
              <w:jc w:val="left"/>
              <w:rPr>
                <w:sz w:val="4"/>
                <w:szCs w:val="4"/>
              </w:rPr>
            </w:pPr>
            <w:r>
              <w:rPr>
                <w:sz w:val="4"/>
                <w:szCs w:val="4"/>
              </w:rPr>
            </w:r>
          </w:p>
        </w:tc>
        <w:tc>
          <w:tcPr>
            <w:tcW w:w="886" w:type="dxa"/>
            <w:tcBorders/>
            <w:shd w:fill="FFFFFF" w:val="clear"/>
            <w:vAlign w:val="center"/>
          </w:tcPr>
          <w:p>
            <w:pPr>
              <w:pStyle w:val="TableContents"/>
              <w:bidi w:val="0"/>
              <w:spacing w:before="0" w:after="283"/>
              <w:jc w:val="left"/>
              <w:rPr>
                <w:sz w:val="4"/>
                <w:szCs w:val="4"/>
              </w:rPr>
            </w:pPr>
            <w:r>
              <w:rPr>
                <w:sz w:val="4"/>
                <w:szCs w:val="4"/>
              </w:rPr>
            </w:r>
          </w:p>
        </w:tc>
        <w:tc>
          <w:tcPr>
            <w:tcW w:w="1225" w:type="dxa"/>
            <w:tcBorders/>
            <w:shd w:fill="FFFFFF" w:val="clear"/>
            <w:vAlign w:val="center"/>
          </w:tcPr>
          <w:p>
            <w:pPr>
              <w:pStyle w:val="TableContents"/>
              <w:bidi w:val="0"/>
              <w:spacing w:before="0" w:after="283"/>
              <w:jc w:val="left"/>
              <w:rPr>
                <w:sz w:val="4"/>
                <w:szCs w:val="4"/>
              </w:rPr>
            </w:pPr>
            <w:r>
              <w:rPr>
                <w:sz w:val="4"/>
                <w:szCs w:val="4"/>
              </w:rPr>
            </w:r>
          </w:p>
        </w:tc>
      </w:tr>
      <w:tr>
        <w:trPr/>
        <w:tc>
          <w:tcPr>
            <w:tcW w:w="449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United States: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Name of Facility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b/>
                <w:color w:val="000000"/>
                <w:sz w:val="16"/>
              </w:rPr>
              <w:t>Location</w:t>
            </w:r>
            <w:r>
              <w:rPr>
                <w:rFonts w:ascii="Times New Roman" w:hAnsi="Times New Roman"/>
                <w:color w:val="000000"/>
                <w:sz w:val="16"/>
              </w:rPr>
              <w:t xml:space="preserve"> </w:t>
            </w:r>
          </w:p>
        </w:tc>
        <w:tc>
          <w:tcPr>
            <w:tcW w:w="8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Number of</w:t>
              <w:br/>
              <w:t>Beds</w:t>
            </w:r>
            <w:r>
              <w:rPr>
                <w:rFonts w:ascii="Times New Roman" w:hAnsi="Times New Roman"/>
                <w:color w:val="000000"/>
                <w:sz w:val="16"/>
              </w:rPr>
              <w:t xml:space="preserve"> </w:t>
            </w:r>
          </w:p>
        </w:tc>
        <w:tc>
          <w:tcPr>
            <w:tcW w:w="122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Real</w:t>
              <w:br/>
              <w:t>Property</w:t>
              <w:br/>
              <w:t>Ownership</w:t>
              <w:br/>
              <w:t>Interest</w:t>
            </w:r>
            <w:r>
              <w:rPr>
                <w:rFonts w:ascii="Times New Roman" w:hAnsi="Times New Roman"/>
                <w:color w:val="000000"/>
                <w:sz w:val="16"/>
              </w:rPr>
              <w:t xml:space="preserve"> </w:t>
            </w:r>
          </w:p>
        </w:tc>
      </w:tr>
      <w:tr>
        <w:trPr/>
        <w:tc>
          <w:tcPr>
            <w:tcW w:w="449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Meridell Achievement Center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Liberty Hill, Texas</w:t>
            </w:r>
          </w:p>
        </w:tc>
        <w:tc>
          <w:tcPr>
            <w:tcW w:w="8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134</w:t>
            </w:r>
          </w:p>
        </w:tc>
        <w:tc>
          <w:tcPr>
            <w:tcW w:w="122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Owned</w:t>
            </w:r>
          </w:p>
        </w:tc>
      </w:tr>
      <w:tr>
        <w:trPr/>
        <w:tc>
          <w:tcPr>
            <w:tcW w:w="449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Mesilla Valley Hospital</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Las Cruces, New Mexico</w:t>
            </w:r>
          </w:p>
        </w:tc>
        <w:tc>
          <w:tcPr>
            <w:tcW w:w="8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120</w:t>
            </w:r>
          </w:p>
        </w:tc>
        <w:tc>
          <w:tcPr>
            <w:tcW w:w="122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Owned</w:t>
            </w:r>
          </w:p>
        </w:tc>
      </w:tr>
      <w:tr>
        <w:trPr/>
        <w:tc>
          <w:tcPr>
            <w:tcW w:w="449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Metropolitan Behavioral Health (15)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8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Dearborn, MI</w:t>
            </w:r>
          </w:p>
        </w:tc>
        <w:tc>
          <w:tcPr>
            <w:tcW w:w="8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144</w:t>
            </w:r>
          </w:p>
        </w:tc>
        <w:tc>
          <w:tcPr>
            <w:tcW w:w="122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Leased</w:t>
            </w:r>
          </w:p>
        </w:tc>
      </w:tr>
      <w:tr>
        <w:trPr/>
        <w:tc>
          <w:tcPr>
            <w:tcW w:w="449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Michael’s House</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Palm Springs, California</w:t>
            </w:r>
          </w:p>
        </w:tc>
        <w:tc>
          <w:tcPr>
            <w:tcW w:w="8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60</w:t>
            </w:r>
          </w:p>
        </w:tc>
        <w:tc>
          <w:tcPr>
            <w:tcW w:w="122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Owned</w:t>
            </w:r>
          </w:p>
        </w:tc>
      </w:tr>
      <w:tr>
        <w:trPr/>
        <w:tc>
          <w:tcPr>
            <w:tcW w:w="449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Michiana Behavioral Health</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Plymouth, Indiana</w:t>
            </w:r>
          </w:p>
        </w:tc>
        <w:tc>
          <w:tcPr>
            <w:tcW w:w="8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83</w:t>
            </w:r>
          </w:p>
        </w:tc>
        <w:tc>
          <w:tcPr>
            <w:tcW w:w="122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Owned</w:t>
            </w:r>
          </w:p>
        </w:tc>
      </w:tr>
      <w:tr>
        <w:trPr/>
        <w:tc>
          <w:tcPr>
            <w:tcW w:w="449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Midwest Center for Youth and Families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Kouts, Indiana</w:t>
            </w:r>
          </w:p>
        </w:tc>
        <w:tc>
          <w:tcPr>
            <w:tcW w:w="8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75</w:t>
            </w:r>
          </w:p>
        </w:tc>
        <w:tc>
          <w:tcPr>
            <w:tcW w:w="122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Owned</w:t>
            </w:r>
          </w:p>
        </w:tc>
      </w:tr>
      <w:tr>
        <w:trPr/>
        <w:tc>
          <w:tcPr>
            <w:tcW w:w="449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Millwood Hospital</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Arlington, Texas</w:t>
            </w:r>
          </w:p>
        </w:tc>
        <w:tc>
          <w:tcPr>
            <w:tcW w:w="8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134</w:t>
            </w:r>
          </w:p>
        </w:tc>
        <w:tc>
          <w:tcPr>
            <w:tcW w:w="122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Leased</w:t>
            </w:r>
          </w:p>
        </w:tc>
      </w:tr>
      <w:tr>
        <w:trPr/>
        <w:tc>
          <w:tcPr>
            <w:tcW w:w="449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Mountain Youth Academy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Mountain City, Tennessee</w:t>
            </w:r>
          </w:p>
        </w:tc>
        <w:tc>
          <w:tcPr>
            <w:tcW w:w="8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120</w:t>
            </w:r>
          </w:p>
        </w:tc>
        <w:tc>
          <w:tcPr>
            <w:tcW w:w="122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Owned</w:t>
            </w:r>
          </w:p>
        </w:tc>
      </w:tr>
      <w:tr>
        <w:trPr/>
        <w:tc>
          <w:tcPr>
            <w:tcW w:w="449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Newport News Behavioral Health Center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Newport News, Virginia</w:t>
            </w:r>
          </w:p>
        </w:tc>
        <w:tc>
          <w:tcPr>
            <w:tcW w:w="8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132</w:t>
            </w:r>
          </w:p>
        </w:tc>
        <w:tc>
          <w:tcPr>
            <w:tcW w:w="122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Owned</w:t>
            </w:r>
          </w:p>
        </w:tc>
      </w:tr>
      <w:tr>
        <w:trPr/>
        <w:tc>
          <w:tcPr>
            <w:tcW w:w="449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North Spring Behavioral Healthcare</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Leesburg, Virginia</w:t>
            </w:r>
          </w:p>
        </w:tc>
        <w:tc>
          <w:tcPr>
            <w:tcW w:w="8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129</w:t>
            </w:r>
          </w:p>
        </w:tc>
        <w:tc>
          <w:tcPr>
            <w:tcW w:w="122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Leased</w:t>
            </w:r>
          </w:p>
        </w:tc>
      </w:tr>
      <w:tr>
        <w:trPr/>
        <w:tc>
          <w:tcPr>
            <w:tcW w:w="449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North Star Hospital</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Anchorage, Alaska</w:t>
            </w:r>
          </w:p>
        </w:tc>
        <w:tc>
          <w:tcPr>
            <w:tcW w:w="8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74</w:t>
            </w:r>
          </w:p>
        </w:tc>
        <w:tc>
          <w:tcPr>
            <w:tcW w:w="1225" w:type="dxa"/>
            <w:tcBorders/>
            <w:tcMar>
              <w:top w:w="0" w:type="dxa"/>
              <w:left w:w="0" w:type="dxa"/>
              <w:bottom w:w="0" w:type="dxa"/>
              <w:right w:w="0" w:type="dxa"/>
            </w:tcMar>
            <w:vAlign w:val="center"/>
          </w:tcPr>
          <w:p>
            <w:pPr>
              <w:pStyle w:val="TableContents"/>
              <w:bidi w:val="0"/>
              <w:spacing w:before="0" w:after="283"/>
              <w:ind w:left="0" w:right="0" w:firstLine="504"/>
              <w:jc w:val="center"/>
              <w:rPr>
                <w:rFonts w:ascii="Times New Roman" w:hAnsi="Times New Roman"/>
                <w:color w:val="000000"/>
                <w:sz w:val="20"/>
              </w:rPr>
            </w:pPr>
            <w:r>
              <w:rPr>
                <w:rFonts w:ascii="Times New Roman" w:hAnsi="Times New Roman"/>
                <w:color w:val="000000"/>
                <w:sz w:val="20"/>
              </w:rPr>
              <w:t>Owned</w:t>
            </w:r>
          </w:p>
        </w:tc>
      </w:tr>
      <w:tr>
        <w:trPr/>
        <w:tc>
          <w:tcPr>
            <w:tcW w:w="4495" w:type="dxa"/>
            <w:tcBorders/>
            <w:tcMar>
              <w:top w:w="0" w:type="dxa"/>
              <w:left w:w="0" w:type="dxa"/>
              <w:bottom w:w="0" w:type="dxa"/>
              <w:right w:w="0" w:type="dxa"/>
            </w:tcMar>
            <w:vAlign w:val="center"/>
          </w:tcPr>
          <w:p>
            <w:pPr>
              <w:pStyle w:val="TableContents"/>
              <w:bidi w:val="0"/>
              <w:spacing w:before="0" w:after="283"/>
              <w:ind w:left="0" w:right="0" w:firstLine="504"/>
              <w:jc w:val="left"/>
              <w:rPr>
                <w:rFonts w:ascii="Times New Roman" w:hAnsi="Times New Roman"/>
                <w:color w:val="000000"/>
                <w:sz w:val="20"/>
              </w:rPr>
            </w:pPr>
            <w:r>
              <w:rPr>
                <w:rFonts w:ascii="Times New Roman" w:hAnsi="Times New Roman"/>
                <w:color w:val="000000"/>
                <w:sz w:val="20"/>
              </w:rPr>
              <w:t>Chris Kyle Patriots Hospital</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Anchorage, Alaska</w:t>
            </w:r>
          </w:p>
        </w:tc>
        <w:tc>
          <w:tcPr>
            <w:tcW w:w="8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66</w:t>
            </w:r>
          </w:p>
        </w:tc>
        <w:tc>
          <w:tcPr>
            <w:tcW w:w="1225" w:type="dxa"/>
            <w:tcBorders/>
            <w:tcMar>
              <w:top w:w="0" w:type="dxa"/>
              <w:left w:w="0" w:type="dxa"/>
              <w:bottom w:w="0" w:type="dxa"/>
              <w:right w:w="0" w:type="dxa"/>
            </w:tcMar>
            <w:vAlign w:val="center"/>
          </w:tcPr>
          <w:p>
            <w:pPr>
              <w:pStyle w:val="TableContents"/>
              <w:bidi w:val="0"/>
              <w:spacing w:before="0" w:after="283"/>
              <w:ind w:left="0" w:right="0" w:firstLine="504"/>
              <w:jc w:val="center"/>
              <w:rPr>
                <w:rFonts w:ascii="Times New Roman" w:hAnsi="Times New Roman"/>
                <w:color w:val="000000"/>
                <w:sz w:val="20"/>
              </w:rPr>
            </w:pPr>
            <w:r>
              <w:rPr>
                <w:rFonts w:ascii="Times New Roman" w:hAnsi="Times New Roman"/>
                <w:color w:val="000000"/>
                <w:sz w:val="20"/>
              </w:rPr>
              <w:t>Owned</w:t>
            </w:r>
          </w:p>
        </w:tc>
      </w:tr>
      <w:tr>
        <w:trPr/>
        <w:tc>
          <w:tcPr>
            <w:tcW w:w="4495" w:type="dxa"/>
            <w:tcBorders/>
            <w:tcMar>
              <w:top w:w="0" w:type="dxa"/>
              <w:left w:w="0" w:type="dxa"/>
              <w:bottom w:w="0" w:type="dxa"/>
              <w:right w:w="0" w:type="dxa"/>
            </w:tcMar>
            <w:vAlign w:val="center"/>
          </w:tcPr>
          <w:p>
            <w:pPr>
              <w:pStyle w:val="TableContents"/>
              <w:bidi w:val="0"/>
              <w:spacing w:before="0" w:after="283"/>
              <w:ind w:left="0" w:right="0" w:firstLine="504"/>
              <w:jc w:val="left"/>
              <w:rPr>
                <w:rFonts w:ascii="Times New Roman" w:hAnsi="Times New Roman"/>
                <w:color w:val="000000"/>
                <w:sz w:val="20"/>
              </w:rPr>
            </w:pPr>
            <w:r>
              <w:rPr>
                <w:rFonts w:ascii="Times New Roman" w:hAnsi="Times New Roman"/>
                <w:color w:val="000000"/>
                <w:sz w:val="20"/>
              </w:rPr>
              <w:t>North Star DeBarr Residential Treatment Center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Anchorage, Alaska</w:t>
            </w:r>
          </w:p>
        </w:tc>
        <w:tc>
          <w:tcPr>
            <w:tcW w:w="8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30</w:t>
            </w:r>
          </w:p>
        </w:tc>
        <w:tc>
          <w:tcPr>
            <w:tcW w:w="1225" w:type="dxa"/>
            <w:tcBorders/>
            <w:tcMar>
              <w:top w:w="0" w:type="dxa"/>
              <w:left w:w="0" w:type="dxa"/>
              <w:bottom w:w="0" w:type="dxa"/>
              <w:right w:w="0" w:type="dxa"/>
            </w:tcMar>
            <w:vAlign w:val="center"/>
          </w:tcPr>
          <w:p>
            <w:pPr>
              <w:pStyle w:val="TableContents"/>
              <w:bidi w:val="0"/>
              <w:spacing w:before="0" w:after="283"/>
              <w:ind w:left="0" w:right="0" w:firstLine="504"/>
              <w:jc w:val="center"/>
              <w:rPr>
                <w:rFonts w:ascii="Times New Roman" w:hAnsi="Times New Roman"/>
                <w:color w:val="000000"/>
                <w:sz w:val="20"/>
              </w:rPr>
            </w:pPr>
            <w:r>
              <w:rPr>
                <w:rFonts w:ascii="Times New Roman" w:hAnsi="Times New Roman"/>
                <w:color w:val="000000"/>
                <w:sz w:val="20"/>
              </w:rPr>
              <w:t>Owned</w:t>
            </w:r>
          </w:p>
        </w:tc>
      </w:tr>
      <w:tr>
        <w:trPr/>
        <w:tc>
          <w:tcPr>
            <w:tcW w:w="4495" w:type="dxa"/>
            <w:tcBorders/>
            <w:tcMar>
              <w:top w:w="0" w:type="dxa"/>
              <w:left w:w="0" w:type="dxa"/>
              <w:bottom w:w="0" w:type="dxa"/>
              <w:right w:w="0" w:type="dxa"/>
            </w:tcMar>
            <w:vAlign w:val="center"/>
          </w:tcPr>
          <w:p>
            <w:pPr>
              <w:pStyle w:val="TableContents"/>
              <w:bidi w:val="0"/>
              <w:spacing w:before="0" w:after="283"/>
              <w:ind w:left="0" w:right="0" w:firstLine="504"/>
              <w:jc w:val="left"/>
              <w:rPr>
                <w:rFonts w:ascii="Times New Roman" w:hAnsi="Times New Roman"/>
                <w:color w:val="000000"/>
                <w:sz w:val="20"/>
              </w:rPr>
            </w:pPr>
            <w:r>
              <w:rPr>
                <w:rFonts w:ascii="Times New Roman" w:hAnsi="Times New Roman"/>
                <w:color w:val="000000"/>
                <w:sz w:val="20"/>
              </w:rPr>
              <w:t>North Star Palmer Residential Treatment Center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Palmer, Alaska</w:t>
            </w:r>
          </w:p>
        </w:tc>
        <w:tc>
          <w:tcPr>
            <w:tcW w:w="8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30</w:t>
            </w:r>
          </w:p>
        </w:tc>
        <w:tc>
          <w:tcPr>
            <w:tcW w:w="122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Owned</w:t>
            </w:r>
          </w:p>
        </w:tc>
      </w:tr>
      <w:tr>
        <w:trPr/>
        <w:tc>
          <w:tcPr>
            <w:tcW w:w="449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Oak Plains Academy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Ashland City, Tennessee</w:t>
            </w:r>
          </w:p>
        </w:tc>
        <w:tc>
          <w:tcPr>
            <w:tcW w:w="8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60</w:t>
            </w:r>
          </w:p>
        </w:tc>
        <w:tc>
          <w:tcPr>
            <w:tcW w:w="122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Owned</w:t>
            </w:r>
          </w:p>
        </w:tc>
      </w:tr>
      <w:tr>
        <w:trPr/>
        <w:tc>
          <w:tcPr>
            <w:tcW w:w="449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Okaloosa Youth Academy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Crestview, Florida</w:t>
            </w:r>
          </w:p>
        </w:tc>
        <w:tc>
          <w:tcPr>
            <w:tcW w:w="8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77</w:t>
            </w:r>
          </w:p>
        </w:tc>
        <w:tc>
          <w:tcPr>
            <w:tcW w:w="122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Leased</w:t>
            </w:r>
          </w:p>
        </w:tc>
      </w:tr>
      <w:tr>
        <w:trPr/>
        <w:tc>
          <w:tcPr>
            <w:tcW w:w="449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Old Vineyard Behavioral Health Services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Winston-Salem, North Carolina</w:t>
            </w:r>
          </w:p>
        </w:tc>
        <w:tc>
          <w:tcPr>
            <w:tcW w:w="8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164</w:t>
            </w:r>
          </w:p>
        </w:tc>
        <w:tc>
          <w:tcPr>
            <w:tcW w:w="122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Owned</w:t>
            </w:r>
          </w:p>
        </w:tc>
      </w:tr>
      <w:tr>
        <w:trPr/>
        <w:tc>
          <w:tcPr>
            <w:tcW w:w="449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Palm Point Behavioral Health</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Titusville, FL</w:t>
            </w:r>
          </w:p>
        </w:tc>
        <w:tc>
          <w:tcPr>
            <w:tcW w:w="8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74</w:t>
            </w:r>
          </w:p>
        </w:tc>
        <w:tc>
          <w:tcPr>
            <w:tcW w:w="122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Owned</w:t>
            </w:r>
          </w:p>
        </w:tc>
      </w:tr>
      <w:tr>
        <w:trPr/>
        <w:tc>
          <w:tcPr>
            <w:tcW w:w="449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Palm Shores Behavioral Health Center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Bradenton, Florida</w:t>
            </w:r>
          </w:p>
        </w:tc>
        <w:tc>
          <w:tcPr>
            <w:tcW w:w="8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65</w:t>
            </w:r>
          </w:p>
        </w:tc>
        <w:tc>
          <w:tcPr>
            <w:tcW w:w="122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Owned</w:t>
            </w:r>
          </w:p>
        </w:tc>
      </w:tr>
      <w:tr>
        <w:trPr/>
        <w:tc>
          <w:tcPr>
            <w:tcW w:w="449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Palmetto Lowcountry Behavioral Health</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North Charleston, South Carolina</w:t>
            </w:r>
          </w:p>
        </w:tc>
        <w:tc>
          <w:tcPr>
            <w:tcW w:w="8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108</w:t>
            </w:r>
          </w:p>
        </w:tc>
        <w:tc>
          <w:tcPr>
            <w:tcW w:w="122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Owned</w:t>
            </w:r>
          </w:p>
        </w:tc>
      </w:tr>
      <w:tr>
        <w:trPr/>
        <w:tc>
          <w:tcPr>
            <w:tcW w:w="449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Palo Verde Behavioral Health</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Tucson, Arizona</w:t>
            </w:r>
          </w:p>
        </w:tc>
        <w:tc>
          <w:tcPr>
            <w:tcW w:w="8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84</w:t>
            </w:r>
          </w:p>
        </w:tc>
        <w:tc>
          <w:tcPr>
            <w:tcW w:w="122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Owned</w:t>
            </w:r>
          </w:p>
        </w:tc>
      </w:tr>
      <w:tr>
        <w:trPr/>
        <w:tc>
          <w:tcPr>
            <w:tcW w:w="449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Parkwood Behavioral Health System</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Olive Branch, Mississippi</w:t>
            </w:r>
          </w:p>
        </w:tc>
        <w:tc>
          <w:tcPr>
            <w:tcW w:w="8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148</w:t>
            </w:r>
          </w:p>
        </w:tc>
        <w:tc>
          <w:tcPr>
            <w:tcW w:w="122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Owned</w:t>
            </w:r>
          </w:p>
        </w:tc>
      </w:tr>
      <w:tr>
        <w:trPr/>
        <w:tc>
          <w:tcPr>
            <w:tcW w:w="449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 Pavilion Behavioral Health System</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Champaign, Illinois</w:t>
            </w:r>
          </w:p>
        </w:tc>
        <w:tc>
          <w:tcPr>
            <w:tcW w:w="8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122</w:t>
            </w:r>
          </w:p>
        </w:tc>
        <w:tc>
          <w:tcPr>
            <w:tcW w:w="122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Owned</w:t>
            </w:r>
          </w:p>
        </w:tc>
      </w:tr>
      <w:tr>
        <w:trPr/>
        <w:tc>
          <w:tcPr>
            <w:tcW w:w="449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Peachford Hospital</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Atlanta, Georgia</w:t>
            </w:r>
          </w:p>
        </w:tc>
        <w:tc>
          <w:tcPr>
            <w:tcW w:w="8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246</w:t>
            </w:r>
          </w:p>
        </w:tc>
        <w:tc>
          <w:tcPr>
            <w:tcW w:w="122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Owned</w:t>
            </w:r>
          </w:p>
        </w:tc>
      </w:tr>
      <w:tr>
        <w:trPr/>
        <w:tc>
          <w:tcPr>
            <w:tcW w:w="449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Pembroke Hospital</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Pembroke, Massachusetts</w:t>
            </w:r>
          </w:p>
        </w:tc>
        <w:tc>
          <w:tcPr>
            <w:tcW w:w="8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120</w:t>
            </w:r>
          </w:p>
        </w:tc>
        <w:tc>
          <w:tcPr>
            <w:tcW w:w="122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Owned</w:t>
            </w:r>
          </w:p>
        </w:tc>
      </w:tr>
      <w:tr>
        <w:trPr/>
        <w:tc>
          <w:tcPr>
            <w:tcW w:w="449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Pinnacle Pointe Behavioral Healthcare System</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Little Rock, Arkansas</w:t>
            </w:r>
          </w:p>
        </w:tc>
        <w:tc>
          <w:tcPr>
            <w:tcW w:w="8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127</w:t>
            </w:r>
          </w:p>
        </w:tc>
        <w:tc>
          <w:tcPr>
            <w:tcW w:w="122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Owned</w:t>
            </w:r>
          </w:p>
        </w:tc>
      </w:tr>
      <w:tr>
        <w:trPr/>
        <w:tc>
          <w:tcPr>
            <w:tcW w:w="449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Poplar Springs Hospital</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Petersburg, Virginia</w:t>
            </w:r>
          </w:p>
        </w:tc>
        <w:tc>
          <w:tcPr>
            <w:tcW w:w="8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208</w:t>
            </w:r>
          </w:p>
        </w:tc>
        <w:tc>
          <w:tcPr>
            <w:tcW w:w="122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Owned</w:t>
            </w:r>
          </w:p>
        </w:tc>
      </w:tr>
      <w:tr>
        <w:trPr/>
        <w:tc>
          <w:tcPr>
            <w:tcW w:w="449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Prairie St John’s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Fargo, North Dakota</w:t>
            </w:r>
          </w:p>
        </w:tc>
        <w:tc>
          <w:tcPr>
            <w:tcW w:w="8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132</w:t>
            </w:r>
          </w:p>
        </w:tc>
        <w:tc>
          <w:tcPr>
            <w:tcW w:w="122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Owned</w:t>
            </w:r>
          </w:p>
        </w:tc>
      </w:tr>
      <w:tr>
        <w:trPr/>
        <w:tc>
          <w:tcPr>
            <w:tcW w:w="449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Provo Canyon School</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Provo, Utah</w:t>
            </w:r>
          </w:p>
        </w:tc>
        <w:tc>
          <w:tcPr>
            <w:tcW w:w="8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226</w:t>
            </w:r>
          </w:p>
        </w:tc>
        <w:tc>
          <w:tcPr>
            <w:tcW w:w="122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Owned</w:t>
            </w:r>
          </w:p>
        </w:tc>
      </w:tr>
      <w:tr>
        <w:trPr/>
        <w:tc>
          <w:tcPr>
            <w:tcW w:w="449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Psychiatric Institute of Washington</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Washington, D.C.</w:t>
            </w:r>
          </w:p>
        </w:tc>
        <w:tc>
          <w:tcPr>
            <w:tcW w:w="8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152</w:t>
            </w:r>
          </w:p>
        </w:tc>
        <w:tc>
          <w:tcPr>
            <w:tcW w:w="122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Owned</w:t>
            </w:r>
          </w:p>
        </w:tc>
      </w:tr>
      <w:tr>
        <w:trPr/>
        <w:tc>
          <w:tcPr>
            <w:tcW w:w="449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Quail Run Behavioral Health</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Phoenix, Arizona</w:t>
            </w:r>
          </w:p>
        </w:tc>
        <w:tc>
          <w:tcPr>
            <w:tcW w:w="8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116</w:t>
            </w:r>
          </w:p>
        </w:tc>
        <w:tc>
          <w:tcPr>
            <w:tcW w:w="122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Owned</w:t>
            </w:r>
          </w:p>
        </w:tc>
      </w:tr>
      <w:tr>
        <w:trPr/>
        <w:tc>
          <w:tcPr>
            <w:tcW w:w="449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 Ridge Behavioral Health System</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Lexington, Kentucky</w:t>
            </w:r>
          </w:p>
        </w:tc>
        <w:tc>
          <w:tcPr>
            <w:tcW w:w="8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110</w:t>
            </w:r>
          </w:p>
        </w:tc>
        <w:tc>
          <w:tcPr>
            <w:tcW w:w="122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Owned</w:t>
            </w:r>
          </w:p>
        </w:tc>
      </w:tr>
      <w:tr>
        <w:trPr/>
        <w:tc>
          <w:tcPr>
            <w:tcW w:w="449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Rivendell Behavioral Health Hospital</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Bowling Green, Kentucky</w:t>
            </w:r>
          </w:p>
        </w:tc>
        <w:tc>
          <w:tcPr>
            <w:tcW w:w="8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149</w:t>
            </w:r>
          </w:p>
        </w:tc>
        <w:tc>
          <w:tcPr>
            <w:tcW w:w="122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Owned</w:t>
            </w:r>
          </w:p>
        </w:tc>
      </w:tr>
      <w:tr>
        <w:trPr/>
        <w:tc>
          <w:tcPr>
            <w:tcW w:w="449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Rivendell Behavioral Health Services of Arkansas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Benton, Arkansas</w:t>
            </w:r>
          </w:p>
        </w:tc>
        <w:tc>
          <w:tcPr>
            <w:tcW w:w="8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80</w:t>
            </w:r>
          </w:p>
        </w:tc>
        <w:tc>
          <w:tcPr>
            <w:tcW w:w="122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Owned</w:t>
            </w:r>
          </w:p>
        </w:tc>
      </w:tr>
      <w:tr>
        <w:trPr/>
        <w:tc>
          <w:tcPr>
            <w:tcW w:w="449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River Oaks Hospital</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Harahan, Louisiana</w:t>
            </w:r>
          </w:p>
        </w:tc>
        <w:tc>
          <w:tcPr>
            <w:tcW w:w="8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126</w:t>
            </w:r>
          </w:p>
        </w:tc>
        <w:tc>
          <w:tcPr>
            <w:tcW w:w="122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Owned</w:t>
            </w:r>
          </w:p>
        </w:tc>
      </w:tr>
      <w:tr>
        <w:trPr/>
        <w:tc>
          <w:tcPr>
            <w:tcW w:w="449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River Park Hospital</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Huntington, West Virginia</w:t>
            </w:r>
          </w:p>
        </w:tc>
        <w:tc>
          <w:tcPr>
            <w:tcW w:w="8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187</w:t>
            </w:r>
          </w:p>
        </w:tc>
        <w:tc>
          <w:tcPr>
            <w:tcW w:w="122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Owned</w:t>
            </w:r>
          </w:p>
        </w:tc>
      </w:tr>
      <w:tr>
        <w:trPr/>
        <w:tc>
          <w:tcPr>
            <w:tcW w:w="449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River Point Behavioral Health</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Jacksonville, Florida</w:t>
            </w:r>
          </w:p>
        </w:tc>
        <w:tc>
          <w:tcPr>
            <w:tcW w:w="8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84</w:t>
            </w:r>
          </w:p>
        </w:tc>
        <w:tc>
          <w:tcPr>
            <w:tcW w:w="122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Owned</w:t>
            </w:r>
          </w:p>
        </w:tc>
      </w:tr>
      <w:tr>
        <w:trPr/>
        <w:tc>
          <w:tcPr>
            <w:tcW w:w="449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River Vista Behavioral Health</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Madera, California</w:t>
            </w:r>
          </w:p>
        </w:tc>
        <w:tc>
          <w:tcPr>
            <w:tcW w:w="8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128</w:t>
            </w:r>
          </w:p>
        </w:tc>
        <w:tc>
          <w:tcPr>
            <w:tcW w:w="122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Owned</w:t>
            </w:r>
          </w:p>
        </w:tc>
      </w:tr>
      <w:tr>
        <w:trPr/>
        <w:tc>
          <w:tcPr>
            <w:tcW w:w="449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Riveredge Hospital</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Forest Park, Illinois</w:t>
            </w:r>
          </w:p>
        </w:tc>
        <w:tc>
          <w:tcPr>
            <w:tcW w:w="8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210</w:t>
            </w:r>
          </w:p>
        </w:tc>
        <w:tc>
          <w:tcPr>
            <w:tcW w:w="122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Owned</w:t>
            </w:r>
          </w:p>
        </w:tc>
      </w:tr>
      <w:tr>
        <w:trPr/>
        <w:tc>
          <w:tcPr>
            <w:tcW w:w="449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Rockford Center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Newark, Delaware</w:t>
            </w:r>
          </w:p>
        </w:tc>
        <w:tc>
          <w:tcPr>
            <w:tcW w:w="8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148</w:t>
            </w:r>
          </w:p>
        </w:tc>
        <w:tc>
          <w:tcPr>
            <w:tcW w:w="122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Owned</w:t>
            </w:r>
          </w:p>
        </w:tc>
      </w:tr>
      <w:tr>
        <w:trPr/>
        <w:tc>
          <w:tcPr>
            <w:tcW w:w="449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Rolling Hills Hospital</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Franklin, Tennessee</w:t>
            </w:r>
          </w:p>
        </w:tc>
        <w:tc>
          <w:tcPr>
            <w:tcW w:w="8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130</w:t>
            </w:r>
          </w:p>
        </w:tc>
        <w:tc>
          <w:tcPr>
            <w:tcW w:w="122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Owned</w:t>
            </w:r>
          </w:p>
        </w:tc>
      </w:tr>
      <w:tr>
        <w:trPr/>
        <w:tc>
          <w:tcPr>
            <w:tcW w:w="449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Roxbury Treatment Center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Shippensburg, Pennsylvania</w:t>
            </w:r>
          </w:p>
        </w:tc>
        <w:tc>
          <w:tcPr>
            <w:tcW w:w="8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112</w:t>
            </w:r>
          </w:p>
        </w:tc>
        <w:tc>
          <w:tcPr>
            <w:tcW w:w="122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Owned</w:t>
            </w:r>
          </w:p>
        </w:tc>
      </w:tr>
      <w:tr>
        <w:trPr/>
        <w:tc>
          <w:tcPr>
            <w:tcW w:w="449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Saint Simons By-The-Sea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Saint Simons Island, Georgia</w:t>
            </w:r>
          </w:p>
        </w:tc>
        <w:tc>
          <w:tcPr>
            <w:tcW w:w="8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w:t>
            </w:r>
          </w:p>
        </w:tc>
        <w:tc>
          <w:tcPr>
            <w:tcW w:w="122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Owned</w:t>
            </w:r>
          </w:p>
        </w:tc>
      </w:tr>
      <w:tr>
        <w:trPr/>
        <w:tc>
          <w:tcPr>
            <w:tcW w:w="449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Salt Lake Behavioral Health</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Salt Lake City, Utah</w:t>
            </w:r>
          </w:p>
        </w:tc>
        <w:tc>
          <w:tcPr>
            <w:tcW w:w="8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118</w:t>
            </w:r>
          </w:p>
        </w:tc>
        <w:tc>
          <w:tcPr>
            <w:tcW w:w="122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Leased</w:t>
            </w:r>
          </w:p>
        </w:tc>
      </w:tr>
      <w:tr>
        <w:trPr/>
        <w:tc>
          <w:tcPr>
            <w:tcW w:w="449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San Marcos Treatment Center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San Marcos, Texas</w:t>
            </w:r>
          </w:p>
        </w:tc>
        <w:tc>
          <w:tcPr>
            <w:tcW w:w="8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265</w:t>
            </w:r>
          </w:p>
        </w:tc>
        <w:tc>
          <w:tcPr>
            <w:tcW w:w="122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Owned</w:t>
            </w:r>
          </w:p>
        </w:tc>
      </w:tr>
      <w:tr>
        <w:trPr/>
        <w:tc>
          <w:tcPr>
            <w:tcW w:w="449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SandyPines Residential Treatment Center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Jupiter, Florida</w:t>
            </w:r>
          </w:p>
        </w:tc>
        <w:tc>
          <w:tcPr>
            <w:tcW w:w="8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149</w:t>
            </w:r>
          </w:p>
        </w:tc>
        <w:tc>
          <w:tcPr>
            <w:tcW w:w="122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Owned</w:t>
            </w:r>
          </w:p>
        </w:tc>
      </w:tr>
      <w:tr>
        <w:trPr/>
        <w:tc>
          <w:tcPr>
            <w:tcW w:w="449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Sea Grove Recovery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8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Mt. Pleasant, South Carolina</w:t>
            </w:r>
          </w:p>
        </w:tc>
        <w:tc>
          <w:tcPr>
            <w:tcW w:w="8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41</w:t>
            </w:r>
          </w:p>
        </w:tc>
        <w:tc>
          <w:tcPr>
            <w:tcW w:w="122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Owned</w:t>
            </w:r>
          </w:p>
        </w:tc>
      </w:tr>
      <w:tr>
        <w:trPr/>
        <w:tc>
          <w:tcPr>
            <w:tcW w:w="449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Sierra Vista Hospital</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Sacramento, California</w:t>
            </w:r>
          </w:p>
        </w:tc>
        <w:tc>
          <w:tcPr>
            <w:tcW w:w="8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171</w:t>
            </w:r>
          </w:p>
        </w:tc>
        <w:tc>
          <w:tcPr>
            <w:tcW w:w="122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Owned</w:t>
            </w:r>
          </w:p>
        </w:tc>
      </w:tr>
      <w:tr>
        <w:trPr/>
        <w:tc>
          <w:tcPr>
            <w:tcW w:w="449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Skywood Recovery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Augusta, Michigan</w:t>
            </w:r>
          </w:p>
        </w:tc>
        <w:tc>
          <w:tcPr>
            <w:tcW w:w="8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100</w:t>
            </w:r>
          </w:p>
        </w:tc>
        <w:tc>
          <w:tcPr>
            <w:tcW w:w="122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Owned</w:t>
            </w:r>
          </w:p>
        </w:tc>
      </w:tr>
      <w:tr>
        <w:trPr/>
        <w:tc>
          <w:tcPr>
            <w:tcW w:w="449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Southeast Behavioral Health (14)</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Cape Girardeau, Missouri</w:t>
            </w:r>
          </w:p>
        </w:tc>
        <w:tc>
          <w:tcPr>
            <w:tcW w:w="8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102</w:t>
            </w:r>
          </w:p>
        </w:tc>
        <w:tc>
          <w:tcPr>
            <w:tcW w:w="122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Owned</w:t>
            </w:r>
          </w:p>
        </w:tc>
      </w:tr>
      <w:tr>
        <w:trPr/>
        <w:tc>
          <w:tcPr>
            <w:tcW w:w="449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Southridge Behavioral Hospital</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8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Byron Center, Michigan</w:t>
            </w:r>
          </w:p>
        </w:tc>
        <w:tc>
          <w:tcPr>
            <w:tcW w:w="8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96</w:t>
            </w:r>
          </w:p>
        </w:tc>
        <w:tc>
          <w:tcPr>
            <w:tcW w:w="122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Owned</w:t>
            </w:r>
          </w:p>
        </w:tc>
      </w:tr>
      <w:tr>
        <w:trPr/>
        <w:tc>
          <w:tcPr>
            <w:tcW w:w="449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Springwoods Behavioral Health</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Fayetteville, Arkansas</w:t>
            </w:r>
          </w:p>
        </w:tc>
        <w:tc>
          <w:tcPr>
            <w:tcW w:w="8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80</w:t>
            </w:r>
          </w:p>
        </w:tc>
        <w:tc>
          <w:tcPr>
            <w:tcW w:w="122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Owned</w:t>
            </w:r>
          </w:p>
        </w:tc>
      </w:tr>
      <w:tr>
        <w:trPr/>
        <w:tc>
          <w:tcPr>
            <w:tcW w:w="449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Stonington Institute</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North Stonington, Connecticut</w:t>
            </w:r>
          </w:p>
        </w:tc>
        <w:tc>
          <w:tcPr>
            <w:tcW w:w="8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64</w:t>
            </w:r>
          </w:p>
        </w:tc>
        <w:tc>
          <w:tcPr>
            <w:tcW w:w="122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Owned</w:t>
            </w:r>
          </w:p>
        </w:tc>
      </w:tr>
      <w:tr>
        <w:trPr/>
        <w:tc>
          <w:tcPr>
            <w:tcW w:w="449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Streamwood Behavioral Healthcare System</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Streamwood, Illinois</w:t>
            </w:r>
          </w:p>
        </w:tc>
        <w:tc>
          <w:tcPr>
            <w:tcW w:w="8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178</w:t>
            </w:r>
          </w:p>
        </w:tc>
        <w:tc>
          <w:tcPr>
            <w:tcW w:w="122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Owned</w:t>
            </w:r>
          </w:p>
        </w:tc>
      </w:tr>
      <w:tr>
        <w:trPr/>
        <w:tc>
          <w:tcPr>
            <w:tcW w:w="449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Summit Oaks Hospital</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Summit, New Jersey</w:t>
            </w:r>
          </w:p>
        </w:tc>
        <w:tc>
          <w:tcPr>
            <w:tcW w:w="8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126</w:t>
            </w:r>
          </w:p>
        </w:tc>
        <w:tc>
          <w:tcPr>
            <w:tcW w:w="122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Owned</w:t>
            </w:r>
          </w:p>
        </w:tc>
      </w:tr>
    </w:tbl>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9068" w:type="dxa"/>
        <w:jc w:val="left"/>
        <w:tblInd w:w="0" w:type="dxa"/>
        <w:tblLayout w:type="fixed"/>
        <w:tblCellMar>
          <w:top w:w="28" w:type="dxa"/>
          <w:left w:w="28" w:type="dxa"/>
          <w:bottom w:w="28" w:type="dxa"/>
          <w:right w:w="28" w:type="dxa"/>
        </w:tblCellMar>
      </w:tblPr>
      <w:tblGrid>
        <w:gridCol w:w="4456"/>
        <w:gridCol w:w="109"/>
        <w:gridCol w:w="2686"/>
        <w:gridCol w:w="886"/>
        <w:gridCol w:w="931"/>
      </w:tblGrid>
      <w:tr>
        <w:trPr/>
        <w:tc>
          <w:tcPr>
            <w:tcW w:w="445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686" w:type="dxa"/>
            <w:tcBorders/>
            <w:shd w:fill="FFFFFF" w:val="clear"/>
            <w:vAlign w:val="center"/>
          </w:tcPr>
          <w:p>
            <w:pPr>
              <w:pStyle w:val="TableContents"/>
              <w:bidi w:val="0"/>
              <w:spacing w:before="0" w:after="283"/>
              <w:jc w:val="left"/>
              <w:rPr>
                <w:sz w:val="4"/>
                <w:szCs w:val="4"/>
              </w:rPr>
            </w:pPr>
            <w:r>
              <w:rPr>
                <w:sz w:val="4"/>
                <w:szCs w:val="4"/>
              </w:rPr>
            </w:r>
          </w:p>
        </w:tc>
        <w:tc>
          <w:tcPr>
            <w:tcW w:w="886" w:type="dxa"/>
            <w:tcBorders/>
            <w:shd w:fill="FFFFFF" w:val="clear"/>
            <w:vAlign w:val="center"/>
          </w:tcPr>
          <w:p>
            <w:pPr>
              <w:pStyle w:val="TableContents"/>
              <w:bidi w:val="0"/>
              <w:spacing w:before="0" w:after="283"/>
              <w:jc w:val="left"/>
              <w:rPr>
                <w:sz w:val="4"/>
                <w:szCs w:val="4"/>
              </w:rPr>
            </w:pPr>
            <w:r>
              <w:rPr>
                <w:sz w:val="4"/>
                <w:szCs w:val="4"/>
              </w:rPr>
            </w:r>
          </w:p>
        </w:tc>
        <w:tc>
          <w:tcPr>
            <w:tcW w:w="931" w:type="dxa"/>
            <w:tcBorders/>
            <w:shd w:fill="FFFFFF" w:val="clear"/>
            <w:vAlign w:val="center"/>
          </w:tcPr>
          <w:p>
            <w:pPr>
              <w:pStyle w:val="TableContents"/>
              <w:bidi w:val="0"/>
              <w:spacing w:before="0" w:after="283"/>
              <w:jc w:val="left"/>
              <w:rPr>
                <w:sz w:val="4"/>
                <w:szCs w:val="4"/>
              </w:rPr>
            </w:pPr>
            <w:r>
              <w:rPr>
                <w:sz w:val="4"/>
                <w:szCs w:val="4"/>
              </w:rPr>
            </w:r>
          </w:p>
        </w:tc>
      </w:tr>
      <w:tr>
        <w:trPr/>
        <w:tc>
          <w:tcPr>
            <w:tcW w:w="44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United States:</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Name of Facility</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b/>
                <w:color w:val="000000"/>
                <w:sz w:val="16"/>
              </w:rPr>
              <w:t>Location</w:t>
            </w:r>
            <w:r>
              <w:rPr>
                <w:rFonts w:ascii="Times New Roman" w:hAnsi="Times New Roman"/>
                <w:color w:val="000000"/>
                <w:sz w:val="16"/>
              </w:rPr>
              <w:t xml:space="preserve"> </w:t>
            </w:r>
          </w:p>
        </w:tc>
        <w:tc>
          <w:tcPr>
            <w:tcW w:w="8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Number of</w:t>
              <w:br/>
              <w:t>Beds</w:t>
            </w:r>
            <w:r>
              <w:rPr>
                <w:rFonts w:ascii="Times New Roman" w:hAnsi="Times New Roman"/>
                <w:color w:val="000000"/>
                <w:sz w:val="16"/>
              </w:rPr>
              <w:t xml:space="preserve"> </w:t>
            </w:r>
          </w:p>
        </w:tc>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Real</w:t>
              <w:br/>
              <w:t>Property</w:t>
              <w:br/>
              <w:t>Ownership</w:t>
              <w:br/>
              <w:t>Interest</w:t>
            </w:r>
            <w:r>
              <w:rPr>
                <w:rFonts w:ascii="Times New Roman" w:hAnsi="Times New Roman"/>
                <w:color w:val="000000"/>
                <w:sz w:val="16"/>
              </w:rPr>
              <w:t xml:space="preserve"> </w:t>
            </w:r>
          </w:p>
        </w:tc>
      </w:tr>
      <w:tr>
        <w:trPr/>
        <w:tc>
          <w:tcPr>
            <w:tcW w:w="44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SummitRidge Hospital</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Lawrenceville, Georgia</w:t>
            </w:r>
          </w:p>
        </w:tc>
        <w:tc>
          <w:tcPr>
            <w:tcW w:w="8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106</w:t>
            </w:r>
          </w:p>
        </w:tc>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Owned</w:t>
            </w:r>
          </w:p>
        </w:tc>
      </w:tr>
      <w:tr>
        <w:trPr/>
        <w:tc>
          <w:tcPr>
            <w:tcW w:w="44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Suncoast Behavioral Health Center</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Bradenton, Florida</w:t>
            </w:r>
          </w:p>
        </w:tc>
        <w:tc>
          <w:tcPr>
            <w:tcW w:w="8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60</w:t>
            </w:r>
          </w:p>
        </w:tc>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Owned</w:t>
            </w:r>
          </w:p>
        </w:tc>
      </w:tr>
      <w:tr>
        <w:trPr/>
        <w:tc>
          <w:tcPr>
            <w:tcW w:w="44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Texas NeuroRehab Center</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Austin, Texas</w:t>
            </w:r>
          </w:p>
        </w:tc>
        <w:tc>
          <w:tcPr>
            <w:tcW w:w="8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137</w:t>
            </w:r>
          </w:p>
        </w:tc>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Owned</w:t>
            </w:r>
          </w:p>
        </w:tc>
      </w:tr>
      <w:tr>
        <w:trPr/>
        <w:tc>
          <w:tcPr>
            <w:tcW w:w="44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Three Rivers Behavioral Health</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West Columbia, South Carolina</w:t>
            </w:r>
          </w:p>
        </w:tc>
        <w:tc>
          <w:tcPr>
            <w:tcW w:w="8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136</w:t>
            </w:r>
          </w:p>
        </w:tc>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Owned</w:t>
            </w:r>
          </w:p>
        </w:tc>
      </w:tr>
      <w:tr>
        <w:trPr/>
        <w:tc>
          <w:tcPr>
            <w:tcW w:w="44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Three Rivers Midlands</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West Columbia, South Carolina</w:t>
            </w:r>
          </w:p>
        </w:tc>
        <w:tc>
          <w:tcPr>
            <w:tcW w:w="8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64</w:t>
            </w:r>
          </w:p>
        </w:tc>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Owned</w:t>
            </w:r>
          </w:p>
        </w:tc>
      </w:tr>
      <w:tr>
        <w:trPr/>
        <w:tc>
          <w:tcPr>
            <w:tcW w:w="44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Turning Point Care Center</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Moultrie, Georgia</w:t>
            </w:r>
          </w:p>
        </w:tc>
        <w:tc>
          <w:tcPr>
            <w:tcW w:w="8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79</w:t>
            </w:r>
          </w:p>
        </w:tc>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Owned</w:t>
            </w:r>
          </w:p>
        </w:tc>
      </w:tr>
      <w:tr>
        <w:trPr/>
        <w:tc>
          <w:tcPr>
            <w:tcW w:w="44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University Behavioral Center</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Orlando, Florida</w:t>
            </w:r>
          </w:p>
        </w:tc>
        <w:tc>
          <w:tcPr>
            <w:tcW w:w="8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112</w:t>
            </w:r>
          </w:p>
        </w:tc>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Owned</w:t>
            </w:r>
          </w:p>
        </w:tc>
      </w:tr>
      <w:tr>
        <w:trPr/>
        <w:tc>
          <w:tcPr>
            <w:tcW w:w="44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University Behavioral Health of Denton</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Denton, Texas</w:t>
            </w:r>
          </w:p>
        </w:tc>
        <w:tc>
          <w:tcPr>
            <w:tcW w:w="8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104</w:t>
            </w:r>
          </w:p>
        </w:tc>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Owned</w:t>
            </w:r>
          </w:p>
        </w:tc>
      </w:tr>
      <w:tr>
        <w:trPr/>
        <w:tc>
          <w:tcPr>
            <w:tcW w:w="44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Valle Vista Health System</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Greenwood, Indiana</w:t>
            </w:r>
          </w:p>
        </w:tc>
        <w:tc>
          <w:tcPr>
            <w:tcW w:w="8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132</w:t>
            </w:r>
          </w:p>
        </w:tc>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Owned</w:t>
            </w:r>
          </w:p>
        </w:tc>
      </w:tr>
      <w:tr>
        <w:trPr/>
        <w:tc>
          <w:tcPr>
            <w:tcW w:w="44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Valley Hospital</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Phoenix, Arizona</w:t>
            </w:r>
          </w:p>
        </w:tc>
        <w:tc>
          <w:tcPr>
            <w:tcW w:w="8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122</w:t>
            </w:r>
          </w:p>
        </w:tc>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Owned</w:t>
            </w:r>
          </w:p>
        </w:tc>
      </w:tr>
      <w:tr>
        <w:trPr/>
        <w:tc>
          <w:tcPr>
            <w:tcW w:w="44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Via Linda Behavioral Hospital (12)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Scottsdale, Arizona</w:t>
            </w:r>
          </w:p>
        </w:tc>
        <w:tc>
          <w:tcPr>
            <w:tcW w:w="8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120</w:t>
            </w:r>
          </w:p>
        </w:tc>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Leased</w:t>
            </w:r>
          </w:p>
        </w:tc>
      </w:tr>
      <w:tr>
        <w:trPr/>
        <w:tc>
          <w:tcPr>
            <w:tcW w:w="44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 Vines Hospital</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Ocala, Florida</w:t>
            </w:r>
          </w:p>
        </w:tc>
        <w:tc>
          <w:tcPr>
            <w:tcW w:w="8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98</w:t>
            </w:r>
          </w:p>
        </w:tc>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Owned</w:t>
            </w:r>
          </w:p>
        </w:tc>
      </w:tr>
      <w:tr>
        <w:trPr/>
        <w:tc>
          <w:tcPr>
            <w:tcW w:w="44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Virginia Beach Psychiatric Center</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Virginia Beach, Virginia</w:t>
            </w:r>
          </w:p>
        </w:tc>
        <w:tc>
          <w:tcPr>
            <w:tcW w:w="8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100</w:t>
            </w:r>
          </w:p>
        </w:tc>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Owned</w:t>
            </w:r>
          </w:p>
        </w:tc>
      </w:tr>
      <w:tr>
        <w:trPr/>
        <w:tc>
          <w:tcPr>
            <w:tcW w:w="44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Wekiva Springs Center</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Jacksonville, Florida</w:t>
            </w:r>
          </w:p>
        </w:tc>
        <w:tc>
          <w:tcPr>
            <w:tcW w:w="8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120</w:t>
            </w:r>
          </w:p>
        </w:tc>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Owned</w:t>
            </w:r>
          </w:p>
        </w:tc>
      </w:tr>
      <w:tr>
        <w:trPr/>
        <w:tc>
          <w:tcPr>
            <w:tcW w:w="44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Wellstone Regional Hospital</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Jeffersonville, Indiana</w:t>
            </w:r>
          </w:p>
        </w:tc>
        <w:tc>
          <w:tcPr>
            <w:tcW w:w="8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100</w:t>
            </w:r>
          </w:p>
        </w:tc>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Owned</w:t>
            </w:r>
          </w:p>
        </w:tc>
      </w:tr>
      <w:tr>
        <w:trPr/>
        <w:tc>
          <w:tcPr>
            <w:tcW w:w="44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West Oaks Hospital</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Houston, Texas</w:t>
            </w:r>
          </w:p>
        </w:tc>
        <w:tc>
          <w:tcPr>
            <w:tcW w:w="8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176</w:t>
            </w:r>
          </w:p>
        </w:tc>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Owned</w:t>
            </w:r>
          </w:p>
        </w:tc>
      </w:tr>
      <w:tr>
        <w:trPr/>
        <w:tc>
          <w:tcPr>
            <w:tcW w:w="44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Willow Springs Center</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Reno, Nevada</w:t>
            </w:r>
          </w:p>
        </w:tc>
        <w:tc>
          <w:tcPr>
            <w:tcW w:w="8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116</w:t>
            </w:r>
          </w:p>
        </w:tc>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Owned</w:t>
            </w:r>
          </w:p>
        </w:tc>
      </w:tr>
      <w:tr>
        <w:trPr/>
        <w:tc>
          <w:tcPr>
            <w:tcW w:w="44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Windmoor Healthcare of Clearwater</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Clearwater, Florida</w:t>
            </w:r>
          </w:p>
        </w:tc>
        <w:tc>
          <w:tcPr>
            <w:tcW w:w="8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144</w:t>
            </w:r>
          </w:p>
        </w:tc>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Owned</w:t>
            </w:r>
          </w:p>
        </w:tc>
      </w:tr>
      <w:tr>
        <w:trPr/>
        <w:tc>
          <w:tcPr>
            <w:tcW w:w="44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Windsor Laurelwood Center for Behavioral Medicine</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Willoughby, Ohio</w:t>
            </w:r>
          </w:p>
        </w:tc>
        <w:tc>
          <w:tcPr>
            <w:tcW w:w="8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160</w:t>
            </w:r>
          </w:p>
        </w:tc>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Leased</w:t>
            </w:r>
          </w:p>
        </w:tc>
      </w:tr>
      <w:tr>
        <w:trPr/>
        <w:tc>
          <w:tcPr>
            <w:tcW w:w="44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Wyoming Behavioral Institute</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Casper, Wyoming</w:t>
            </w:r>
          </w:p>
        </w:tc>
        <w:tc>
          <w:tcPr>
            <w:tcW w:w="8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137</w:t>
            </w:r>
          </w:p>
        </w:tc>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Owned</w:t>
            </w:r>
          </w:p>
        </w:tc>
      </w:tr>
    </w:tbl>
    <w:p>
      <w:pPr>
        <w:pStyle w:val="TextBody"/>
        <w:bidi w:val="0"/>
        <w:jc w:val="left"/>
        <w:rPr/>
      </w:pPr>
      <w:r>
        <w:rPr/>
        <w:t> </w:t>
      </w:r>
    </w:p>
    <w:tbl>
      <w:tblPr>
        <w:tblW w:w="6705" w:type="dxa"/>
        <w:jc w:val="left"/>
        <w:tblInd w:w="0" w:type="dxa"/>
        <w:tblLayout w:type="fixed"/>
        <w:tblCellMar>
          <w:top w:w="28" w:type="dxa"/>
          <w:left w:w="28" w:type="dxa"/>
          <w:bottom w:w="28" w:type="dxa"/>
          <w:right w:w="28" w:type="dxa"/>
        </w:tblCellMar>
      </w:tblPr>
      <w:tblGrid>
        <w:gridCol w:w="2431"/>
        <w:gridCol w:w="146"/>
        <w:gridCol w:w="2311"/>
        <w:gridCol w:w="886"/>
        <w:gridCol w:w="931"/>
      </w:tblGrid>
      <w:tr>
        <w:trPr/>
        <w:tc>
          <w:tcPr>
            <w:tcW w:w="243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311" w:type="dxa"/>
            <w:tcBorders/>
            <w:shd w:fill="FFFFFF" w:val="clear"/>
            <w:vAlign w:val="center"/>
          </w:tcPr>
          <w:p>
            <w:pPr>
              <w:pStyle w:val="TableContents"/>
              <w:bidi w:val="0"/>
              <w:spacing w:before="0" w:after="283"/>
              <w:jc w:val="left"/>
              <w:rPr>
                <w:sz w:val="4"/>
                <w:szCs w:val="4"/>
              </w:rPr>
            </w:pPr>
            <w:r>
              <w:rPr>
                <w:sz w:val="4"/>
                <w:szCs w:val="4"/>
              </w:rPr>
            </w:r>
          </w:p>
        </w:tc>
        <w:tc>
          <w:tcPr>
            <w:tcW w:w="886" w:type="dxa"/>
            <w:tcBorders/>
            <w:shd w:fill="FFFFFF" w:val="clear"/>
            <w:vAlign w:val="center"/>
          </w:tcPr>
          <w:p>
            <w:pPr>
              <w:pStyle w:val="TableContents"/>
              <w:bidi w:val="0"/>
              <w:spacing w:before="0" w:after="283"/>
              <w:jc w:val="left"/>
              <w:rPr>
                <w:sz w:val="4"/>
                <w:szCs w:val="4"/>
              </w:rPr>
            </w:pPr>
            <w:r>
              <w:rPr>
                <w:sz w:val="4"/>
                <w:szCs w:val="4"/>
              </w:rPr>
            </w:r>
          </w:p>
        </w:tc>
        <w:tc>
          <w:tcPr>
            <w:tcW w:w="931" w:type="dxa"/>
            <w:tcBorders/>
            <w:shd w:fill="FFFFFF" w:val="clear"/>
            <w:vAlign w:val="center"/>
          </w:tcPr>
          <w:p>
            <w:pPr>
              <w:pStyle w:val="TableContents"/>
              <w:bidi w:val="0"/>
              <w:spacing w:before="0" w:after="283"/>
              <w:jc w:val="left"/>
              <w:rPr>
                <w:sz w:val="4"/>
                <w:szCs w:val="4"/>
              </w:rPr>
            </w:pPr>
            <w:r>
              <w:rPr>
                <w:sz w:val="4"/>
                <w:szCs w:val="4"/>
              </w:rPr>
            </w:r>
          </w:p>
        </w:tc>
      </w:tr>
      <w:tr>
        <w:trPr/>
        <w:tc>
          <w:tcPr>
            <w:tcW w:w="24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United Kingdom:</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Name of Facility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b/>
                <w:color w:val="000000"/>
                <w:sz w:val="16"/>
              </w:rPr>
              <w:t>Location</w:t>
            </w:r>
            <w:r>
              <w:rPr>
                <w:rFonts w:ascii="Times New Roman" w:hAnsi="Times New Roman"/>
                <w:color w:val="000000"/>
                <w:sz w:val="16"/>
              </w:rPr>
              <w:t xml:space="preserve"> </w:t>
            </w:r>
          </w:p>
        </w:tc>
        <w:tc>
          <w:tcPr>
            <w:tcW w:w="8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Number of</w:t>
              <w:br/>
              <w:t>Beds</w:t>
            </w:r>
            <w:r>
              <w:rPr>
                <w:rFonts w:ascii="Times New Roman" w:hAnsi="Times New Roman"/>
                <w:color w:val="000000"/>
                <w:sz w:val="16"/>
              </w:rPr>
              <w:t xml:space="preserve"> </w:t>
            </w:r>
          </w:p>
        </w:tc>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Real</w:t>
              <w:br/>
              <w:t>Property</w:t>
              <w:br/>
              <w:t>Ownership</w:t>
              <w:br/>
              <w:t>Interest</w:t>
            </w:r>
            <w:r>
              <w:rPr>
                <w:rFonts w:ascii="Times New Roman" w:hAnsi="Times New Roman"/>
                <w:color w:val="000000"/>
                <w:sz w:val="16"/>
              </w:rPr>
              <w:t xml:space="preserve"> </w:t>
            </w:r>
          </w:p>
        </w:tc>
      </w:tr>
      <w:tr>
        <w:trPr/>
        <w:tc>
          <w:tcPr>
            <w:tcW w:w="24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Adarna House</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Bradford, UK</w:t>
            </w:r>
          </w:p>
        </w:tc>
        <w:tc>
          <w:tcPr>
            <w:tcW w:w="8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w:t>
            </w:r>
          </w:p>
        </w:tc>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Owned</w:t>
            </w:r>
          </w:p>
        </w:tc>
      </w:tr>
      <w:tr>
        <w:trPr/>
        <w:tc>
          <w:tcPr>
            <w:tcW w:w="24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Adele Cottages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Rainworth, UK</w:t>
            </w:r>
          </w:p>
        </w:tc>
        <w:tc>
          <w:tcPr>
            <w:tcW w:w="8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w:t>
            </w:r>
          </w:p>
        </w:tc>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 xml:space="preserve">Owned </w:t>
            </w:r>
          </w:p>
        </w:tc>
      </w:tr>
      <w:tr>
        <w:trPr/>
        <w:tc>
          <w:tcPr>
            <w:tcW w:w="24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Amberwood Lodge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Dorset, UK</w:t>
            </w:r>
          </w:p>
        </w:tc>
        <w:tc>
          <w:tcPr>
            <w:tcW w:w="8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w:t>
            </w:r>
          </w:p>
        </w:tc>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Owned</w:t>
            </w:r>
          </w:p>
        </w:tc>
      </w:tr>
      <w:tr>
        <w:trPr/>
        <w:tc>
          <w:tcPr>
            <w:tcW w:w="24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Ashbrook</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Birmingham, UK</w:t>
            </w:r>
          </w:p>
        </w:tc>
        <w:tc>
          <w:tcPr>
            <w:tcW w:w="8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16</w:t>
            </w:r>
          </w:p>
        </w:tc>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Owned</w:t>
            </w:r>
          </w:p>
        </w:tc>
      </w:tr>
      <w:tr>
        <w:trPr/>
        <w:tc>
          <w:tcPr>
            <w:tcW w:w="24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Ashfield House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Huddersfield, UK</w:t>
            </w:r>
          </w:p>
        </w:tc>
        <w:tc>
          <w:tcPr>
            <w:tcW w:w="8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w:t>
            </w:r>
          </w:p>
        </w:tc>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Owned</w:t>
            </w:r>
          </w:p>
        </w:tc>
      </w:tr>
      <w:tr>
        <w:trPr/>
        <w:tc>
          <w:tcPr>
            <w:tcW w:w="24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Beacon House Lower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Bradford, UK</w:t>
            </w:r>
          </w:p>
        </w:tc>
        <w:tc>
          <w:tcPr>
            <w:tcW w:w="8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w:t>
            </w:r>
          </w:p>
        </w:tc>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Owned</w:t>
            </w:r>
          </w:p>
        </w:tc>
      </w:tr>
      <w:tr>
        <w:trPr/>
        <w:tc>
          <w:tcPr>
            <w:tcW w:w="24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Beacon House Upper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Bradford, UK</w:t>
            </w:r>
          </w:p>
        </w:tc>
        <w:tc>
          <w:tcPr>
            <w:tcW w:w="8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w:t>
            </w:r>
          </w:p>
        </w:tc>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Owned</w:t>
            </w:r>
          </w:p>
        </w:tc>
      </w:tr>
      <w:tr>
        <w:trPr/>
        <w:tc>
          <w:tcPr>
            <w:tcW w:w="24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Beckly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Halifax, UK</w:t>
            </w:r>
          </w:p>
        </w:tc>
        <w:tc>
          <w:tcPr>
            <w:tcW w:w="8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12</w:t>
            </w:r>
          </w:p>
        </w:tc>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Owned</w:t>
            </w:r>
          </w:p>
        </w:tc>
      </w:tr>
      <w:tr>
        <w:trPr/>
        <w:tc>
          <w:tcPr>
            <w:tcW w:w="24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Beeches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Retford, UK</w:t>
            </w:r>
          </w:p>
        </w:tc>
        <w:tc>
          <w:tcPr>
            <w:tcW w:w="8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12</w:t>
            </w:r>
          </w:p>
        </w:tc>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Owned</w:t>
            </w:r>
          </w:p>
        </w:tc>
      </w:tr>
      <w:tr>
        <w:trPr/>
        <w:tc>
          <w:tcPr>
            <w:tcW w:w="24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Birches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Newark, UK</w:t>
            </w:r>
          </w:p>
        </w:tc>
        <w:tc>
          <w:tcPr>
            <w:tcW w:w="8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w:t>
            </w:r>
          </w:p>
        </w:tc>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Owned</w:t>
            </w:r>
          </w:p>
        </w:tc>
      </w:tr>
      <w:tr>
        <w:trPr/>
        <w:tc>
          <w:tcPr>
            <w:tcW w:w="24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Broadoak</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Newnham, UK</w:t>
            </w:r>
          </w:p>
        </w:tc>
        <w:tc>
          <w:tcPr>
            <w:tcW w:w="8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w:t>
            </w:r>
          </w:p>
        </w:tc>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Owned</w:t>
            </w:r>
          </w:p>
        </w:tc>
      </w:tr>
      <w:tr>
        <w:trPr/>
        <w:tc>
          <w:tcPr>
            <w:tcW w:w="24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Broughton House</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Lincolnshire, UK</w:t>
            </w:r>
          </w:p>
        </w:tc>
        <w:tc>
          <w:tcPr>
            <w:tcW w:w="8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34</w:t>
            </w:r>
          </w:p>
        </w:tc>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Owned</w:t>
            </w:r>
          </w:p>
        </w:tc>
      </w:tr>
      <w:tr>
        <w:trPr/>
        <w:tc>
          <w:tcPr>
            <w:tcW w:w="24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Broughton Lodge</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Macclesfield, UK</w:t>
            </w:r>
          </w:p>
        </w:tc>
        <w:tc>
          <w:tcPr>
            <w:tcW w:w="8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w:t>
            </w:r>
          </w:p>
        </w:tc>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Owned</w:t>
            </w:r>
          </w:p>
        </w:tc>
      </w:tr>
      <w:tr>
        <w:trPr/>
        <w:tc>
          <w:tcPr>
            <w:tcW w:w="24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Bryn Y Wawr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Llandeilo, UK</w:t>
            </w:r>
          </w:p>
        </w:tc>
        <w:tc>
          <w:tcPr>
            <w:tcW w:w="8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w:t>
            </w:r>
          </w:p>
        </w:tc>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Owned</w:t>
            </w:r>
          </w:p>
        </w:tc>
      </w:tr>
      <w:tr>
        <w:trPr/>
        <w:tc>
          <w:tcPr>
            <w:tcW w:w="24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Chaseways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Sawbridgeworth, UK</w:t>
            </w:r>
          </w:p>
        </w:tc>
        <w:tc>
          <w:tcPr>
            <w:tcW w:w="8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w:t>
            </w:r>
          </w:p>
        </w:tc>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Owned</w:t>
            </w:r>
          </w:p>
        </w:tc>
      </w:tr>
      <w:tr>
        <w:trPr/>
        <w:tc>
          <w:tcPr>
            <w:tcW w:w="24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Cherry Tree House</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Mansfield Woodhouse, UK</w:t>
            </w:r>
          </w:p>
        </w:tc>
        <w:tc>
          <w:tcPr>
            <w:tcW w:w="8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w:t>
            </w:r>
          </w:p>
        </w:tc>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Owned</w:t>
            </w:r>
          </w:p>
        </w:tc>
      </w:tr>
      <w:tr>
        <w:trPr/>
        <w:tc>
          <w:tcPr>
            <w:tcW w:w="24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Clynsaer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Llandovery, UK</w:t>
            </w:r>
          </w:p>
        </w:tc>
        <w:tc>
          <w:tcPr>
            <w:tcW w:w="8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11</w:t>
            </w:r>
          </w:p>
        </w:tc>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Owned</w:t>
            </w:r>
          </w:p>
        </w:tc>
      </w:tr>
      <w:tr>
        <w:trPr/>
        <w:tc>
          <w:tcPr>
            <w:tcW w:w="24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Colchester – Chestnut Court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Essex, UK</w:t>
            </w:r>
          </w:p>
        </w:tc>
        <w:tc>
          <w:tcPr>
            <w:tcW w:w="8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w:t>
            </w:r>
          </w:p>
        </w:tc>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Owned</w:t>
            </w:r>
          </w:p>
        </w:tc>
      </w:tr>
      <w:tr>
        <w:trPr/>
        <w:tc>
          <w:tcPr>
            <w:tcW w:w="24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Conifers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Derby, UK</w:t>
            </w:r>
          </w:p>
        </w:tc>
        <w:tc>
          <w:tcPr>
            <w:tcW w:w="8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w:t>
            </w:r>
          </w:p>
        </w:tc>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Owned</w:t>
            </w:r>
          </w:p>
        </w:tc>
      </w:tr>
      <w:tr>
        <w:trPr/>
        <w:tc>
          <w:tcPr>
            <w:tcW w:w="24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Cygnet Acer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Chesterfield, UK</w:t>
            </w:r>
          </w:p>
        </w:tc>
        <w:tc>
          <w:tcPr>
            <w:tcW w:w="8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14</w:t>
            </w:r>
          </w:p>
        </w:tc>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Owned</w:t>
            </w:r>
          </w:p>
        </w:tc>
      </w:tr>
      <w:tr>
        <w:trPr/>
        <w:tc>
          <w:tcPr>
            <w:tcW w:w="24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Cygnet Acer 2</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Chesterfield, UK</w:t>
            </w:r>
          </w:p>
        </w:tc>
        <w:tc>
          <w:tcPr>
            <w:tcW w:w="8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14</w:t>
            </w:r>
          </w:p>
        </w:tc>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Owned</w:t>
            </w:r>
          </w:p>
        </w:tc>
      </w:tr>
      <w:tr>
        <w:trPr/>
        <w:tc>
          <w:tcPr>
            <w:tcW w:w="24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Cygnet Alders Clinic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Gloucester, UK</w:t>
            </w:r>
          </w:p>
        </w:tc>
        <w:tc>
          <w:tcPr>
            <w:tcW w:w="8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w:t>
            </w:r>
          </w:p>
        </w:tc>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Owned</w:t>
            </w:r>
          </w:p>
        </w:tc>
      </w:tr>
      <w:tr>
        <w:trPr/>
        <w:tc>
          <w:tcPr>
            <w:tcW w:w="24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Cygnet Appletree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Meadowfield, UK</w:t>
            </w:r>
          </w:p>
        </w:tc>
        <w:tc>
          <w:tcPr>
            <w:tcW w:w="8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26</w:t>
            </w:r>
          </w:p>
        </w:tc>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Owned</w:t>
            </w:r>
          </w:p>
        </w:tc>
      </w:tr>
      <w:tr>
        <w:trPr/>
        <w:tc>
          <w:tcPr>
            <w:tcW w:w="24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Cygnet Aspen Clinic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Doncaster, UK</w:t>
            </w:r>
          </w:p>
        </w:tc>
        <w:tc>
          <w:tcPr>
            <w:tcW w:w="8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16</w:t>
            </w:r>
          </w:p>
        </w:tc>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Owned</w:t>
            </w:r>
          </w:p>
        </w:tc>
      </w:tr>
      <w:tr>
        <w:trPr/>
        <w:tc>
          <w:tcPr>
            <w:tcW w:w="24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Cygnet Aspen House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Doncaster, UK</w:t>
            </w:r>
          </w:p>
        </w:tc>
        <w:tc>
          <w:tcPr>
            <w:tcW w:w="8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w:t>
            </w:r>
          </w:p>
        </w:tc>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Owned</w:t>
            </w:r>
          </w:p>
        </w:tc>
      </w:tr>
      <w:tr>
        <w:trPr/>
        <w:tc>
          <w:tcPr>
            <w:tcW w:w="24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Cygnet Bostall House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Abbey Wood, UK</w:t>
            </w:r>
          </w:p>
        </w:tc>
        <w:tc>
          <w:tcPr>
            <w:tcW w:w="8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w:t>
            </w:r>
          </w:p>
        </w:tc>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Owned</w:t>
            </w:r>
          </w:p>
        </w:tc>
      </w:tr>
      <w:tr>
        <w:trPr/>
        <w:tc>
          <w:tcPr>
            <w:tcW w:w="24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Cygnet Brunel</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Bristol, UK</w:t>
            </w:r>
          </w:p>
        </w:tc>
        <w:tc>
          <w:tcPr>
            <w:tcW w:w="8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w:t>
            </w:r>
          </w:p>
        </w:tc>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Owned</w:t>
            </w:r>
          </w:p>
        </w:tc>
      </w:tr>
      <w:tr>
        <w:trPr/>
        <w:tc>
          <w:tcPr>
            <w:tcW w:w="24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Cygnet Cedar Vale</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East Bridgeford, UK</w:t>
            </w:r>
          </w:p>
        </w:tc>
        <w:tc>
          <w:tcPr>
            <w:tcW w:w="8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16</w:t>
            </w:r>
          </w:p>
        </w:tc>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Owned</w:t>
            </w:r>
          </w:p>
        </w:tc>
      </w:tr>
    </w:tbl>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7439" w:type="dxa"/>
        <w:jc w:val="left"/>
        <w:tblInd w:w="0" w:type="dxa"/>
        <w:tblLayout w:type="fixed"/>
        <w:tblCellMar>
          <w:top w:w="28" w:type="dxa"/>
          <w:left w:w="28" w:type="dxa"/>
          <w:bottom w:w="28" w:type="dxa"/>
          <w:right w:w="28" w:type="dxa"/>
        </w:tblCellMar>
      </w:tblPr>
      <w:tblGrid>
        <w:gridCol w:w="3341"/>
        <w:gridCol w:w="154"/>
        <w:gridCol w:w="146"/>
        <w:gridCol w:w="1981"/>
        <w:gridCol w:w="886"/>
        <w:gridCol w:w="931"/>
      </w:tblGrid>
      <w:tr>
        <w:trPr/>
        <w:tc>
          <w:tcPr>
            <w:tcW w:w="3341" w:type="dxa"/>
            <w:tcBorders/>
            <w:shd w:fill="FFFFFF" w:val="clear"/>
            <w:vAlign w:val="center"/>
          </w:tcPr>
          <w:p>
            <w:pPr>
              <w:pStyle w:val="TableContents"/>
              <w:bidi w:val="0"/>
              <w:spacing w:before="0" w:after="283"/>
              <w:jc w:val="left"/>
              <w:rPr>
                <w:sz w:val="4"/>
                <w:szCs w:val="4"/>
              </w:rPr>
            </w:pPr>
            <w:r>
              <w:rPr>
                <w:sz w:val="4"/>
                <w:szCs w:val="4"/>
              </w:rPr>
            </w:r>
          </w:p>
        </w:tc>
        <w:tc>
          <w:tcPr>
            <w:tcW w:w="154"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981" w:type="dxa"/>
            <w:tcBorders/>
            <w:shd w:fill="FFFFFF" w:val="clear"/>
            <w:vAlign w:val="center"/>
          </w:tcPr>
          <w:p>
            <w:pPr>
              <w:pStyle w:val="TableContents"/>
              <w:bidi w:val="0"/>
              <w:spacing w:before="0" w:after="283"/>
              <w:jc w:val="left"/>
              <w:rPr>
                <w:sz w:val="4"/>
                <w:szCs w:val="4"/>
              </w:rPr>
            </w:pPr>
            <w:r>
              <w:rPr>
                <w:sz w:val="4"/>
                <w:szCs w:val="4"/>
              </w:rPr>
            </w:r>
          </w:p>
        </w:tc>
        <w:tc>
          <w:tcPr>
            <w:tcW w:w="886" w:type="dxa"/>
            <w:tcBorders/>
            <w:shd w:fill="FFFFFF" w:val="clear"/>
            <w:vAlign w:val="center"/>
          </w:tcPr>
          <w:p>
            <w:pPr>
              <w:pStyle w:val="TableContents"/>
              <w:bidi w:val="0"/>
              <w:spacing w:before="0" w:after="283"/>
              <w:jc w:val="left"/>
              <w:rPr>
                <w:sz w:val="4"/>
                <w:szCs w:val="4"/>
              </w:rPr>
            </w:pPr>
            <w:r>
              <w:rPr>
                <w:sz w:val="4"/>
                <w:szCs w:val="4"/>
              </w:rPr>
            </w:r>
          </w:p>
        </w:tc>
        <w:tc>
          <w:tcPr>
            <w:tcW w:w="931" w:type="dxa"/>
            <w:tcBorders/>
            <w:shd w:fill="FFFFFF" w:val="clear"/>
            <w:vAlign w:val="center"/>
          </w:tcPr>
          <w:p>
            <w:pPr>
              <w:pStyle w:val="TableContents"/>
              <w:bidi w:val="0"/>
              <w:spacing w:before="0" w:after="283"/>
              <w:jc w:val="left"/>
              <w:rPr>
                <w:sz w:val="4"/>
                <w:szCs w:val="4"/>
              </w:rPr>
            </w:pPr>
            <w:r>
              <w:rPr>
                <w:sz w:val="4"/>
                <w:szCs w:val="4"/>
              </w:rPr>
            </w:r>
          </w:p>
        </w:tc>
      </w:tr>
      <w:tr>
        <w:trPr/>
        <w:tc>
          <w:tcPr>
            <w:tcW w:w="349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United Kingdom:</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Name of Facility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b/>
                <w:color w:val="000000"/>
                <w:sz w:val="16"/>
              </w:rPr>
              <w:t>Location</w:t>
            </w:r>
            <w:r>
              <w:rPr>
                <w:rFonts w:ascii="Times New Roman" w:hAnsi="Times New Roman"/>
                <w:color w:val="000000"/>
                <w:sz w:val="16"/>
              </w:rPr>
              <w:t xml:space="preserve"> </w:t>
            </w:r>
          </w:p>
        </w:tc>
        <w:tc>
          <w:tcPr>
            <w:tcW w:w="8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Number of</w:t>
              <w:br/>
              <w:t>Beds</w:t>
            </w:r>
            <w:r>
              <w:rPr>
                <w:rFonts w:ascii="Times New Roman" w:hAnsi="Times New Roman"/>
                <w:color w:val="000000"/>
                <w:sz w:val="16"/>
              </w:rPr>
              <w:t xml:space="preserve"> </w:t>
            </w:r>
          </w:p>
        </w:tc>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Real</w:t>
              <w:br/>
              <w:t>Property</w:t>
              <w:br/>
              <w:t>Ownership</w:t>
              <w:br/>
              <w:t>Interest</w:t>
            </w:r>
            <w:r>
              <w:rPr>
                <w:rFonts w:ascii="Times New Roman" w:hAnsi="Times New Roman"/>
                <w:color w:val="000000"/>
                <w:sz w:val="16"/>
              </w:rPr>
              <w:t xml:space="preserve"> </w:t>
            </w:r>
          </w:p>
        </w:tc>
      </w:tr>
      <w:tr>
        <w:trPr/>
        <w:tc>
          <w:tcPr>
            <w:tcW w:w="349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Cygnet Cedars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Birmingham, UK</w:t>
            </w:r>
          </w:p>
        </w:tc>
        <w:tc>
          <w:tcPr>
            <w:tcW w:w="8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24</w:t>
            </w:r>
          </w:p>
        </w:tc>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Owned</w:t>
            </w:r>
          </w:p>
        </w:tc>
      </w:tr>
      <w:tr>
        <w:trPr/>
        <w:tc>
          <w:tcPr>
            <w:tcW w:w="349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Cygnet Churchill</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London, UK</w:t>
            </w:r>
          </w:p>
        </w:tc>
        <w:tc>
          <w:tcPr>
            <w:tcW w:w="8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57</w:t>
            </w:r>
          </w:p>
        </w:tc>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Owned</w:t>
            </w:r>
          </w:p>
        </w:tc>
      </w:tr>
      <w:tr>
        <w:trPr/>
        <w:tc>
          <w:tcPr>
            <w:tcW w:w="349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Cygnet Delfryn House</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Flintshire, UK</w:t>
            </w:r>
          </w:p>
        </w:tc>
        <w:tc>
          <w:tcPr>
            <w:tcW w:w="8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28</w:t>
            </w:r>
          </w:p>
        </w:tc>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Owned</w:t>
            </w:r>
          </w:p>
        </w:tc>
      </w:tr>
      <w:tr>
        <w:trPr/>
        <w:tc>
          <w:tcPr>
            <w:tcW w:w="349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Cygnet Delfryn Lodge</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Flintshire, UK</w:t>
            </w:r>
          </w:p>
        </w:tc>
        <w:tc>
          <w:tcPr>
            <w:tcW w:w="8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24</w:t>
            </w:r>
          </w:p>
        </w:tc>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Owned</w:t>
            </w:r>
          </w:p>
        </w:tc>
      </w:tr>
      <w:tr>
        <w:trPr/>
        <w:tc>
          <w:tcPr>
            <w:tcW w:w="349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Cygnet Elms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Birmingham, UK</w:t>
            </w:r>
          </w:p>
        </w:tc>
        <w:tc>
          <w:tcPr>
            <w:tcW w:w="8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w:t>
            </w:r>
          </w:p>
        </w:tc>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Owned</w:t>
            </w:r>
          </w:p>
        </w:tc>
      </w:tr>
      <w:tr>
        <w:trPr/>
        <w:tc>
          <w:tcPr>
            <w:tcW w:w="349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Cygnet Fountains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Blackburn, UK</w:t>
            </w:r>
          </w:p>
        </w:tc>
        <w:tc>
          <w:tcPr>
            <w:tcW w:w="8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34</w:t>
            </w:r>
          </w:p>
        </w:tc>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Owned</w:t>
            </w:r>
          </w:p>
        </w:tc>
      </w:tr>
      <w:tr>
        <w:trPr/>
        <w:tc>
          <w:tcPr>
            <w:tcW w:w="349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Cygnet Grange</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Sutton-in-Ashfield, UK</w:t>
            </w:r>
          </w:p>
        </w:tc>
        <w:tc>
          <w:tcPr>
            <w:tcW w:w="8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w:t>
            </w:r>
          </w:p>
        </w:tc>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Owned</w:t>
            </w:r>
          </w:p>
        </w:tc>
      </w:tr>
      <w:tr>
        <w:trPr/>
        <w:tc>
          <w:tcPr>
            <w:tcW w:w="349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Cygnet Heathers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West Bromwich, UK</w:t>
            </w:r>
          </w:p>
        </w:tc>
        <w:tc>
          <w:tcPr>
            <w:tcW w:w="8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w:t>
            </w:r>
          </w:p>
        </w:tc>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Owned</w:t>
            </w:r>
          </w:p>
        </w:tc>
      </w:tr>
      <w:tr>
        <w:trPr/>
        <w:tc>
          <w:tcPr>
            <w:tcW w:w="349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Cygnet Hospital—Beckton</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London, UK</w:t>
            </w:r>
          </w:p>
        </w:tc>
        <w:tc>
          <w:tcPr>
            <w:tcW w:w="8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62</w:t>
            </w:r>
          </w:p>
        </w:tc>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Owned</w:t>
            </w:r>
          </w:p>
        </w:tc>
      </w:tr>
      <w:tr>
        <w:trPr/>
        <w:tc>
          <w:tcPr>
            <w:tcW w:w="349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Cygnet Hospital—Bierley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Bradford, UK</w:t>
            </w:r>
          </w:p>
        </w:tc>
        <w:tc>
          <w:tcPr>
            <w:tcW w:w="8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63</w:t>
            </w:r>
          </w:p>
        </w:tc>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Owned</w:t>
            </w:r>
          </w:p>
        </w:tc>
      </w:tr>
      <w:tr>
        <w:trPr/>
        <w:tc>
          <w:tcPr>
            <w:tcW w:w="349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Cygnet Hospital—Blackheath</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London, UK</w:t>
            </w:r>
          </w:p>
        </w:tc>
        <w:tc>
          <w:tcPr>
            <w:tcW w:w="8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w:t>
            </w:r>
          </w:p>
        </w:tc>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Leased</w:t>
            </w:r>
          </w:p>
        </w:tc>
      </w:tr>
      <w:tr>
        <w:trPr/>
        <w:tc>
          <w:tcPr>
            <w:tcW w:w="349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Cygnet Hospital—Bury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Bury, UK</w:t>
            </w:r>
          </w:p>
        </w:tc>
        <w:tc>
          <w:tcPr>
            <w:tcW w:w="8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187</w:t>
            </w:r>
          </w:p>
        </w:tc>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Owned</w:t>
            </w:r>
          </w:p>
        </w:tc>
      </w:tr>
      <w:tr>
        <w:trPr/>
        <w:tc>
          <w:tcPr>
            <w:tcW w:w="349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Cygnet Hospital—Clifton</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Nottingham, UK</w:t>
            </w:r>
          </w:p>
        </w:tc>
        <w:tc>
          <w:tcPr>
            <w:tcW w:w="8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25</w:t>
            </w:r>
          </w:p>
        </w:tc>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Owned</w:t>
            </w:r>
          </w:p>
        </w:tc>
      </w:tr>
      <w:tr>
        <w:trPr/>
        <w:tc>
          <w:tcPr>
            <w:tcW w:w="349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Cygnet Hospital—Derby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Derby, UK</w:t>
            </w:r>
          </w:p>
        </w:tc>
        <w:tc>
          <w:tcPr>
            <w:tcW w:w="8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50</w:t>
            </w:r>
          </w:p>
        </w:tc>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Owned</w:t>
            </w:r>
          </w:p>
        </w:tc>
      </w:tr>
      <w:tr>
        <w:trPr/>
        <w:tc>
          <w:tcPr>
            <w:tcW w:w="349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Cygnet Hospital—Ealing</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Ealing, UK</w:t>
            </w:r>
          </w:p>
        </w:tc>
        <w:tc>
          <w:tcPr>
            <w:tcW w:w="8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26</w:t>
            </w:r>
          </w:p>
        </w:tc>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Owned</w:t>
            </w:r>
          </w:p>
        </w:tc>
      </w:tr>
      <w:tr>
        <w:trPr/>
        <w:tc>
          <w:tcPr>
            <w:tcW w:w="349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Cygnet Hospital—Elowen</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Heanor, UK</w:t>
            </w:r>
          </w:p>
        </w:tc>
        <w:tc>
          <w:tcPr>
            <w:tcW w:w="8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24</w:t>
            </w:r>
          </w:p>
        </w:tc>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Owned</w:t>
            </w:r>
          </w:p>
        </w:tc>
      </w:tr>
      <w:tr>
        <w:trPr/>
        <w:tc>
          <w:tcPr>
            <w:tcW w:w="349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Cygnet Hospital—Godden Green</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Sevenoaks, UK</w:t>
            </w:r>
          </w:p>
        </w:tc>
        <w:tc>
          <w:tcPr>
            <w:tcW w:w="8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39</w:t>
            </w:r>
          </w:p>
        </w:tc>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Owned</w:t>
            </w:r>
          </w:p>
        </w:tc>
      </w:tr>
      <w:tr>
        <w:trPr/>
        <w:tc>
          <w:tcPr>
            <w:tcW w:w="349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Cygnet Hospital—Harrogate</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Harrogate, UK</w:t>
            </w:r>
          </w:p>
        </w:tc>
        <w:tc>
          <w:tcPr>
            <w:tcW w:w="8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36</w:t>
            </w:r>
          </w:p>
        </w:tc>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Owned</w:t>
            </w:r>
          </w:p>
        </w:tc>
      </w:tr>
      <w:tr>
        <w:trPr/>
        <w:tc>
          <w:tcPr>
            <w:tcW w:w="349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Cygnet Hospital—Harrow</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Harrow, UK</w:t>
            </w:r>
          </w:p>
        </w:tc>
        <w:tc>
          <w:tcPr>
            <w:tcW w:w="8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64</w:t>
            </w:r>
          </w:p>
        </w:tc>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Owned</w:t>
            </w:r>
          </w:p>
        </w:tc>
      </w:tr>
      <w:tr>
        <w:trPr/>
        <w:tc>
          <w:tcPr>
            <w:tcW w:w="349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Cygnet Hospital—Hexham</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Hexham, UK</w:t>
            </w:r>
          </w:p>
        </w:tc>
        <w:tc>
          <w:tcPr>
            <w:tcW w:w="8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27</w:t>
            </w:r>
          </w:p>
        </w:tc>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Owned</w:t>
            </w:r>
          </w:p>
        </w:tc>
      </w:tr>
      <w:tr>
        <w:trPr/>
        <w:tc>
          <w:tcPr>
            <w:tcW w:w="349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Cygnet Hospital—Kewstoke</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Kewstoke, UK</w:t>
            </w:r>
          </w:p>
        </w:tc>
        <w:tc>
          <w:tcPr>
            <w:tcW w:w="8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72</w:t>
            </w:r>
          </w:p>
        </w:tc>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Owned</w:t>
            </w:r>
          </w:p>
        </w:tc>
      </w:tr>
      <w:tr>
        <w:trPr/>
        <w:tc>
          <w:tcPr>
            <w:tcW w:w="349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Cygnet Hospital—Kidsgrove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Stoke on Trent, UK</w:t>
            </w:r>
          </w:p>
        </w:tc>
        <w:tc>
          <w:tcPr>
            <w:tcW w:w="8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w:t>
            </w:r>
          </w:p>
        </w:tc>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Owned</w:t>
            </w:r>
          </w:p>
        </w:tc>
      </w:tr>
      <w:tr>
        <w:trPr/>
        <w:tc>
          <w:tcPr>
            <w:tcW w:w="349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Cygnet Hospital—Maidstone</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Maidstone, UK</w:t>
            </w:r>
          </w:p>
        </w:tc>
        <w:tc>
          <w:tcPr>
            <w:tcW w:w="8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65</w:t>
            </w:r>
          </w:p>
        </w:tc>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Owned</w:t>
            </w:r>
          </w:p>
        </w:tc>
      </w:tr>
      <w:tr>
        <w:trPr/>
        <w:tc>
          <w:tcPr>
            <w:tcW w:w="33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Cygnet Hospital—Oldbury</w:t>
            </w:r>
          </w:p>
        </w:tc>
        <w:tc>
          <w:tcPr>
            <w:tcW w:w="30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Oldbury, UK</w:t>
            </w:r>
          </w:p>
        </w:tc>
        <w:tc>
          <w:tcPr>
            <w:tcW w:w="8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27</w:t>
            </w:r>
          </w:p>
        </w:tc>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Owned</w:t>
            </w:r>
          </w:p>
        </w:tc>
      </w:tr>
      <w:tr>
        <w:trPr/>
        <w:tc>
          <w:tcPr>
            <w:tcW w:w="349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Cygnet Hospital—Sheffield</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Sheffield, UK</w:t>
            </w:r>
          </w:p>
        </w:tc>
        <w:tc>
          <w:tcPr>
            <w:tcW w:w="8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57</w:t>
            </w:r>
          </w:p>
        </w:tc>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Owned</w:t>
            </w:r>
          </w:p>
        </w:tc>
      </w:tr>
      <w:tr>
        <w:trPr/>
        <w:tc>
          <w:tcPr>
            <w:tcW w:w="349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Cygnet Hospital—Sherwood</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Mansfield, UK</w:t>
            </w:r>
          </w:p>
        </w:tc>
        <w:tc>
          <w:tcPr>
            <w:tcW w:w="8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44</w:t>
            </w:r>
          </w:p>
        </w:tc>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Owned</w:t>
            </w:r>
          </w:p>
        </w:tc>
      </w:tr>
      <w:tr>
        <w:trPr/>
        <w:tc>
          <w:tcPr>
            <w:tcW w:w="349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Cygnet Hospital—Stevenage</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Stevenage, UK</w:t>
            </w:r>
          </w:p>
        </w:tc>
        <w:tc>
          <w:tcPr>
            <w:tcW w:w="8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88</w:t>
            </w:r>
          </w:p>
        </w:tc>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Owned</w:t>
            </w:r>
          </w:p>
        </w:tc>
      </w:tr>
      <w:tr>
        <w:trPr/>
        <w:tc>
          <w:tcPr>
            <w:tcW w:w="349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Cygnet Hospital—Taunton</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Taunton, UK</w:t>
            </w:r>
          </w:p>
        </w:tc>
        <w:tc>
          <w:tcPr>
            <w:tcW w:w="8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57</w:t>
            </w:r>
          </w:p>
        </w:tc>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Owned</w:t>
            </w:r>
          </w:p>
        </w:tc>
      </w:tr>
      <w:tr>
        <w:trPr/>
        <w:tc>
          <w:tcPr>
            <w:tcW w:w="349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Cygnet Hospital—Woking</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Woking, UK</w:t>
            </w:r>
          </w:p>
        </w:tc>
        <w:tc>
          <w:tcPr>
            <w:tcW w:w="8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62</w:t>
            </w:r>
          </w:p>
        </w:tc>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Owned</w:t>
            </w:r>
          </w:p>
        </w:tc>
      </w:tr>
      <w:tr>
        <w:trPr/>
        <w:tc>
          <w:tcPr>
            <w:tcW w:w="349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Cygnet Hospital—Wolverhampton</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Wolverhampton, UK</w:t>
            </w:r>
          </w:p>
        </w:tc>
        <w:tc>
          <w:tcPr>
            <w:tcW w:w="8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29</w:t>
            </w:r>
          </w:p>
        </w:tc>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Owned</w:t>
            </w:r>
          </w:p>
        </w:tc>
      </w:tr>
      <w:tr>
        <w:trPr/>
        <w:tc>
          <w:tcPr>
            <w:tcW w:w="349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Cygnet Hospital—Wyke</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Bradford, UK</w:t>
            </w:r>
          </w:p>
        </w:tc>
        <w:tc>
          <w:tcPr>
            <w:tcW w:w="8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52</w:t>
            </w:r>
          </w:p>
        </w:tc>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Owned</w:t>
            </w:r>
          </w:p>
        </w:tc>
      </w:tr>
      <w:tr>
        <w:trPr/>
        <w:tc>
          <w:tcPr>
            <w:tcW w:w="349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Cygnet Hospital Colchester - Highwoods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Colchester, UK</w:t>
            </w:r>
          </w:p>
        </w:tc>
        <w:tc>
          <w:tcPr>
            <w:tcW w:w="8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w:t>
            </w:r>
          </w:p>
        </w:tc>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Owned</w:t>
            </w:r>
          </w:p>
        </w:tc>
      </w:tr>
      <w:tr>
        <w:trPr/>
        <w:tc>
          <w:tcPr>
            <w:tcW w:w="349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Cygnet Hospital Colchester - Larch Court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Essex, UK</w:t>
            </w:r>
          </w:p>
        </w:tc>
        <w:tc>
          <w:tcPr>
            <w:tcW w:w="8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w:t>
            </w:r>
          </w:p>
        </w:tc>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Owned</w:t>
            </w:r>
          </w:p>
        </w:tc>
      </w:tr>
      <w:tr>
        <w:trPr/>
        <w:tc>
          <w:tcPr>
            <w:tcW w:w="349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Cygnet Hospital Colchester - Oak Court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Essex, UK</w:t>
            </w:r>
          </w:p>
        </w:tc>
        <w:tc>
          <w:tcPr>
            <w:tcW w:w="8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12</w:t>
            </w:r>
          </w:p>
        </w:tc>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Owned</w:t>
            </w:r>
          </w:p>
        </w:tc>
      </w:tr>
      <w:tr>
        <w:trPr/>
        <w:tc>
          <w:tcPr>
            <w:tcW w:w="349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Cygnet Hospital Colchester - Ramsey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Colchester, UK</w:t>
            </w:r>
          </w:p>
        </w:tc>
        <w:tc>
          <w:tcPr>
            <w:tcW w:w="8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21</w:t>
            </w:r>
          </w:p>
        </w:tc>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Owned</w:t>
            </w:r>
          </w:p>
        </w:tc>
      </w:tr>
      <w:tr>
        <w:trPr/>
        <w:tc>
          <w:tcPr>
            <w:tcW w:w="349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Cygnet Joyce Parker Hospital</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Coventry, UK</w:t>
            </w:r>
          </w:p>
        </w:tc>
        <w:tc>
          <w:tcPr>
            <w:tcW w:w="8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57</w:t>
            </w:r>
          </w:p>
        </w:tc>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Owned</w:t>
            </w:r>
          </w:p>
        </w:tc>
      </w:tr>
      <w:tr>
        <w:trPr/>
        <w:tc>
          <w:tcPr>
            <w:tcW w:w="349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Cygnet Kenney House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Oldham, UK</w:t>
            </w:r>
          </w:p>
        </w:tc>
        <w:tc>
          <w:tcPr>
            <w:tcW w:w="8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44</w:t>
            </w:r>
          </w:p>
        </w:tc>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Owned</w:t>
            </w:r>
          </w:p>
        </w:tc>
      </w:tr>
      <w:tr>
        <w:trPr/>
        <w:tc>
          <w:tcPr>
            <w:tcW w:w="349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Cygnet Lodge</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Sutton-in-Ashfield, UK</w:t>
            </w:r>
          </w:p>
        </w:tc>
        <w:tc>
          <w:tcPr>
            <w:tcW w:w="8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w:t>
            </w:r>
          </w:p>
        </w:tc>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Owned</w:t>
            </w:r>
          </w:p>
        </w:tc>
      </w:tr>
      <w:tr>
        <w:trPr/>
        <w:tc>
          <w:tcPr>
            <w:tcW w:w="349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Cygnet Lodge—Brighouse</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Brighouse, UK</w:t>
            </w:r>
          </w:p>
        </w:tc>
        <w:tc>
          <w:tcPr>
            <w:tcW w:w="8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25</w:t>
            </w:r>
          </w:p>
        </w:tc>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Owned</w:t>
            </w:r>
          </w:p>
        </w:tc>
      </w:tr>
      <w:tr>
        <w:trPr/>
        <w:tc>
          <w:tcPr>
            <w:tcW w:w="349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Cygnet Lodge—Kenton</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Middlesex, UK</w:t>
            </w:r>
          </w:p>
        </w:tc>
        <w:tc>
          <w:tcPr>
            <w:tcW w:w="8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15</w:t>
            </w:r>
          </w:p>
        </w:tc>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Owned</w:t>
            </w:r>
          </w:p>
        </w:tc>
      </w:tr>
      <w:tr>
        <w:trPr/>
        <w:tc>
          <w:tcPr>
            <w:tcW w:w="349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Cygnet Lodge—Lewisham</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London, UK</w:t>
            </w:r>
          </w:p>
        </w:tc>
        <w:tc>
          <w:tcPr>
            <w:tcW w:w="8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17</w:t>
            </w:r>
          </w:p>
        </w:tc>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Owned</w:t>
            </w:r>
          </w:p>
        </w:tc>
      </w:tr>
      <w:tr>
        <w:trPr/>
        <w:tc>
          <w:tcPr>
            <w:tcW w:w="349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Cygnet Lodge—Salford</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Manchester, UK</w:t>
            </w:r>
          </w:p>
        </w:tc>
        <w:tc>
          <w:tcPr>
            <w:tcW w:w="8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24</w:t>
            </w:r>
          </w:p>
        </w:tc>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Owned</w:t>
            </w:r>
          </w:p>
        </w:tc>
      </w:tr>
      <w:tr>
        <w:trPr/>
        <w:tc>
          <w:tcPr>
            <w:tcW w:w="349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Cygnet Lodge—Woking</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Woking, UK</w:t>
            </w:r>
          </w:p>
        </w:tc>
        <w:tc>
          <w:tcPr>
            <w:tcW w:w="8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w:t>
            </w:r>
          </w:p>
        </w:tc>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Owned</w:t>
            </w:r>
          </w:p>
        </w:tc>
      </w:tr>
      <w:tr>
        <w:trPr/>
        <w:tc>
          <w:tcPr>
            <w:tcW w:w="349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Cygnet Manor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Shirebrook, UK</w:t>
            </w:r>
          </w:p>
        </w:tc>
        <w:tc>
          <w:tcPr>
            <w:tcW w:w="8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w:t>
            </w:r>
          </w:p>
        </w:tc>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Owned</w:t>
            </w:r>
          </w:p>
        </w:tc>
      </w:tr>
      <w:tr>
        <w:trPr/>
        <w:tc>
          <w:tcPr>
            <w:tcW w:w="349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Cygnet Newham House</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Middlesbrough, UK</w:t>
            </w:r>
          </w:p>
        </w:tc>
        <w:tc>
          <w:tcPr>
            <w:tcW w:w="8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w:t>
            </w:r>
          </w:p>
        </w:tc>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Owned</w:t>
            </w:r>
          </w:p>
        </w:tc>
      </w:tr>
      <w:tr>
        <w:trPr/>
        <w:tc>
          <w:tcPr>
            <w:tcW w:w="349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Cygnet Newtown House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Blackpool, UK</w:t>
            </w:r>
          </w:p>
        </w:tc>
        <w:tc>
          <w:tcPr>
            <w:tcW w:w="8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21</w:t>
            </w:r>
          </w:p>
        </w:tc>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Owned</w:t>
            </w:r>
          </w:p>
        </w:tc>
      </w:tr>
      <w:tr>
        <w:trPr/>
        <w:tc>
          <w:tcPr>
            <w:tcW w:w="349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Cygnet Nield House</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Crewe, UK</w:t>
            </w:r>
          </w:p>
        </w:tc>
        <w:tc>
          <w:tcPr>
            <w:tcW w:w="8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30</w:t>
            </w:r>
          </w:p>
        </w:tc>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Owned</w:t>
            </w:r>
          </w:p>
        </w:tc>
      </w:tr>
      <w:tr>
        <w:trPr/>
        <w:tc>
          <w:tcPr>
            <w:tcW w:w="349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Cygnet Oaks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Barnsley, UK</w:t>
            </w:r>
          </w:p>
        </w:tc>
        <w:tc>
          <w:tcPr>
            <w:tcW w:w="8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35</w:t>
            </w:r>
          </w:p>
        </w:tc>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Owned</w:t>
            </w:r>
          </w:p>
        </w:tc>
      </w:tr>
      <w:tr>
        <w:trPr/>
        <w:tc>
          <w:tcPr>
            <w:tcW w:w="349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Cygnet Paddocks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Widnes, UK</w:t>
            </w:r>
          </w:p>
        </w:tc>
        <w:tc>
          <w:tcPr>
            <w:tcW w:w="8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30</w:t>
            </w:r>
          </w:p>
        </w:tc>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Owned</w:t>
            </w:r>
          </w:p>
        </w:tc>
      </w:tr>
      <w:tr>
        <w:trPr/>
        <w:tc>
          <w:tcPr>
            <w:tcW w:w="349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Cygnet Pindar House</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Barnsley, UK</w:t>
            </w:r>
          </w:p>
        </w:tc>
        <w:tc>
          <w:tcPr>
            <w:tcW w:w="8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22</w:t>
            </w:r>
          </w:p>
        </w:tc>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Owned</w:t>
            </w:r>
          </w:p>
        </w:tc>
      </w:tr>
      <w:tr>
        <w:trPr/>
        <w:tc>
          <w:tcPr>
            <w:tcW w:w="349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Cygnet Raglan House</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West Midlands, UK</w:t>
            </w:r>
          </w:p>
        </w:tc>
        <w:tc>
          <w:tcPr>
            <w:tcW w:w="8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25</w:t>
            </w:r>
          </w:p>
        </w:tc>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Owned</w:t>
            </w:r>
          </w:p>
        </w:tc>
      </w:tr>
      <w:tr>
        <w:trPr/>
        <w:tc>
          <w:tcPr>
            <w:tcW w:w="349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Cygnet Sedgley House</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Wolverhampton, UK</w:t>
            </w:r>
          </w:p>
        </w:tc>
        <w:tc>
          <w:tcPr>
            <w:tcW w:w="8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w:t>
            </w:r>
          </w:p>
        </w:tc>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Owned</w:t>
            </w:r>
          </w:p>
        </w:tc>
      </w:tr>
      <w:tr>
        <w:trPr/>
        <w:tc>
          <w:tcPr>
            <w:tcW w:w="349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Cygnet Sedgley Lodge</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Wolverhampton, UK</w:t>
            </w:r>
          </w:p>
        </w:tc>
        <w:tc>
          <w:tcPr>
            <w:tcW w:w="8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14</w:t>
            </w:r>
          </w:p>
        </w:tc>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Owned</w:t>
            </w:r>
          </w:p>
        </w:tc>
      </w:tr>
      <w:tr>
        <w:trPr/>
        <w:tc>
          <w:tcPr>
            <w:tcW w:w="349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Cygnet Sherwood House</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Mansfield, UK</w:t>
            </w:r>
          </w:p>
        </w:tc>
        <w:tc>
          <w:tcPr>
            <w:tcW w:w="8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30</w:t>
            </w:r>
          </w:p>
        </w:tc>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Owned</w:t>
            </w:r>
          </w:p>
        </w:tc>
      </w:tr>
      <w:tr>
        <w:trPr/>
        <w:tc>
          <w:tcPr>
            <w:tcW w:w="349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Cygnet Sherwood Lodge</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Mansfield, UK</w:t>
            </w:r>
          </w:p>
        </w:tc>
        <w:tc>
          <w:tcPr>
            <w:tcW w:w="8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17</w:t>
            </w:r>
          </w:p>
        </w:tc>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Owned</w:t>
            </w:r>
          </w:p>
        </w:tc>
      </w:tr>
    </w:tbl>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6765" w:type="dxa"/>
        <w:jc w:val="left"/>
        <w:tblInd w:w="0" w:type="dxa"/>
        <w:tblLayout w:type="fixed"/>
        <w:tblCellMar>
          <w:top w:w="28" w:type="dxa"/>
          <w:left w:w="28" w:type="dxa"/>
          <w:bottom w:w="28" w:type="dxa"/>
          <w:right w:w="28" w:type="dxa"/>
        </w:tblCellMar>
      </w:tblPr>
      <w:tblGrid>
        <w:gridCol w:w="2491"/>
        <w:gridCol w:w="146"/>
        <w:gridCol w:w="2311"/>
        <w:gridCol w:w="886"/>
        <w:gridCol w:w="931"/>
      </w:tblGrid>
      <w:tr>
        <w:trPr/>
        <w:tc>
          <w:tcPr>
            <w:tcW w:w="249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311" w:type="dxa"/>
            <w:tcBorders/>
            <w:shd w:fill="FFFFFF" w:val="clear"/>
            <w:vAlign w:val="center"/>
          </w:tcPr>
          <w:p>
            <w:pPr>
              <w:pStyle w:val="TableContents"/>
              <w:bidi w:val="0"/>
              <w:spacing w:before="0" w:after="283"/>
              <w:jc w:val="left"/>
              <w:rPr>
                <w:sz w:val="4"/>
                <w:szCs w:val="4"/>
              </w:rPr>
            </w:pPr>
            <w:r>
              <w:rPr>
                <w:sz w:val="4"/>
                <w:szCs w:val="4"/>
              </w:rPr>
            </w:r>
          </w:p>
        </w:tc>
        <w:tc>
          <w:tcPr>
            <w:tcW w:w="886" w:type="dxa"/>
            <w:tcBorders/>
            <w:shd w:fill="FFFFFF" w:val="clear"/>
            <w:vAlign w:val="center"/>
          </w:tcPr>
          <w:p>
            <w:pPr>
              <w:pStyle w:val="TableContents"/>
              <w:bidi w:val="0"/>
              <w:spacing w:before="0" w:after="283"/>
              <w:jc w:val="left"/>
              <w:rPr>
                <w:sz w:val="4"/>
                <w:szCs w:val="4"/>
              </w:rPr>
            </w:pPr>
            <w:r>
              <w:rPr>
                <w:sz w:val="4"/>
                <w:szCs w:val="4"/>
              </w:rPr>
            </w:r>
          </w:p>
        </w:tc>
        <w:tc>
          <w:tcPr>
            <w:tcW w:w="931" w:type="dxa"/>
            <w:tcBorders/>
            <w:shd w:fill="FFFFFF" w:val="clear"/>
            <w:vAlign w:val="center"/>
          </w:tcPr>
          <w:p>
            <w:pPr>
              <w:pStyle w:val="TableContents"/>
              <w:bidi w:val="0"/>
              <w:spacing w:before="0" w:after="283"/>
              <w:jc w:val="left"/>
              <w:rPr>
                <w:sz w:val="4"/>
                <w:szCs w:val="4"/>
              </w:rPr>
            </w:pPr>
            <w:r>
              <w:rPr>
                <w:sz w:val="4"/>
                <w:szCs w:val="4"/>
              </w:rPr>
            </w:r>
          </w:p>
        </w:tc>
      </w:tr>
      <w:tr>
        <w:trPr/>
        <w:tc>
          <w:tcPr>
            <w:tcW w:w="24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United Kingdom:</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Name of Facility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b/>
                <w:color w:val="000000"/>
                <w:sz w:val="16"/>
              </w:rPr>
              <w:t>Location</w:t>
            </w:r>
            <w:r>
              <w:rPr>
                <w:rFonts w:ascii="Times New Roman" w:hAnsi="Times New Roman"/>
                <w:color w:val="000000"/>
                <w:sz w:val="16"/>
              </w:rPr>
              <w:t xml:space="preserve"> </w:t>
            </w:r>
          </w:p>
        </w:tc>
        <w:tc>
          <w:tcPr>
            <w:tcW w:w="8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Number of</w:t>
              <w:br/>
              <w:t>Beds</w:t>
            </w:r>
            <w:r>
              <w:rPr>
                <w:rFonts w:ascii="Times New Roman" w:hAnsi="Times New Roman"/>
                <w:color w:val="000000"/>
                <w:sz w:val="16"/>
              </w:rPr>
              <w:t xml:space="preserve"> </w:t>
            </w:r>
          </w:p>
        </w:tc>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Real</w:t>
              <w:br/>
              <w:t>Property</w:t>
              <w:br/>
              <w:t>Ownership</w:t>
              <w:br/>
              <w:t>Interest</w:t>
            </w:r>
            <w:r>
              <w:rPr>
                <w:rFonts w:ascii="Times New Roman" w:hAnsi="Times New Roman"/>
                <w:color w:val="000000"/>
                <w:sz w:val="16"/>
              </w:rPr>
              <w:t xml:space="preserve"> </w:t>
            </w:r>
          </w:p>
        </w:tc>
      </w:tr>
      <w:tr>
        <w:trPr/>
        <w:tc>
          <w:tcPr>
            <w:tcW w:w="24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Cygnet St. Augustine’s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Stoke on Trent, UK</w:t>
            </w:r>
          </w:p>
        </w:tc>
        <w:tc>
          <w:tcPr>
            <w:tcW w:w="8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w:t>
            </w:r>
          </w:p>
        </w:tc>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Owned</w:t>
            </w:r>
          </w:p>
        </w:tc>
      </w:tr>
      <w:tr>
        <w:trPr/>
        <w:tc>
          <w:tcPr>
            <w:tcW w:w="24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Cygnet St. Teilo House</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Gwent, UK</w:t>
            </w:r>
          </w:p>
        </w:tc>
        <w:tc>
          <w:tcPr>
            <w:tcW w:w="8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23</w:t>
            </w:r>
          </w:p>
        </w:tc>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Owned</w:t>
            </w:r>
          </w:p>
        </w:tc>
      </w:tr>
      <w:tr>
        <w:trPr/>
        <w:tc>
          <w:tcPr>
            <w:tcW w:w="24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Cygnet St. Williams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Darlington, UK</w:t>
            </w:r>
          </w:p>
        </w:tc>
        <w:tc>
          <w:tcPr>
            <w:tcW w:w="8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12</w:t>
            </w:r>
          </w:p>
        </w:tc>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Owned</w:t>
            </w:r>
          </w:p>
        </w:tc>
      </w:tr>
      <w:tr>
        <w:trPr/>
        <w:tc>
          <w:tcPr>
            <w:tcW w:w="24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Cygnet Storthfield House</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Derbyshire, UK</w:t>
            </w:r>
          </w:p>
        </w:tc>
        <w:tc>
          <w:tcPr>
            <w:tcW w:w="8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22</w:t>
            </w:r>
          </w:p>
        </w:tc>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Owned</w:t>
            </w:r>
          </w:p>
        </w:tc>
      </w:tr>
      <w:tr>
        <w:trPr/>
        <w:tc>
          <w:tcPr>
            <w:tcW w:w="24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Cygnet Victoria House</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Darlington, UK</w:t>
            </w:r>
          </w:p>
        </w:tc>
        <w:tc>
          <w:tcPr>
            <w:tcW w:w="8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26</w:t>
            </w:r>
          </w:p>
        </w:tc>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Owned</w:t>
            </w:r>
          </w:p>
        </w:tc>
      </w:tr>
      <w:tr>
        <w:trPr/>
        <w:tc>
          <w:tcPr>
            <w:tcW w:w="24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Cygnet Views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Matlock, UK</w:t>
            </w:r>
          </w:p>
        </w:tc>
        <w:tc>
          <w:tcPr>
            <w:tcW w:w="8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w:t>
            </w:r>
          </w:p>
        </w:tc>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Owned</w:t>
            </w:r>
          </w:p>
        </w:tc>
      </w:tr>
      <w:tr>
        <w:trPr/>
        <w:tc>
          <w:tcPr>
            <w:tcW w:w="24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Cygnet Wallace Hospital</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Dundee, UK</w:t>
            </w:r>
          </w:p>
        </w:tc>
        <w:tc>
          <w:tcPr>
            <w:tcW w:w="8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18</w:t>
            </w:r>
          </w:p>
        </w:tc>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Owned</w:t>
            </w:r>
          </w:p>
        </w:tc>
      </w:tr>
      <w:tr>
        <w:trPr/>
        <w:tc>
          <w:tcPr>
            <w:tcW w:w="24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Cygnet Wast Hills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Birmingham, UK</w:t>
            </w:r>
          </w:p>
        </w:tc>
        <w:tc>
          <w:tcPr>
            <w:tcW w:w="8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26</w:t>
            </w:r>
          </w:p>
        </w:tc>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Owned</w:t>
            </w:r>
          </w:p>
        </w:tc>
      </w:tr>
      <w:tr>
        <w:trPr/>
        <w:tc>
          <w:tcPr>
            <w:tcW w:w="24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 Daley Care Centre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Sheffiled, UK</w:t>
            </w:r>
          </w:p>
        </w:tc>
        <w:tc>
          <w:tcPr>
            <w:tcW w:w="8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24</w:t>
            </w:r>
          </w:p>
        </w:tc>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Owned</w:t>
            </w:r>
          </w:p>
        </w:tc>
      </w:tr>
      <w:tr>
        <w:trPr/>
        <w:tc>
          <w:tcPr>
            <w:tcW w:w="24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Dean Grange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Newnham, UK</w:t>
            </w:r>
          </w:p>
        </w:tc>
        <w:tc>
          <w:tcPr>
            <w:tcW w:w="8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w:t>
            </w:r>
          </w:p>
        </w:tc>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 xml:space="preserve">Owned </w:t>
            </w:r>
          </w:p>
        </w:tc>
      </w:tr>
      <w:tr>
        <w:trPr/>
        <w:tc>
          <w:tcPr>
            <w:tcW w:w="24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Dene Brook</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Rotherham, UK</w:t>
            </w:r>
          </w:p>
        </w:tc>
        <w:tc>
          <w:tcPr>
            <w:tcW w:w="8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13</w:t>
            </w:r>
          </w:p>
        </w:tc>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Owned</w:t>
            </w:r>
          </w:p>
        </w:tc>
      </w:tr>
      <w:tr>
        <w:trPr/>
        <w:tc>
          <w:tcPr>
            <w:tcW w:w="24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Devon Lodge</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Southampton, UK</w:t>
            </w:r>
          </w:p>
        </w:tc>
        <w:tc>
          <w:tcPr>
            <w:tcW w:w="8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12</w:t>
            </w:r>
          </w:p>
        </w:tc>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Owned</w:t>
            </w:r>
          </w:p>
        </w:tc>
      </w:tr>
      <w:tr>
        <w:trPr/>
        <w:tc>
          <w:tcPr>
            <w:tcW w:w="24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Dove Valley Mews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Barnsley, UK</w:t>
            </w:r>
          </w:p>
        </w:tc>
        <w:tc>
          <w:tcPr>
            <w:tcW w:w="8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w:t>
            </w:r>
          </w:p>
        </w:tc>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Owned</w:t>
            </w:r>
          </w:p>
        </w:tc>
      </w:tr>
      <w:tr>
        <w:trPr/>
        <w:tc>
          <w:tcPr>
            <w:tcW w:w="24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Ducks Halt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Essex, UK</w:t>
            </w:r>
          </w:p>
        </w:tc>
        <w:tc>
          <w:tcPr>
            <w:tcW w:w="8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w:t>
            </w:r>
          </w:p>
        </w:tc>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Owned</w:t>
            </w:r>
          </w:p>
        </w:tc>
      </w:tr>
      <w:tr>
        <w:trPr/>
        <w:tc>
          <w:tcPr>
            <w:tcW w:w="24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Ellen Mhor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Dundee, UK</w:t>
            </w:r>
          </w:p>
        </w:tc>
        <w:tc>
          <w:tcPr>
            <w:tcW w:w="8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12</w:t>
            </w:r>
          </w:p>
        </w:tc>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Owned</w:t>
            </w:r>
          </w:p>
        </w:tc>
      </w:tr>
      <w:tr>
        <w:trPr/>
        <w:tc>
          <w:tcPr>
            <w:tcW w:w="24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Elston House</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Newark, UK</w:t>
            </w:r>
          </w:p>
        </w:tc>
        <w:tc>
          <w:tcPr>
            <w:tcW w:w="8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w:t>
            </w:r>
          </w:p>
        </w:tc>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Owned</w:t>
            </w:r>
          </w:p>
        </w:tc>
      </w:tr>
      <w:tr>
        <w:trPr/>
        <w:tc>
          <w:tcPr>
            <w:tcW w:w="24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Fairways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Ipswich, UK</w:t>
            </w:r>
          </w:p>
        </w:tc>
        <w:tc>
          <w:tcPr>
            <w:tcW w:w="8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w:t>
            </w:r>
          </w:p>
        </w:tc>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Owned</w:t>
            </w:r>
          </w:p>
        </w:tc>
      </w:tr>
      <w:tr>
        <w:trPr/>
        <w:tc>
          <w:tcPr>
            <w:tcW w:w="24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 Fields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Sheffield, UK</w:t>
            </w:r>
          </w:p>
        </w:tc>
        <w:tc>
          <w:tcPr>
            <w:tcW w:w="8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54</w:t>
            </w:r>
          </w:p>
        </w:tc>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Owned</w:t>
            </w:r>
          </w:p>
        </w:tc>
      </w:tr>
      <w:tr>
        <w:trPr/>
        <w:tc>
          <w:tcPr>
            <w:tcW w:w="24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Gables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Essex, UK</w:t>
            </w:r>
          </w:p>
        </w:tc>
        <w:tc>
          <w:tcPr>
            <w:tcW w:w="8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w:t>
            </w:r>
          </w:p>
        </w:tc>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Owned</w:t>
            </w:r>
          </w:p>
        </w:tc>
      </w:tr>
      <w:tr>
        <w:trPr/>
        <w:tc>
          <w:tcPr>
            <w:tcW w:w="24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Gledcliffe Road</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Huddersfield, UK</w:t>
            </w:r>
          </w:p>
        </w:tc>
        <w:tc>
          <w:tcPr>
            <w:tcW w:w="8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w:t>
            </w:r>
          </w:p>
        </w:tc>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Owned</w:t>
            </w:r>
          </w:p>
        </w:tc>
      </w:tr>
      <w:tr>
        <w:trPr/>
        <w:tc>
          <w:tcPr>
            <w:tcW w:w="24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Gledholt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Huddersfield, UK</w:t>
            </w:r>
          </w:p>
        </w:tc>
        <w:tc>
          <w:tcPr>
            <w:tcW w:w="8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w:t>
            </w:r>
          </w:p>
        </w:tc>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Owned</w:t>
            </w:r>
          </w:p>
        </w:tc>
      </w:tr>
      <w:tr>
        <w:trPr/>
        <w:tc>
          <w:tcPr>
            <w:tcW w:w="24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Gledholt Mews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Huddersfield, UK</w:t>
            </w:r>
          </w:p>
        </w:tc>
        <w:tc>
          <w:tcPr>
            <w:tcW w:w="8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21</w:t>
            </w:r>
          </w:p>
        </w:tc>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Owned</w:t>
            </w:r>
          </w:p>
        </w:tc>
      </w:tr>
      <w:tr>
        <w:trPr/>
        <w:tc>
          <w:tcPr>
            <w:tcW w:w="24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Glyn House</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Stoke on Trent, UK</w:t>
            </w:r>
          </w:p>
        </w:tc>
        <w:tc>
          <w:tcPr>
            <w:tcW w:w="8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w:t>
            </w:r>
          </w:p>
        </w:tc>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Owned</w:t>
            </w:r>
          </w:p>
        </w:tc>
      </w:tr>
      <w:tr>
        <w:trPr/>
        <w:tc>
          <w:tcPr>
            <w:tcW w:w="24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Hansa Lodge</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Rainham, UK</w:t>
            </w:r>
          </w:p>
        </w:tc>
        <w:tc>
          <w:tcPr>
            <w:tcW w:w="8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w:t>
            </w:r>
          </w:p>
        </w:tc>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Owned</w:t>
            </w:r>
          </w:p>
        </w:tc>
      </w:tr>
      <w:tr>
        <w:trPr/>
        <w:tc>
          <w:tcPr>
            <w:tcW w:w="24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Hawkstone</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Keighley, UK</w:t>
            </w:r>
          </w:p>
        </w:tc>
        <w:tc>
          <w:tcPr>
            <w:tcW w:w="8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w:t>
            </w:r>
          </w:p>
        </w:tc>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Owned</w:t>
            </w:r>
          </w:p>
        </w:tc>
      </w:tr>
      <w:tr>
        <w:trPr/>
        <w:tc>
          <w:tcPr>
            <w:tcW w:w="24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Hollyhurst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Darlington, UK</w:t>
            </w:r>
          </w:p>
        </w:tc>
        <w:tc>
          <w:tcPr>
            <w:tcW w:w="8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19</w:t>
            </w:r>
          </w:p>
        </w:tc>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Owned</w:t>
            </w:r>
          </w:p>
        </w:tc>
      </w:tr>
      <w:tr>
        <w:trPr/>
        <w:tc>
          <w:tcPr>
            <w:tcW w:w="24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Hope House</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Hartlepool, UK</w:t>
            </w:r>
          </w:p>
        </w:tc>
        <w:tc>
          <w:tcPr>
            <w:tcW w:w="8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11</w:t>
            </w:r>
          </w:p>
        </w:tc>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Owned</w:t>
            </w:r>
          </w:p>
        </w:tc>
      </w:tr>
      <w:tr>
        <w:trPr/>
        <w:tc>
          <w:tcPr>
            <w:tcW w:w="24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Kirkside House</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Leeds, UK</w:t>
            </w:r>
          </w:p>
        </w:tc>
        <w:tc>
          <w:tcPr>
            <w:tcW w:w="8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w:t>
            </w:r>
          </w:p>
        </w:tc>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Owned</w:t>
            </w:r>
          </w:p>
        </w:tc>
      </w:tr>
      <w:tr>
        <w:trPr/>
        <w:tc>
          <w:tcPr>
            <w:tcW w:w="24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Kirkside Lodge</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Leeds, UK</w:t>
            </w:r>
          </w:p>
        </w:tc>
        <w:tc>
          <w:tcPr>
            <w:tcW w:w="8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w:t>
            </w:r>
          </w:p>
        </w:tc>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Owned</w:t>
            </w:r>
          </w:p>
        </w:tc>
      </w:tr>
      <w:tr>
        <w:trPr/>
        <w:tc>
          <w:tcPr>
            <w:tcW w:w="24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Langdale House</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Huddersfield, UK</w:t>
            </w:r>
          </w:p>
        </w:tc>
        <w:tc>
          <w:tcPr>
            <w:tcW w:w="8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w:t>
            </w:r>
          </w:p>
        </w:tc>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Owned</w:t>
            </w:r>
          </w:p>
        </w:tc>
      </w:tr>
      <w:tr>
        <w:trPr/>
        <w:tc>
          <w:tcPr>
            <w:tcW w:w="24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Lindsay House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Dundee, UK</w:t>
            </w:r>
          </w:p>
        </w:tc>
        <w:tc>
          <w:tcPr>
            <w:tcW w:w="8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w:t>
            </w:r>
          </w:p>
        </w:tc>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Owned</w:t>
            </w:r>
          </w:p>
        </w:tc>
      </w:tr>
      <w:tr>
        <w:trPr/>
        <w:tc>
          <w:tcPr>
            <w:tcW w:w="24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Longfield House</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Bradford, UK</w:t>
            </w:r>
          </w:p>
        </w:tc>
        <w:tc>
          <w:tcPr>
            <w:tcW w:w="8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w:t>
            </w:r>
          </w:p>
        </w:tc>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Owned</w:t>
            </w:r>
          </w:p>
        </w:tc>
      </w:tr>
      <w:tr>
        <w:trPr/>
        <w:tc>
          <w:tcPr>
            <w:tcW w:w="24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Lowry House</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Hyde, UK</w:t>
            </w:r>
          </w:p>
        </w:tc>
        <w:tc>
          <w:tcPr>
            <w:tcW w:w="8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12</w:t>
            </w:r>
          </w:p>
        </w:tc>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Owned</w:t>
            </w:r>
          </w:p>
        </w:tc>
      </w:tr>
      <w:tr>
        <w:trPr/>
        <w:tc>
          <w:tcPr>
            <w:tcW w:w="24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Malborn &amp; Teroan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Mansfield, UK</w:t>
            </w:r>
          </w:p>
        </w:tc>
        <w:tc>
          <w:tcPr>
            <w:tcW w:w="8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w:t>
            </w:r>
          </w:p>
        </w:tc>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Owned</w:t>
            </w:r>
          </w:p>
        </w:tc>
      </w:tr>
      <w:tr>
        <w:trPr/>
        <w:tc>
          <w:tcPr>
            <w:tcW w:w="24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Marion House</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Derby, UK</w:t>
            </w:r>
          </w:p>
        </w:tc>
        <w:tc>
          <w:tcPr>
            <w:tcW w:w="8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w:t>
            </w:r>
          </w:p>
        </w:tc>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Owned</w:t>
            </w:r>
          </w:p>
        </w:tc>
      </w:tr>
      <w:tr>
        <w:trPr/>
        <w:tc>
          <w:tcPr>
            <w:tcW w:w="24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Meadows Mews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Tipton, UK</w:t>
            </w:r>
          </w:p>
        </w:tc>
        <w:tc>
          <w:tcPr>
            <w:tcW w:w="8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w:t>
            </w:r>
          </w:p>
        </w:tc>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Owned</w:t>
            </w:r>
          </w:p>
        </w:tc>
      </w:tr>
      <w:tr>
        <w:trPr/>
        <w:tc>
          <w:tcPr>
            <w:tcW w:w="24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Milestone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Cinderford, UK</w:t>
            </w:r>
          </w:p>
        </w:tc>
        <w:tc>
          <w:tcPr>
            <w:tcW w:w="8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w:t>
            </w:r>
          </w:p>
        </w:tc>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Owned</w:t>
            </w:r>
          </w:p>
        </w:tc>
      </w:tr>
      <w:tr>
        <w:trPr/>
        <w:tc>
          <w:tcPr>
            <w:tcW w:w="24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Morgan House</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Stoke on Trent, UK</w:t>
            </w:r>
          </w:p>
        </w:tc>
        <w:tc>
          <w:tcPr>
            <w:tcW w:w="8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w:t>
            </w:r>
          </w:p>
        </w:tc>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Owned</w:t>
            </w:r>
          </w:p>
        </w:tc>
      </w:tr>
      <w:tr>
        <w:trPr/>
        <w:tc>
          <w:tcPr>
            <w:tcW w:w="24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Nightingale</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Dorset, UK</w:t>
            </w:r>
          </w:p>
        </w:tc>
        <w:tc>
          <w:tcPr>
            <w:tcW w:w="8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w:t>
            </w:r>
          </w:p>
        </w:tc>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Owned</w:t>
            </w:r>
          </w:p>
        </w:tc>
      </w:tr>
      <w:tr>
        <w:trPr/>
        <w:tc>
          <w:tcPr>
            <w:tcW w:w="24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Norcott House</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Liversedge, UK</w:t>
            </w:r>
          </w:p>
        </w:tc>
        <w:tc>
          <w:tcPr>
            <w:tcW w:w="8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11</w:t>
            </w:r>
          </w:p>
        </w:tc>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Owned</w:t>
            </w:r>
          </w:p>
        </w:tc>
      </w:tr>
      <w:tr>
        <w:trPr/>
        <w:tc>
          <w:tcPr>
            <w:tcW w:w="24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Norcott Lodge</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Liversedge, UK</w:t>
            </w:r>
          </w:p>
        </w:tc>
        <w:tc>
          <w:tcPr>
            <w:tcW w:w="8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w:t>
            </w:r>
          </w:p>
        </w:tc>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Owned</w:t>
            </w:r>
          </w:p>
        </w:tc>
      </w:tr>
      <w:tr>
        <w:trPr/>
        <w:tc>
          <w:tcPr>
            <w:tcW w:w="24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Oakhurst Lodge</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Hampshire, UK</w:t>
            </w:r>
          </w:p>
        </w:tc>
        <w:tc>
          <w:tcPr>
            <w:tcW w:w="8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w:t>
            </w:r>
          </w:p>
        </w:tc>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Owned</w:t>
            </w:r>
          </w:p>
        </w:tc>
      </w:tr>
      <w:tr>
        <w:trPr/>
        <w:tc>
          <w:tcPr>
            <w:tcW w:w="24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Oaklands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Northumberland, UK</w:t>
            </w:r>
          </w:p>
        </w:tc>
        <w:tc>
          <w:tcPr>
            <w:tcW w:w="8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19</w:t>
            </w:r>
          </w:p>
        </w:tc>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Owned</w:t>
            </w:r>
          </w:p>
        </w:tc>
      </w:tr>
      <w:tr>
        <w:trPr/>
        <w:tc>
          <w:tcPr>
            <w:tcW w:w="24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Old Leigh House</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Essex, UK</w:t>
            </w:r>
          </w:p>
        </w:tc>
        <w:tc>
          <w:tcPr>
            <w:tcW w:w="8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w:t>
            </w:r>
          </w:p>
        </w:tc>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Leased</w:t>
            </w:r>
          </w:p>
        </w:tc>
      </w:tr>
      <w:tr>
        <w:trPr/>
        <w:tc>
          <w:tcPr>
            <w:tcW w:w="24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 Old Vicarage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Hungerford, UK</w:t>
            </w:r>
          </w:p>
        </w:tc>
        <w:tc>
          <w:tcPr>
            <w:tcW w:w="8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13</w:t>
            </w:r>
          </w:p>
        </w:tc>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Owned</w:t>
            </w:r>
          </w:p>
        </w:tc>
      </w:tr>
      <w:tr>
        <w:trPr/>
        <w:tc>
          <w:tcPr>
            <w:tcW w:w="24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 Old Vicarage (Blakeney)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Blakeney, UK</w:t>
            </w:r>
          </w:p>
        </w:tc>
        <w:tc>
          <w:tcPr>
            <w:tcW w:w="8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13</w:t>
            </w:r>
          </w:p>
        </w:tc>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Owned</w:t>
            </w:r>
          </w:p>
        </w:tc>
      </w:tr>
      <w:tr>
        <w:trPr/>
        <w:tc>
          <w:tcPr>
            <w:tcW w:w="24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 Orchards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Essex, UK</w:t>
            </w:r>
          </w:p>
        </w:tc>
        <w:tc>
          <w:tcPr>
            <w:tcW w:w="8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w:t>
            </w:r>
          </w:p>
        </w:tc>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Owned</w:t>
            </w:r>
          </w:p>
        </w:tc>
      </w:tr>
      <w:tr>
        <w:trPr/>
        <w:tc>
          <w:tcPr>
            <w:tcW w:w="24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Outwood</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Leeds, UK</w:t>
            </w:r>
          </w:p>
        </w:tc>
        <w:tc>
          <w:tcPr>
            <w:tcW w:w="8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w:t>
            </w:r>
          </w:p>
        </w:tc>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Owned</w:t>
            </w:r>
          </w:p>
        </w:tc>
      </w:tr>
      <w:tr>
        <w:trPr/>
        <w:tc>
          <w:tcPr>
            <w:tcW w:w="24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Oxley Lodge</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Huddersfield, UK</w:t>
            </w:r>
          </w:p>
        </w:tc>
        <w:tc>
          <w:tcPr>
            <w:tcW w:w="8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w:t>
            </w:r>
          </w:p>
        </w:tc>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Owned</w:t>
            </w:r>
          </w:p>
        </w:tc>
      </w:tr>
      <w:tr>
        <w:trPr/>
        <w:tc>
          <w:tcPr>
            <w:tcW w:w="24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Oxley Woodhouse</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Huddersfield, UK</w:t>
            </w:r>
          </w:p>
        </w:tc>
        <w:tc>
          <w:tcPr>
            <w:tcW w:w="8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13</w:t>
            </w:r>
          </w:p>
        </w:tc>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Owned</w:t>
            </w:r>
          </w:p>
        </w:tc>
      </w:tr>
      <w:tr>
        <w:trPr/>
        <w:tc>
          <w:tcPr>
            <w:tcW w:w="24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Pines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Mansfield Woodhouse, UK</w:t>
            </w:r>
          </w:p>
        </w:tc>
        <w:tc>
          <w:tcPr>
            <w:tcW w:w="8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w:t>
            </w:r>
          </w:p>
        </w:tc>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Owned</w:t>
            </w:r>
          </w:p>
        </w:tc>
      </w:tr>
      <w:tr>
        <w:trPr/>
        <w:tc>
          <w:tcPr>
            <w:tcW w:w="24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Ranaich House</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Dunblane, UK</w:t>
            </w:r>
          </w:p>
        </w:tc>
        <w:tc>
          <w:tcPr>
            <w:tcW w:w="8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14</w:t>
            </w:r>
          </w:p>
        </w:tc>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Owned</w:t>
            </w:r>
          </w:p>
        </w:tc>
      </w:tr>
      <w:tr>
        <w:trPr/>
        <w:tc>
          <w:tcPr>
            <w:tcW w:w="24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Redlands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Darlington, UK</w:t>
            </w:r>
          </w:p>
        </w:tc>
        <w:tc>
          <w:tcPr>
            <w:tcW w:w="8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w:t>
            </w:r>
          </w:p>
        </w:tc>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Owned</w:t>
            </w:r>
          </w:p>
        </w:tc>
      </w:tr>
      <w:tr>
        <w:trPr/>
        <w:tc>
          <w:tcPr>
            <w:tcW w:w="24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Redmarley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Redmarley, UK</w:t>
            </w:r>
          </w:p>
        </w:tc>
        <w:tc>
          <w:tcPr>
            <w:tcW w:w="8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19</w:t>
            </w:r>
          </w:p>
        </w:tc>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Owned</w:t>
            </w:r>
          </w:p>
        </w:tc>
      </w:tr>
      <w:tr>
        <w:trPr/>
        <w:tc>
          <w:tcPr>
            <w:tcW w:w="24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Rhyd Alyn</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Flintshire, UK</w:t>
            </w:r>
          </w:p>
        </w:tc>
        <w:tc>
          <w:tcPr>
            <w:tcW w:w="8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w:t>
            </w:r>
          </w:p>
        </w:tc>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Owned</w:t>
            </w:r>
          </w:p>
        </w:tc>
      </w:tr>
    </w:tbl>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6435" w:type="dxa"/>
        <w:jc w:val="left"/>
        <w:tblInd w:w="0" w:type="dxa"/>
        <w:tblLayout w:type="fixed"/>
        <w:tblCellMar>
          <w:top w:w="28" w:type="dxa"/>
          <w:left w:w="28" w:type="dxa"/>
          <w:bottom w:w="28" w:type="dxa"/>
          <w:right w:w="28" w:type="dxa"/>
        </w:tblCellMar>
      </w:tblPr>
      <w:tblGrid>
        <w:gridCol w:w="2536"/>
        <w:gridCol w:w="146"/>
        <w:gridCol w:w="1936"/>
        <w:gridCol w:w="886"/>
        <w:gridCol w:w="931"/>
      </w:tblGrid>
      <w:tr>
        <w:trPr/>
        <w:tc>
          <w:tcPr>
            <w:tcW w:w="253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936" w:type="dxa"/>
            <w:tcBorders/>
            <w:shd w:fill="FFFFFF" w:val="clear"/>
            <w:vAlign w:val="center"/>
          </w:tcPr>
          <w:p>
            <w:pPr>
              <w:pStyle w:val="TableContents"/>
              <w:bidi w:val="0"/>
              <w:spacing w:before="0" w:after="283"/>
              <w:jc w:val="left"/>
              <w:rPr>
                <w:sz w:val="4"/>
                <w:szCs w:val="4"/>
              </w:rPr>
            </w:pPr>
            <w:r>
              <w:rPr>
                <w:sz w:val="4"/>
                <w:szCs w:val="4"/>
              </w:rPr>
            </w:r>
          </w:p>
        </w:tc>
        <w:tc>
          <w:tcPr>
            <w:tcW w:w="886" w:type="dxa"/>
            <w:tcBorders/>
            <w:shd w:fill="FFFFFF" w:val="clear"/>
            <w:vAlign w:val="center"/>
          </w:tcPr>
          <w:p>
            <w:pPr>
              <w:pStyle w:val="TableContents"/>
              <w:bidi w:val="0"/>
              <w:spacing w:before="0" w:after="283"/>
              <w:jc w:val="left"/>
              <w:rPr>
                <w:sz w:val="4"/>
                <w:szCs w:val="4"/>
              </w:rPr>
            </w:pPr>
            <w:r>
              <w:rPr>
                <w:sz w:val="4"/>
                <w:szCs w:val="4"/>
              </w:rPr>
            </w:r>
          </w:p>
        </w:tc>
        <w:tc>
          <w:tcPr>
            <w:tcW w:w="931" w:type="dxa"/>
            <w:tcBorders/>
            <w:shd w:fill="FFFFFF" w:val="clear"/>
            <w:vAlign w:val="center"/>
          </w:tcPr>
          <w:p>
            <w:pPr>
              <w:pStyle w:val="TableContents"/>
              <w:bidi w:val="0"/>
              <w:spacing w:before="0" w:after="283"/>
              <w:jc w:val="left"/>
              <w:rPr>
                <w:sz w:val="4"/>
                <w:szCs w:val="4"/>
              </w:rPr>
            </w:pPr>
            <w:r>
              <w:rPr>
                <w:sz w:val="4"/>
                <w:szCs w:val="4"/>
              </w:rPr>
            </w:r>
          </w:p>
        </w:tc>
      </w:tr>
      <w:tr>
        <w:trPr/>
        <w:tc>
          <w:tcPr>
            <w:tcW w:w="25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United Kingdom:</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Name of Facility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b/>
                <w:color w:val="000000"/>
                <w:sz w:val="16"/>
              </w:rPr>
              <w:t>Location</w:t>
            </w:r>
            <w:r>
              <w:rPr>
                <w:rFonts w:ascii="Times New Roman" w:hAnsi="Times New Roman"/>
                <w:color w:val="000000"/>
                <w:sz w:val="16"/>
              </w:rPr>
              <w:t xml:space="preserve"> </w:t>
            </w:r>
          </w:p>
        </w:tc>
        <w:tc>
          <w:tcPr>
            <w:tcW w:w="8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Number of</w:t>
              <w:br/>
              <w:t>Beds</w:t>
            </w:r>
            <w:r>
              <w:rPr>
                <w:rFonts w:ascii="Times New Roman" w:hAnsi="Times New Roman"/>
                <w:color w:val="000000"/>
                <w:sz w:val="16"/>
              </w:rPr>
              <w:t xml:space="preserve"> </w:t>
            </w:r>
          </w:p>
        </w:tc>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Real</w:t>
              <w:br/>
              <w:t>Property</w:t>
              <w:br/>
              <w:t>Ownership</w:t>
              <w:br/>
              <w:t>Interest</w:t>
            </w:r>
            <w:r>
              <w:rPr>
                <w:rFonts w:ascii="Times New Roman" w:hAnsi="Times New Roman"/>
                <w:color w:val="000000"/>
                <w:sz w:val="16"/>
              </w:rPr>
              <w:t xml:space="preserve"> </w:t>
            </w:r>
          </w:p>
        </w:tc>
      </w:tr>
      <w:tr>
        <w:trPr/>
        <w:tc>
          <w:tcPr>
            <w:tcW w:w="25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River View</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Darlington, UK</w:t>
            </w:r>
          </w:p>
        </w:tc>
        <w:tc>
          <w:tcPr>
            <w:tcW w:w="8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w:t>
            </w:r>
          </w:p>
        </w:tc>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Owned</w:t>
            </w:r>
          </w:p>
        </w:tc>
      </w:tr>
      <w:tr>
        <w:trPr/>
        <w:tc>
          <w:tcPr>
            <w:tcW w:w="25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Riverside House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Newnham, UK</w:t>
            </w:r>
          </w:p>
        </w:tc>
        <w:tc>
          <w:tcPr>
            <w:tcW w:w="8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12</w:t>
            </w:r>
          </w:p>
        </w:tc>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Owned</w:t>
            </w:r>
          </w:p>
        </w:tc>
      </w:tr>
      <w:tr>
        <w:trPr/>
        <w:tc>
          <w:tcPr>
            <w:tcW w:w="25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Shear Meadow</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Hemel Hempstead, UK</w:t>
            </w:r>
          </w:p>
        </w:tc>
        <w:tc>
          <w:tcPr>
            <w:tcW w:w="8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w:t>
            </w:r>
          </w:p>
        </w:tc>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Owned</w:t>
            </w:r>
          </w:p>
        </w:tc>
      </w:tr>
      <w:tr>
        <w:trPr/>
        <w:tc>
          <w:tcPr>
            <w:tcW w:w="25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Sherwood Lodge Step Down</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Mansfield, UK</w:t>
            </w:r>
          </w:p>
        </w:tc>
        <w:tc>
          <w:tcPr>
            <w:tcW w:w="8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w:t>
            </w:r>
          </w:p>
        </w:tc>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Owned</w:t>
            </w:r>
          </w:p>
        </w:tc>
      </w:tr>
      <w:tr>
        <w:trPr/>
        <w:tc>
          <w:tcPr>
            <w:tcW w:w="25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 Squirrels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Hampshire, UK</w:t>
            </w:r>
          </w:p>
        </w:tc>
        <w:tc>
          <w:tcPr>
            <w:tcW w:w="8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w:t>
            </w:r>
          </w:p>
        </w:tc>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Owned</w:t>
            </w:r>
          </w:p>
        </w:tc>
      </w:tr>
      <w:tr>
        <w:trPr/>
        <w:tc>
          <w:tcPr>
            <w:tcW w:w="25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 5, 7 The Sycamores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South Normanton, UK</w:t>
            </w:r>
          </w:p>
        </w:tc>
        <w:tc>
          <w:tcPr>
            <w:tcW w:w="8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w:t>
            </w:r>
          </w:p>
        </w:tc>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Owned</w:t>
            </w:r>
          </w:p>
        </w:tc>
      </w:tr>
      <w:tr>
        <w:trPr/>
        <w:tc>
          <w:tcPr>
            <w:tcW w:w="25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15 The Sycamores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South Normanton, UK</w:t>
            </w:r>
          </w:p>
        </w:tc>
        <w:tc>
          <w:tcPr>
            <w:tcW w:w="8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w:t>
            </w:r>
          </w:p>
        </w:tc>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Owned</w:t>
            </w:r>
          </w:p>
        </w:tc>
      </w:tr>
      <w:tr>
        <w:trPr/>
        <w:tc>
          <w:tcPr>
            <w:tcW w:w="25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Tabley House Nursing Home</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Knutsford, UK</w:t>
            </w:r>
          </w:p>
        </w:tc>
        <w:tc>
          <w:tcPr>
            <w:tcW w:w="8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51</w:t>
            </w:r>
          </w:p>
        </w:tc>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Leased</w:t>
            </w:r>
          </w:p>
        </w:tc>
      </w:tr>
      <w:tr>
        <w:trPr/>
        <w:tc>
          <w:tcPr>
            <w:tcW w:w="25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Thistle House</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Dundee, UK</w:t>
            </w:r>
          </w:p>
        </w:tc>
        <w:tc>
          <w:tcPr>
            <w:tcW w:w="8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w:t>
            </w:r>
          </w:p>
        </w:tc>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Owned</w:t>
            </w:r>
          </w:p>
        </w:tc>
      </w:tr>
      <w:tr>
        <w:trPr/>
        <w:tc>
          <w:tcPr>
            <w:tcW w:w="25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Thornfield Grange</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Bishop Auckland, UK</w:t>
            </w:r>
          </w:p>
        </w:tc>
        <w:tc>
          <w:tcPr>
            <w:tcW w:w="8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w:t>
            </w:r>
          </w:p>
        </w:tc>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Owned</w:t>
            </w:r>
          </w:p>
        </w:tc>
      </w:tr>
      <w:tr>
        <w:trPr/>
        <w:tc>
          <w:tcPr>
            <w:tcW w:w="25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Thornfield House</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Bradford, UK</w:t>
            </w:r>
          </w:p>
        </w:tc>
        <w:tc>
          <w:tcPr>
            <w:tcW w:w="8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w:t>
            </w:r>
          </w:p>
        </w:tc>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Owned</w:t>
            </w:r>
          </w:p>
        </w:tc>
      </w:tr>
      <w:tr>
        <w:trPr/>
        <w:tc>
          <w:tcPr>
            <w:tcW w:w="25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Thors Park</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Essex, UK</w:t>
            </w:r>
          </w:p>
        </w:tc>
        <w:tc>
          <w:tcPr>
            <w:tcW w:w="8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14</w:t>
            </w:r>
          </w:p>
        </w:tc>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Owned</w:t>
            </w:r>
          </w:p>
        </w:tc>
      </w:tr>
      <w:tr>
        <w:trPr/>
        <w:tc>
          <w:tcPr>
            <w:tcW w:w="25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Toller Road</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Leicestershire, UK</w:t>
            </w:r>
          </w:p>
        </w:tc>
        <w:tc>
          <w:tcPr>
            <w:tcW w:w="8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w:t>
            </w:r>
          </w:p>
        </w:tc>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Owned</w:t>
            </w:r>
          </w:p>
        </w:tc>
      </w:tr>
      <w:tr>
        <w:trPr/>
        <w:tc>
          <w:tcPr>
            <w:tcW w:w="25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Trinity House</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Lockerbie, UK</w:t>
            </w:r>
          </w:p>
        </w:tc>
        <w:tc>
          <w:tcPr>
            <w:tcW w:w="8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13</w:t>
            </w:r>
          </w:p>
        </w:tc>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Owned</w:t>
            </w:r>
          </w:p>
        </w:tc>
      </w:tr>
      <w:tr>
        <w:trPr/>
        <w:tc>
          <w:tcPr>
            <w:tcW w:w="25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Trinity Lodge</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Lockerbie, UK</w:t>
            </w:r>
          </w:p>
        </w:tc>
        <w:tc>
          <w:tcPr>
            <w:tcW w:w="8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w:t>
            </w:r>
          </w:p>
        </w:tc>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Owned</w:t>
            </w:r>
          </w:p>
        </w:tc>
      </w:tr>
      <w:tr>
        <w:trPr/>
        <w:tc>
          <w:tcPr>
            <w:tcW w:w="25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Tupwood Gate Nursing Home</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Caterham, UK</w:t>
            </w:r>
          </w:p>
        </w:tc>
        <w:tc>
          <w:tcPr>
            <w:tcW w:w="8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35</w:t>
            </w:r>
          </w:p>
        </w:tc>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Owned</w:t>
            </w:r>
          </w:p>
        </w:tc>
      </w:tr>
      <w:tr>
        <w:trPr/>
        <w:tc>
          <w:tcPr>
            <w:tcW w:w="25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Ty Alarch</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Merthyr Tydfil</w:t>
            </w:r>
          </w:p>
        </w:tc>
        <w:tc>
          <w:tcPr>
            <w:tcW w:w="8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w:t>
            </w:r>
          </w:p>
        </w:tc>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Owned</w:t>
            </w:r>
          </w:p>
        </w:tc>
      </w:tr>
      <w:tr>
        <w:trPr/>
        <w:tc>
          <w:tcPr>
            <w:tcW w:w="25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1Vincent Court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Lancashire, UK</w:t>
            </w:r>
          </w:p>
        </w:tc>
        <w:tc>
          <w:tcPr>
            <w:tcW w:w="8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w:t>
            </w:r>
          </w:p>
        </w:tc>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Owned</w:t>
            </w:r>
          </w:p>
        </w:tc>
      </w:tr>
      <w:tr>
        <w:trPr/>
        <w:tc>
          <w:tcPr>
            <w:tcW w:w="25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Walkern Lodge</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Stevenage, UK</w:t>
            </w:r>
          </w:p>
        </w:tc>
        <w:tc>
          <w:tcPr>
            <w:tcW w:w="8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w:t>
            </w:r>
          </w:p>
        </w:tc>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Owned</w:t>
            </w:r>
          </w:p>
        </w:tc>
      </w:tr>
      <w:tr>
        <w:trPr/>
        <w:tc>
          <w:tcPr>
            <w:tcW w:w="25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Willow House</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Birmingham, UK</w:t>
            </w:r>
          </w:p>
        </w:tc>
        <w:tc>
          <w:tcPr>
            <w:tcW w:w="8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w:t>
            </w:r>
          </w:p>
        </w:tc>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Owned</w:t>
            </w:r>
          </w:p>
        </w:tc>
      </w:tr>
      <w:tr>
        <w:trPr/>
        <w:tc>
          <w:tcPr>
            <w:tcW w:w="25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Woodcross &amp; Turls Hill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Wolverhampton, UK</w:t>
            </w:r>
          </w:p>
        </w:tc>
        <w:tc>
          <w:tcPr>
            <w:tcW w:w="8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w:t>
            </w:r>
          </w:p>
        </w:tc>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Owned</w:t>
            </w:r>
          </w:p>
        </w:tc>
      </w:tr>
      <w:tr>
        <w:trPr/>
        <w:tc>
          <w:tcPr>
            <w:tcW w:w="25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Woodrow House</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Stockport, UK</w:t>
            </w:r>
          </w:p>
        </w:tc>
        <w:tc>
          <w:tcPr>
            <w:tcW w:w="8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w:t>
            </w:r>
          </w:p>
        </w:tc>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Owned</w:t>
            </w:r>
          </w:p>
        </w:tc>
      </w:tr>
      <w:tr>
        <w:trPr/>
        <w:tc>
          <w:tcPr>
            <w:tcW w:w="25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Woodrowe House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Markfield, UK</w:t>
            </w:r>
          </w:p>
        </w:tc>
        <w:tc>
          <w:tcPr>
            <w:tcW w:w="8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37</w:t>
            </w:r>
          </w:p>
        </w:tc>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Owned</w:t>
            </w:r>
          </w:p>
        </w:tc>
      </w:tr>
    </w:tbl>
    <w:tbl>
      <w:tblPr>
        <w:tblW w:w="7155" w:type="dxa"/>
        <w:jc w:val="left"/>
        <w:tblInd w:w="0" w:type="dxa"/>
        <w:tblLayout w:type="fixed"/>
        <w:tblCellMar>
          <w:top w:w="28" w:type="dxa"/>
          <w:left w:w="28" w:type="dxa"/>
          <w:bottom w:w="28" w:type="dxa"/>
          <w:right w:w="28" w:type="dxa"/>
        </w:tblCellMar>
      </w:tblPr>
      <w:tblGrid>
        <w:gridCol w:w="3316"/>
        <w:gridCol w:w="146"/>
        <w:gridCol w:w="1876"/>
        <w:gridCol w:w="886"/>
        <w:gridCol w:w="931"/>
      </w:tblGrid>
      <w:tr>
        <w:trPr/>
        <w:tc>
          <w:tcPr>
            <w:tcW w:w="331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876" w:type="dxa"/>
            <w:tcBorders/>
            <w:shd w:fill="FFFFFF" w:val="clear"/>
            <w:vAlign w:val="center"/>
          </w:tcPr>
          <w:p>
            <w:pPr>
              <w:pStyle w:val="TableContents"/>
              <w:bidi w:val="0"/>
              <w:spacing w:before="0" w:after="283"/>
              <w:jc w:val="left"/>
              <w:rPr>
                <w:sz w:val="4"/>
                <w:szCs w:val="4"/>
              </w:rPr>
            </w:pPr>
            <w:r>
              <w:rPr>
                <w:sz w:val="4"/>
                <w:szCs w:val="4"/>
              </w:rPr>
            </w:r>
          </w:p>
        </w:tc>
        <w:tc>
          <w:tcPr>
            <w:tcW w:w="886" w:type="dxa"/>
            <w:tcBorders/>
            <w:shd w:fill="FFFFFF" w:val="clear"/>
            <w:vAlign w:val="center"/>
          </w:tcPr>
          <w:p>
            <w:pPr>
              <w:pStyle w:val="TableContents"/>
              <w:bidi w:val="0"/>
              <w:spacing w:before="0" w:after="283"/>
              <w:jc w:val="left"/>
              <w:rPr>
                <w:sz w:val="4"/>
                <w:szCs w:val="4"/>
              </w:rPr>
            </w:pPr>
            <w:r>
              <w:rPr>
                <w:sz w:val="4"/>
                <w:szCs w:val="4"/>
              </w:rPr>
            </w:r>
          </w:p>
        </w:tc>
        <w:tc>
          <w:tcPr>
            <w:tcW w:w="931" w:type="dxa"/>
            <w:tcBorders/>
            <w:shd w:fill="FFFFFF" w:val="clear"/>
            <w:vAlign w:val="center"/>
          </w:tcPr>
          <w:p>
            <w:pPr>
              <w:pStyle w:val="TableContents"/>
              <w:bidi w:val="0"/>
              <w:spacing w:before="0" w:after="283"/>
              <w:jc w:val="left"/>
              <w:rPr>
                <w:sz w:val="4"/>
                <w:szCs w:val="4"/>
              </w:rPr>
            </w:pPr>
            <w:r>
              <w:rPr>
                <w:sz w:val="4"/>
                <w:szCs w:val="4"/>
              </w:rPr>
            </w:r>
          </w:p>
        </w:tc>
      </w:tr>
      <w:tr>
        <w:trPr/>
        <w:tc>
          <w:tcPr>
            <w:tcW w:w="33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Puerto Rico:</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8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Name of Facility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8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b/>
                <w:color w:val="000000"/>
                <w:sz w:val="16"/>
              </w:rPr>
              <w:t>Location</w:t>
            </w:r>
            <w:r>
              <w:rPr>
                <w:rFonts w:ascii="Times New Roman" w:hAnsi="Times New Roman"/>
                <w:color w:val="000000"/>
                <w:sz w:val="16"/>
              </w:rPr>
              <w:t xml:space="preserve"> </w:t>
            </w:r>
          </w:p>
        </w:tc>
        <w:tc>
          <w:tcPr>
            <w:tcW w:w="8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Number of</w:t>
              <w:br/>
              <w:t>Beds</w:t>
            </w:r>
            <w:r>
              <w:rPr>
                <w:rFonts w:ascii="Times New Roman" w:hAnsi="Times New Roman"/>
                <w:color w:val="000000"/>
                <w:sz w:val="16"/>
              </w:rPr>
              <w:t xml:space="preserve"> </w:t>
            </w:r>
          </w:p>
        </w:tc>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Real</w:t>
              <w:br/>
              <w:t>Property</w:t>
              <w:br/>
              <w:t>Ownership</w:t>
              <w:br/>
              <w:t>Interest</w:t>
            </w:r>
            <w:r>
              <w:rPr>
                <w:rFonts w:ascii="Times New Roman" w:hAnsi="Times New Roman"/>
                <w:color w:val="000000"/>
                <w:sz w:val="16"/>
              </w:rPr>
              <w:t xml:space="preserve"> </w:t>
            </w:r>
          </w:p>
        </w:tc>
      </w:tr>
      <w:tr>
        <w:trPr/>
        <w:tc>
          <w:tcPr>
            <w:tcW w:w="33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First Hospital Panamericano—Cidra</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8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Cidra, Puerto Rico</w:t>
            </w:r>
          </w:p>
        </w:tc>
        <w:tc>
          <w:tcPr>
            <w:tcW w:w="8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165</w:t>
            </w:r>
          </w:p>
        </w:tc>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Owned</w:t>
            </w:r>
          </w:p>
        </w:tc>
      </w:tr>
      <w:tr>
        <w:trPr/>
        <w:tc>
          <w:tcPr>
            <w:tcW w:w="33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First Hospital Panamericano—Ponce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8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Ponce, Puerto Rico</w:t>
            </w:r>
          </w:p>
        </w:tc>
        <w:tc>
          <w:tcPr>
            <w:tcW w:w="8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30</w:t>
            </w:r>
          </w:p>
        </w:tc>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Owned</w:t>
            </w:r>
          </w:p>
        </w:tc>
      </w:tr>
      <w:tr>
        <w:trPr/>
        <w:tc>
          <w:tcPr>
            <w:tcW w:w="33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First Hospital Panamericano—San Juan</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8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San Juan, Puerto Rico</w:t>
            </w:r>
          </w:p>
        </w:tc>
        <w:tc>
          <w:tcPr>
            <w:tcW w:w="8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45</w:t>
            </w:r>
          </w:p>
        </w:tc>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Owned</w:t>
            </w:r>
          </w:p>
        </w:tc>
      </w:tr>
      <w:tr>
        <w:trPr/>
        <w:tc>
          <w:tcPr>
            <w:tcW w:w="3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8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center"/>
        <w:rPr>
          <w:rFonts w:ascii="Times New Roman" w:hAnsi="Times New Roman"/>
          <w:sz w:val="20"/>
        </w:rPr>
      </w:pPr>
      <w:r>
        <w:rPr>
          <w:rFonts w:ascii="Times New Roman" w:hAnsi="Times New Roman"/>
          <w:b/>
          <w:color w:val="000000"/>
          <w:sz w:val="20"/>
        </w:rPr>
        <w:t>Behavioral Health Care Outpatient Facilities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own and operate 119 behavioral health care outpatient facilities consisting of 110 facilities located in 25 states in the U.S., 7 facilities located in Puerto Rico, and 2 facilities located in the United Kingdom.</w:t>
      </w:r>
    </w:p>
    <w:p>
      <w:pPr>
        <w:pStyle w:val="TextBody"/>
        <w:bidi w:val="0"/>
        <w:jc w:val="center"/>
        <w:rPr/>
      </w:pPr>
      <w:r>
        <w:rPr/>
        <w:t> </w:t>
      </w:r>
    </w:p>
    <w:tbl>
      <w:tblPr>
        <w:tblW w:w="8122" w:type="dxa"/>
        <w:jc w:val="left"/>
        <w:tblInd w:w="0" w:type="dxa"/>
        <w:tblLayout w:type="fixed"/>
        <w:tblCellMar>
          <w:top w:w="28" w:type="dxa"/>
          <w:left w:w="28" w:type="dxa"/>
          <w:bottom w:w="28" w:type="dxa"/>
          <w:right w:w="28" w:type="dxa"/>
        </w:tblCellMar>
      </w:tblPr>
      <w:tblGrid>
        <w:gridCol w:w="4351"/>
        <w:gridCol w:w="386"/>
        <w:gridCol w:w="2281"/>
        <w:gridCol w:w="1104"/>
      </w:tblGrid>
      <w:tr>
        <w:trPr/>
        <w:tc>
          <w:tcPr>
            <w:tcW w:w="4351" w:type="dxa"/>
            <w:tcBorders/>
            <w:shd w:fill="FFFFFF" w:val="clear"/>
            <w:vAlign w:val="center"/>
          </w:tcPr>
          <w:p>
            <w:pPr>
              <w:pStyle w:val="TableContents"/>
              <w:bidi w:val="0"/>
              <w:spacing w:before="0" w:after="283"/>
              <w:jc w:val="left"/>
              <w:rPr>
                <w:sz w:val="4"/>
                <w:szCs w:val="4"/>
              </w:rPr>
            </w:pPr>
            <w:r>
              <w:rPr>
                <w:sz w:val="4"/>
                <w:szCs w:val="4"/>
              </w:rPr>
            </w:r>
          </w:p>
        </w:tc>
        <w:tc>
          <w:tcPr>
            <w:tcW w:w="386" w:type="dxa"/>
            <w:tcBorders/>
            <w:shd w:fill="FFFFFF" w:val="clear"/>
            <w:vAlign w:val="center"/>
          </w:tcPr>
          <w:p>
            <w:pPr>
              <w:pStyle w:val="TableContents"/>
              <w:bidi w:val="0"/>
              <w:spacing w:before="0" w:after="283"/>
              <w:jc w:val="left"/>
              <w:rPr>
                <w:sz w:val="4"/>
                <w:szCs w:val="4"/>
              </w:rPr>
            </w:pPr>
            <w:r>
              <w:rPr>
                <w:sz w:val="4"/>
                <w:szCs w:val="4"/>
              </w:rPr>
            </w:r>
          </w:p>
        </w:tc>
        <w:tc>
          <w:tcPr>
            <w:tcW w:w="2281" w:type="dxa"/>
            <w:tcBorders/>
            <w:shd w:fill="FFFFFF" w:val="clear"/>
            <w:vAlign w:val="center"/>
          </w:tcPr>
          <w:p>
            <w:pPr>
              <w:pStyle w:val="TableContents"/>
              <w:bidi w:val="0"/>
              <w:spacing w:before="0" w:after="283"/>
              <w:jc w:val="left"/>
              <w:rPr>
                <w:sz w:val="4"/>
                <w:szCs w:val="4"/>
              </w:rPr>
            </w:pPr>
            <w:r>
              <w:rPr>
                <w:sz w:val="4"/>
                <w:szCs w:val="4"/>
              </w:rPr>
            </w:r>
          </w:p>
        </w:tc>
        <w:tc>
          <w:tcPr>
            <w:tcW w:w="1104" w:type="dxa"/>
            <w:tcBorders/>
            <w:shd w:fill="FFFFFF" w:val="clear"/>
            <w:vAlign w:val="center"/>
          </w:tcPr>
          <w:p>
            <w:pPr>
              <w:pStyle w:val="TableContents"/>
              <w:bidi w:val="0"/>
              <w:spacing w:before="0" w:after="283"/>
              <w:jc w:val="left"/>
              <w:rPr>
                <w:sz w:val="4"/>
                <w:szCs w:val="4"/>
              </w:rPr>
            </w:pPr>
            <w:r>
              <w:rPr>
                <w:sz w:val="4"/>
                <w:szCs w:val="4"/>
              </w:rPr>
            </w:r>
          </w:p>
        </w:tc>
      </w:tr>
      <w:tr>
        <w:trPr/>
        <w:tc>
          <w:tcPr>
            <w:tcW w:w="43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22" w:type="dxa"/>
            <w:gridSpan w:val="4"/>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Acute Care Outpatient Facilities and Surgical Hospital</w:t>
            </w:r>
          </w:p>
        </w:tc>
      </w:tr>
      <w:tr>
        <w:trPr/>
        <w:tc>
          <w:tcPr>
            <w:tcW w:w="43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Name of Facility</w:t>
            </w:r>
          </w:p>
        </w:tc>
        <w:tc>
          <w:tcPr>
            <w:tcW w:w="3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1" w:type="dxa"/>
            <w:tcBorders/>
            <w:tcMar>
              <w:top w:w="0" w:type="dxa"/>
              <w:left w:w="0" w:type="dxa"/>
              <w:bottom w:w="0" w:type="dxa"/>
              <w:right w:w="0" w:type="dxa"/>
            </w:tcMar>
            <w:vAlign w:val="center"/>
          </w:tcPr>
          <w:p>
            <w:pPr>
              <w:pStyle w:val="TableContents"/>
              <w:bidi w:val="0"/>
              <w:spacing w:before="0" w:after="283"/>
              <w:ind w:left="0" w:right="0" w:firstLine="173"/>
              <w:jc w:val="left"/>
              <w:rPr>
                <w:rFonts w:ascii="Times New Roman" w:hAnsi="Times New Roman"/>
                <w:sz w:val="16"/>
              </w:rPr>
            </w:pPr>
            <w:r>
              <w:rPr>
                <w:rFonts w:ascii="Times New Roman" w:hAnsi="Times New Roman"/>
                <w:b/>
                <w:color w:val="000000"/>
                <w:sz w:val="16"/>
              </w:rPr>
              <w:t>Location</w:t>
            </w:r>
            <w:r>
              <w:rPr>
                <w:rFonts w:ascii="Times New Roman" w:hAnsi="Times New Roman"/>
                <w:color w:val="000000"/>
                <w:sz w:val="16"/>
              </w:rPr>
              <w:t xml:space="preserve"> </w:t>
            </w:r>
          </w:p>
        </w:tc>
        <w:tc>
          <w:tcPr>
            <w:tcW w:w="1104" w:type="dxa"/>
            <w:tcBorders/>
            <w:tcMar>
              <w:top w:w="0" w:type="dxa"/>
              <w:left w:w="0" w:type="dxa"/>
              <w:bottom w:w="0" w:type="dxa"/>
              <w:right w:w="0" w:type="dxa"/>
            </w:tcMar>
            <w:vAlign w:val="center"/>
          </w:tcPr>
          <w:p>
            <w:pPr>
              <w:pStyle w:val="TableContents"/>
              <w:bidi w:val="0"/>
              <w:ind w:left="0" w:right="0" w:firstLine="173"/>
              <w:jc w:val="center"/>
              <w:rPr>
                <w:rFonts w:ascii="Times New Roman" w:hAnsi="Times New Roman"/>
                <w:b/>
                <w:color w:val="000000"/>
                <w:sz w:val="16"/>
              </w:rPr>
            </w:pPr>
            <w:r>
              <w:rPr>
                <w:rFonts w:ascii="Times New Roman" w:hAnsi="Times New Roman"/>
                <w:b/>
                <w:color w:val="000000"/>
                <w:sz w:val="16"/>
              </w:rPr>
              <w:t>Real</w:t>
              <w:br/>
              <w:t>Property</w:t>
              <w:br/>
              <w:t>Ownership</w:t>
            </w:r>
          </w:p>
          <w:p>
            <w:pPr>
              <w:pStyle w:val="TableContents"/>
              <w:bidi w:val="0"/>
              <w:spacing w:before="0" w:after="283"/>
              <w:ind w:left="0" w:right="0" w:firstLine="173"/>
              <w:jc w:val="center"/>
              <w:rPr>
                <w:rFonts w:ascii="Times New Roman" w:hAnsi="Times New Roman"/>
                <w:b/>
                <w:color w:val="000000"/>
                <w:sz w:val="16"/>
              </w:rPr>
            </w:pPr>
            <w:r>
              <w:rPr>
                <w:rFonts w:ascii="Times New Roman" w:hAnsi="Times New Roman"/>
                <w:b/>
                <w:color w:val="000000"/>
                <w:sz w:val="16"/>
              </w:rPr>
              <w:t>Interest</w:t>
            </w:r>
          </w:p>
        </w:tc>
      </w:tr>
      <w:tr>
        <w:trPr/>
        <w:tc>
          <w:tcPr>
            <w:tcW w:w="43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1" w:type="dxa"/>
            <w:tcBorders/>
            <w:tcMar>
              <w:top w:w="0" w:type="dxa"/>
              <w:left w:w="0" w:type="dxa"/>
              <w:bottom w:w="0" w:type="dxa"/>
              <w:right w:w="0" w:type="dxa"/>
            </w:tcMar>
            <w:vAlign w:val="center"/>
          </w:tcPr>
          <w:p>
            <w:pPr>
              <w:pStyle w:val="TableContents"/>
              <w:bidi w:val="0"/>
              <w:spacing w:before="0" w:after="283"/>
              <w:ind w:left="0" w:right="0" w:firstLine="173"/>
              <w:jc w:val="left"/>
              <w:rPr>
                <w:sz w:val="4"/>
                <w:szCs w:val="4"/>
              </w:rPr>
            </w:pPr>
            <w:r>
              <w:rPr>
                <w:sz w:val="4"/>
                <w:szCs w:val="4"/>
              </w:rPr>
            </w:r>
          </w:p>
        </w:tc>
        <w:tc>
          <w:tcPr>
            <w:tcW w:w="1104" w:type="dxa"/>
            <w:tcBorders/>
            <w:tcMar>
              <w:top w:w="0" w:type="dxa"/>
              <w:left w:w="0" w:type="dxa"/>
              <w:bottom w:w="0" w:type="dxa"/>
              <w:right w:w="0" w:type="dxa"/>
            </w:tcMar>
            <w:vAlign w:val="center"/>
          </w:tcPr>
          <w:p>
            <w:pPr>
              <w:pStyle w:val="TableContents"/>
              <w:bidi w:val="0"/>
              <w:spacing w:before="0" w:after="283"/>
              <w:ind w:left="0" w:right="0" w:firstLine="240"/>
              <w:jc w:val="left"/>
              <w:rPr>
                <w:sz w:val="4"/>
                <w:szCs w:val="4"/>
              </w:rPr>
            </w:pPr>
            <w:r>
              <w:rPr>
                <w:sz w:val="4"/>
                <w:szCs w:val="4"/>
              </w:rPr>
            </w:r>
          </w:p>
        </w:tc>
      </w:tr>
      <w:tr>
        <w:trPr/>
        <w:tc>
          <w:tcPr>
            <w:tcW w:w="4351"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Cancer Care Institute of Carolina</w:t>
            </w:r>
          </w:p>
        </w:tc>
        <w:tc>
          <w:tcPr>
            <w:tcW w:w="386" w:type="dxa"/>
            <w:tcBorders/>
            <w:tcMar>
              <w:top w:w="0" w:type="dxa"/>
              <w:left w:w="0" w:type="dxa"/>
              <w:bottom w:w="0" w:type="dxa"/>
              <w:right w:w="0" w:type="dxa"/>
            </w:tcMar>
            <w:vAlign w:val="center"/>
          </w:tcPr>
          <w:p>
            <w:pPr>
              <w:pStyle w:val="TableContents"/>
              <w:bidi w:val="0"/>
              <w:spacing w:before="0" w:after="283"/>
              <w:ind w:left="0" w:right="0" w:firstLine="240"/>
              <w:jc w:val="left"/>
              <w:rPr>
                <w:sz w:val="4"/>
                <w:szCs w:val="4"/>
              </w:rPr>
            </w:pPr>
            <w:r>
              <w:rPr>
                <w:sz w:val="4"/>
                <w:szCs w:val="4"/>
              </w:rPr>
            </w:r>
          </w:p>
        </w:tc>
        <w:tc>
          <w:tcPr>
            <w:tcW w:w="22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Aiken, South Carolina</w:t>
            </w:r>
          </w:p>
        </w:tc>
        <w:tc>
          <w:tcPr>
            <w:tcW w:w="1104" w:type="dxa"/>
            <w:tcBorders/>
            <w:tcMar>
              <w:top w:w="0" w:type="dxa"/>
              <w:left w:w="0" w:type="dxa"/>
              <w:bottom w:w="0" w:type="dxa"/>
              <w:right w:w="0" w:type="dxa"/>
            </w:tcMar>
            <w:vAlign w:val="center"/>
          </w:tcPr>
          <w:p>
            <w:pPr>
              <w:pStyle w:val="TableContents"/>
              <w:bidi w:val="0"/>
              <w:spacing w:before="0" w:after="20"/>
              <w:ind w:left="0" w:right="0" w:firstLine="240"/>
              <w:jc w:val="center"/>
              <w:rPr>
                <w:rFonts w:ascii="Times New Roman" w:hAnsi="Times New Roman"/>
                <w:color w:val="000000"/>
                <w:sz w:val="20"/>
              </w:rPr>
            </w:pPr>
            <w:r>
              <w:rPr>
                <w:rFonts w:ascii="Times New Roman" w:hAnsi="Times New Roman"/>
                <w:color w:val="000000"/>
                <w:sz w:val="20"/>
              </w:rPr>
              <w:t>Owned</w:t>
            </w:r>
          </w:p>
        </w:tc>
      </w:tr>
      <w:tr>
        <w:trPr/>
        <w:tc>
          <w:tcPr>
            <w:tcW w:w="4351"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 xml:space="preserve">Cardiovascular Institute of Amarillo </w:t>
            </w:r>
          </w:p>
        </w:tc>
        <w:tc>
          <w:tcPr>
            <w:tcW w:w="386" w:type="dxa"/>
            <w:tcBorders/>
            <w:tcMar>
              <w:top w:w="0" w:type="dxa"/>
              <w:left w:w="0" w:type="dxa"/>
              <w:bottom w:w="0" w:type="dxa"/>
              <w:right w:w="0" w:type="dxa"/>
            </w:tcMar>
            <w:vAlign w:val="center"/>
          </w:tcPr>
          <w:p>
            <w:pPr>
              <w:pStyle w:val="TableContents"/>
              <w:bidi w:val="0"/>
              <w:spacing w:before="0" w:after="283"/>
              <w:ind w:left="0" w:right="0" w:firstLine="240"/>
              <w:jc w:val="left"/>
              <w:rPr/>
            </w:pPr>
            <w:r>
              <w:rPr/>
              <w:t> </w:t>
            </w:r>
          </w:p>
        </w:tc>
        <w:tc>
          <w:tcPr>
            <w:tcW w:w="22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Amarillo, TX</w:t>
            </w:r>
          </w:p>
        </w:tc>
        <w:tc>
          <w:tcPr>
            <w:tcW w:w="1104" w:type="dxa"/>
            <w:tcBorders/>
            <w:tcMar>
              <w:top w:w="0" w:type="dxa"/>
              <w:left w:w="0" w:type="dxa"/>
              <w:bottom w:w="0" w:type="dxa"/>
              <w:right w:w="0" w:type="dxa"/>
            </w:tcMar>
            <w:vAlign w:val="center"/>
          </w:tcPr>
          <w:p>
            <w:pPr>
              <w:pStyle w:val="TableContents"/>
              <w:bidi w:val="0"/>
              <w:spacing w:before="0" w:after="20"/>
              <w:ind w:left="0" w:right="0" w:firstLine="240"/>
              <w:jc w:val="center"/>
              <w:rPr>
                <w:rFonts w:ascii="Times New Roman" w:hAnsi="Times New Roman"/>
                <w:color w:val="000000"/>
                <w:sz w:val="20"/>
              </w:rPr>
            </w:pPr>
            <w:r>
              <w:rPr>
                <w:rFonts w:ascii="Times New Roman" w:hAnsi="Times New Roman"/>
                <w:color w:val="000000"/>
                <w:sz w:val="20"/>
              </w:rPr>
              <w:t>Leased</w:t>
            </w:r>
          </w:p>
        </w:tc>
      </w:tr>
      <w:tr>
        <w:trPr/>
        <w:tc>
          <w:tcPr>
            <w:tcW w:w="4351"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Cornerstone Regional Hospital (3)</w:t>
            </w:r>
          </w:p>
        </w:tc>
        <w:tc>
          <w:tcPr>
            <w:tcW w:w="386" w:type="dxa"/>
            <w:tcBorders/>
            <w:tcMar>
              <w:top w:w="0" w:type="dxa"/>
              <w:left w:w="0" w:type="dxa"/>
              <w:bottom w:w="0" w:type="dxa"/>
              <w:right w:w="0" w:type="dxa"/>
            </w:tcMar>
            <w:vAlign w:val="center"/>
          </w:tcPr>
          <w:p>
            <w:pPr>
              <w:pStyle w:val="TableContents"/>
              <w:bidi w:val="0"/>
              <w:spacing w:before="0" w:after="283"/>
              <w:ind w:left="0" w:right="0" w:firstLine="240"/>
              <w:jc w:val="left"/>
              <w:rPr>
                <w:sz w:val="4"/>
                <w:szCs w:val="4"/>
              </w:rPr>
            </w:pPr>
            <w:r>
              <w:rPr>
                <w:sz w:val="4"/>
                <w:szCs w:val="4"/>
              </w:rPr>
            </w:r>
          </w:p>
        </w:tc>
        <w:tc>
          <w:tcPr>
            <w:tcW w:w="22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Edinburg, Texas</w:t>
            </w:r>
          </w:p>
        </w:tc>
        <w:tc>
          <w:tcPr>
            <w:tcW w:w="1104" w:type="dxa"/>
            <w:tcBorders/>
            <w:tcMar>
              <w:top w:w="0" w:type="dxa"/>
              <w:left w:w="0" w:type="dxa"/>
              <w:bottom w:w="0" w:type="dxa"/>
              <w:right w:w="0" w:type="dxa"/>
            </w:tcMar>
            <w:vAlign w:val="center"/>
          </w:tcPr>
          <w:p>
            <w:pPr>
              <w:pStyle w:val="TableContents"/>
              <w:bidi w:val="0"/>
              <w:spacing w:before="0" w:after="20"/>
              <w:ind w:left="0" w:right="0" w:firstLine="240"/>
              <w:jc w:val="center"/>
              <w:rPr>
                <w:rFonts w:ascii="Times New Roman" w:hAnsi="Times New Roman"/>
                <w:color w:val="000000"/>
                <w:sz w:val="20"/>
              </w:rPr>
            </w:pPr>
            <w:r>
              <w:rPr>
                <w:rFonts w:ascii="Times New Roman" w:hAnsi="Times New Roman"/>
                <w:color w:val="000000"/>
                <w:sz w:val="20"/>
              </w:rPr>
              <w:t>Leased</w:t>
            </w:r>
          </w:p>
        </w:tc>
      </w:tr>
      <w:tr>
        <w:trPr/>
        <w:tc>
          <w:tcPr>
            <w:tcW w:w="4351"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Great Basin Surgery Center</w:t>
            </w:r>
          </w:p>
        </w:tc>
        <w:tc>
          <w:tcPr>
            <w:tcW w:w="386" w:type="dxa"/>
            <w:tcBorders/>
            <w:tcMar>
              <w:top w:w="0" w:type="dxa"/>
              <w:left w:w="0" w:type="dxa"/>
              <w:bottom w:w="0" w:type="dxa"/>
              <w:right w:w="0" w:type="dxa"/>
            </w:tcMar>
            <w:vAlign w:val="center"/>
          </w:tcPr>
          <w:p>
            <w:pPr>
              <w:pStyle w:val="TableContents"/>
              <w:bidi w:val="0"/>
              <w:spacing w:before="0" w:after="283"/>
              <w:ind w:left="0" w:right="0" w:firstLine="240"/>
              <w:jc w:val="left"/>
              <w:rPr/>
            </w:pPr>
            <w:r>
              <w:rPr/>
              <w:t> </w:t>
            </w:r>
          </w:p>
        </w:tc>
        <w:tc>
          <w:tcPr>
            <w:tcW w:w="22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Reno, Nevada</w:t>
            </w:r>
          </w:p>
        </w:tc>
        <w:tc>
          <w:tcPr>
            <w:tcW w:w="1104" w:type="dxa"/>
            <w:tcBorders/>
            <w:tcMar>
              <w:top w:w="0" w:type="dxa"/>
              <w:left w:w="0" w:type="dxa"/>
              <w:bottom w:w="0" w:type="dxa"/>
              <w:right w:w="0" w:type="dxa"/>
            </w:tcMar>
            <w:vAlign w:val="center"/>
          </w:tcPr>
          <w:p>
            <w:pPr>
              <w:pStyle w:val="TableContents"/>
              <w:bidi w:val="0"/>
              <w:spacing w:before="0" w:after="20"/>
              <w:ind w:left="0" w:right="0" w:firstLine="240"/>
              <w:jc w:val="center"/>
              <w:rPr>
                <w:rFonts w:ascii="Times New Roman" w:hAnsi="Times New Roman"/>
                <w:color w:val="000000"/>
                <w:sz w:val="20"/>
              </w:rPr>
            </w:pPr>
            <w:r>
              <w:rPr>
                <w:rFonts w:ascii="Times New Roman" w:hAnsi="Times New Roman"/>
                <w:color w:val="000000"/>
                <w:sz w:val="20"/>
              </w:rPr>
              <w:t>Leased</w:t>
            </w:r>
          </w:p>
        </w:tc>
      </w:tr>
      <w:tr>
        <w:trPr/>
        <w:tc>
          <w:tcPr>
            <w:tcW w:w="4351"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Las Vegas Institute for Advanced Surgery (18)</w:t>
            </w:r>
          </w:p>
        </w:tc>
        <w:tc>
          <w:tcPr>
            <w:tcW w:w="386" w:type="dxa"/>
            <w:tcBorders/>
            <w:tcMar>
              <w:top w:w="0" w:type="dxa"/>
              <w:left w:w="0" w:type="dxa"/>
              <w:bottom w:w="0" w:type="dxa"/>
              <w:right w:w="0" w:type="dxa"/>
            </w:tcMar>
            <w:vAlign w:val="center"/>
          </w:tcPr>
          <w:p>
            <w:pPr>
              <w:pStyle w:val="TableContents"/>
              <w:bidi w:val="0"/>
              <w:spacing w:before="0" w:after="283"/>
              <w:ind w:left="0" w:right="0" w:firstLine="240"/>
              <w:jc w:val="left"/>
              <w:rPr>
                <w:sz w:val="4"/>
                <w:szCs w:val="4"/>
              </w:rPr>
            </w:pPr>
            <w:r>
              <w:rPr>
                <w:sz w:val="4"/>
                <w:szCs w:val="4"/>
              </w:rPr>
            </w:r>
          </w:p>
        </w:tc>
        <w:tc>
          <w:tcPr>
            <w:tcW w:w="22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Las Vegas, NV</w:t>
            </w:r>
          </w:p>
        </w:tc>
        <w:tc>
          <w:tcPr>
            <w:tcW w:w="1104" w:type="dxa"/>
            <w:tcBorders/>
            <w:tcMar>
              <w:top w:w="0" w:type="dxa"/>
              <w:left w:w="0" w:type="dxa"/>
              <w:bottom w:w="0" w:type="dxa"/>
              <w:right w:w="0" w:type="dxa"/>
            </w:tcMar>
            <w:vAlign w:val="center"/>
          </w:tcPr>
          <w:p>
            <w:pPr>
              <w:pStyle w:val="TableContents"/>
              <w:bidi w:val="0"/>
              <w:spacing w:before="0" w:after="20"/>
              <w:ind w:left="0" w:right="0" w:firstLine="240"/>
              <w:jc w:val="center"/>
              <w:rPr>
                <w:rFonts w:ascii="Times New Roman" w:hAnsi="Times New Roman"/>
                <w:color w:val="000000"/>
                <w:sz w:val="20"/>
              </w:rPr>
            </w:pPr>
            <w:r>
              <w:rPr>
                <w:rFonts w:ascii="Times New Roman" w:hAnsi="Times New Roman"/>
                <w:color w:val="000000"/>
                <w:sz w:val="20"/>
              </w:rPr>
              <w:t>Leased</w:t>
            </w:r>
          </w:p>
        </w:tc>
      </w:tr>
      <w:tr>
        <w:trPr/>
        <w:tc>
          <w:tcPr>
            <w:tcW w:w="4351"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Manatee Diagnostic Center</w:t>
            </w:r>
          </w:p>
        </w:tc>
        <w:tc>
          <w:tcPr>
            <w:tcW w:w="386" w:type="dxa"/>
            <w:tcBorders/>
            <w:tcMar>
              <w:top w:w="0" w:type="dxa"/>
              <w:left w:w="0" w:type="dxa"/>
              <w:bottom w:w="0" w:type="dxa"/>
              <w:right w:w="0" w:type="dxa"/>
            </w:tcMar>
            <w:vAlign w:val="center"/>
          </w:tcPr>
          <w:p>
            <w:pPr>
              <w:pStyle w:val="TableContents"/>
              <w:bidi w:val="0"/>
              <w:spacing w:before="0" w:after="283"/>
              <w:ind w:left="0" w:right="0" w:firstLine="240"/>
              <w:jc w:val="left"/>
              <w:rPr>
                <w:sz w:val="4"/>
                <w:szCs w:val="4"/>
              </w:rPr>
            </w:pPr>
            <w:r>
              <w:rPr>
                <w:sz w:val="4"/>
                <w:szCs w:val="4"/>
              </w:rPr>
            </w:r>
          </w:p>
        </w:tc>
        <w:tc>
          <w:tcPr>
            <w:tcW w:w="22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Bradenton, Florida</w:t>
            </w:r>
          </w:p>
        </w:tc>
        <w:tc>
          <w:tcPr>
            <w:tcW w:w="1104" w:type="dxa"/>
            <w:tcBorders/>
            <w:tcMar>
              <w:top w:w="0" w:type="dxa"/>
              <w:left w:w="0" w:type="dxa"/>
              <w:bottom w:w="0" w:type="dxa"/>
              <w:right w:w="0" w:type="dxa"/>
            </w:tcMar>
            <w:vAlign w:val="center"/>
          </w:tcPr>
          <w:p>
            <w:pPr>
              <w:pStyle w:val="TableContents"/>
              <w:bidi w:val="0"/>
              <w:spacing w:before="0" w:after="20"/>
              <w:ind w:left="0" w:right="0" w:firstLine="240"/>
              <w:jc w:val="center"/>
              <w:rPr>
                <w:rFonts w:ascii="Times New Roman" w:hAnsi="Times New Roman"/>
                <w:color w:val="000000"/>
                <w:sz w:val="20"/>
              </w:rPr>
            </w:pPr>
            <w:r>
              <w:rPr>
                <w:rFonts w:ascii="Times New Roman" w:hAnsi="Times New Roman"/>
                <w:color w:val="000000"/>
                <w:sz w:val="20"/>
              </w:rPr>
              <w:t>Leased</w:t>
            </w:r>
          </w:p>
        </w:tc>
      </w:tr>
      <w:tr>
        <w:trPr/>
        <w:tc>
          <w:tcPr>
            <w:tcW w:w="4351"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Palms Wellington Surgical Center (5)</w:t>
            </w:r>
          </w:p>
        </w:tc>
        <w:tc>
          <w:tcPr>
            <w:tcW w:w="386" w:type="dxa"/>
            <w:tcBorders/>
            <w:tcMar>
              <w:top w:w="0" w:type="dxa"/>
              <w:left w:w="0" w:type="dxa"/>
              <w:bottom w:w="0" w:type="dxa"/>
              <w:right w:w="0" w:type="dxa"/>
            </w:tcMar>
            <w:vAlign w:val="center"/>
          </w:tcPr>
          <w:p>
            <w:pPr>
              <w:pStyle w:val="TableContents"/>
              <w:bidi w:val="0"/>
              <w:spacing w:before="0" w:after="283"/>
              <w:ind w:left="0" w:right="0" w:firstLine="240"/>
              <w:jc w:val="left"/>
              <w:rPr>
                <w:sz w:val="4"/>
                <w:szCs w:val="4"/>
              </w:rPr>
            </w:pPr>
            <w:r>
              <w:rPr>
                <w:sz w:val="4"/>
                <w:szCs w:val="4"/>
              </w:rPr>
            </w:r>
          </w:p>
        </w:tc>
        <w:tc>
          <w:tcPr>
            <w:tcW w:w="22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Royal Palm Beach, Florida</w:t>
            </w:r>
          </w:p>
        </w:tc>
        <w:tc>
          <w:tcPr>
            <w:tcW w:w="1104" w:type="dxa"/>
            <w:tcBorders/>
            <w:tcMar>
              <w:top w:w="0" w:type="dxa"/>
              <w:left w:w="0" w:type="dxa"/>
              <w:bottom w:w="0" w:type="dxa"/>
              <w:right w:w="0" w:type="dxa"/>
            </w:tcMar>
            <w:vAlign w:val="center"/>
          </w:tcPr>
          <w:p>
            <w:pPr>
              <w:pStyle w:val="TableContents"/>
              <w:bidi w:val="0"/>
              <w:spacing w:before="0" w:after="20"/>
              <w:ind w:left="0" w:right="0" w:firstLine="240"/>
              <w:jc w:val="center"/>
              <w:rPr>
                <w:rFonts w:ascii="Times New Roman" w:hAnsi="Times New Roman"/>
                <w:color w:val="000000"/>
                <w:sz w:val="20"/>
              </w:rPr>
            </w:pPr>
            <w:r>
              <w:rPr>
                <w:rFonts w:ascii="Times New Roman" w:hAnsi="Times New Roman"/>
                <w:color w:val="000000"/>
                <w:sz w:val="20"/>
              </w:rPr>
              <w:t>Leased</w:t>
            </w:r>
          </w:p>
        </w:tc>
      </w:tr>
      <w:tr>
        <w:trPr/>
        <w:tc>
          <w:tcPr>
            <w:tcW w:w="4351"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Personalized Radiation Oncology (17)</w:t>
            </w:r>
          </w:p>
        </w:tc>
        <w:tc>
          <w:tcPr>
            <w:tcW w:w="386" w:type="dxa"/>
            <w:tcBorders/>
            <w:tcMar>
              <w:top w:w="0" w:type="dxa"/>
              <w:left w:w="0" w:type="dxa"/>
              <w:bottom w:w="0" w:type="dxa"/>
              <w:right w:w="0" w:type="dxa"/>
            </w:tcMar>
            <w:vAlign w:val="center"/>
          </w:tcPr>
          <w:p>
            <w:pPr>
              <w:pStyle w:val="TableContents"/>
              <w:bidi w:val="0"/>
              <w:spacing w:before="0" w:after="283"/>
              <w:ind w:left="0" w:right="0" w:firstLine="240"/>
              <w:jc w:val="left"/>
              <w:rPr>
                <w:sz w:val="4"/>
                <w:szCs w:val="4"/>
              </w:rPr>
            </w:pPr>
            <w:r>
              <w:rPr>
                <w:sz w:val="4"/>
                <w:szCs w:val="4"/>
              </w:rPr>
            </w:r>
          </w:p>
        </w:tc>
        <w:tc>
          <w:tcPr>
            <w:tcW w:w="22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Reno, Nevada</w:t>
            </w:r>
          </w:p>
        </w:tc>
        <w:tc>
          <w:tcPr>
            <w:tcW w:w="1104" w:type="dxa"/>
            <w:tcBorders/>
            <w:tcMar>
              <w:top w:w="0" w:type="dxa"/>
              <w:left w:w="0" w:type="dxa"/>
              <w:bottom w:w="0" w:type="dxa"/>
              <w:right w:w="0" w:type="dxa"/>
            </w:tcMar>
            <w:vAlign w:val="center"/>
          </w:tcPr>
          <w:p>
            <w:pPr>
              <w:pStyle w:val="TableContents"/>
              <w:bidi w:val="0"/>
              <w:spacing w:before="0" w:after="20"/>
              <w:ind w:left="0" w:right="0" w:firstLine="240"/>
              <w:jc w:val="center"/>
              <w:rPr>
                <w:rFonts w:ascii="Times New Roman" w:hAnsi="Times New Roman"/>
                <w:color w:val="000000"/>
                <w:sz w:val="20"/>
              </w:rPr>
            </w:pPr>
            <w:r>
              <w:rPr>
                <w:rFonts w:ascii="Times New Roman" w:hAnsi="Times New Roman"/>
                <w:color w:val="000000"/>
                <w:sz w:val="20"/>
              </w:rPr>
              <w:t>Leased</w:t>
            </w:r>
          </w:p>
        </w:tc>
      </w:tr>
      <w:tr>
        <w:trPr/>
        <w:tc>
          <w:tcPr>
            <w:tcW w:w="4351"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Quail Surgical and Pain Management Center (10)</w:t>
            </w:r>
          </w:p>
        </w:tc>
        <w:tc>
          <w:tcPr>
            <w:tcW w:w="386" w:type="dxa"/>
            <w:tcBorders/>
            <w:tcMar>
              <w:top w:w="0" w:type="dxa"/>
              <w:left w:w="0" w:type="dxa"/>
              <w:bottom w:w="0" w:type="dxa"/>
              <w:right w:w="0" w:type="dxa"/>
            </w:tcMar>
            <w:vAlign w:val="center"/>
          </w:tcPr>
          <w:p>
            <w:pPr>
              <w:pStyle w:val="TableContents"/>
              <w:bidi w:val="0"/>
              <w:spacing w:before="0" w:after="283"/>
              <w:ind w:left="0" w:right="0" w:firstLine="240"/>
              <w:jc w:val="left"/>
              <w:rPr>
                <w:sz w:val="4"/>
                <w:szCs w:val="4"/>
              </w:rPr>
            </w:pPr>
            <w:r>
              <w:rPr>
                <w:sz w:val="4"/>
                <w:szCs w:val="4"/>
              </w:rPr>
            </w:r>
          </w:p>
        </w:tc>
        <w:tc>
          <w:tcPr>
            <w:tcW w:w="22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Reno, Nevada</w:t>
            </w:r>
          </w:p>
        </w:tc>
        <w:tc>
          <w:tcPr>
            <w:tcW w:w="1104" w:type="dxa"/>
            <w:tcBorders/>
            <w:tcMar>
              <w:top w:w="0" w:type="dxa"/>
              <w:left w:w="0" w:type="dxa"/>
              <w:bottom w:w="0" w:type="dxa"/>
              <w:right w:w="0" w:type="dxa"/>
            </w:tcMar>
            <w:vAlign w:val="center"/>
          </w:tcPr>
          <w:p>
            <w:pPr>
              <w:pStyle w:val="TableContents"/>
              <w:bidi w:val="0"/>
              <w:spacing w:before="0" w:after="20"/>
              <w:ind w:left="0" w:right="0" w:firstLine="240"/>
              <w:jc w:val="center"/>
              <w:rPr>
                <w:rFonts w:ascii="Times New Roman" w:hAnsi="Times New Roman"/>
                <w:color w:val="000000"/>
                <w:sz w:val="20"/>
              </w:rPr>
            </w:pPr>
            <w:r>
              <w:rPr>
                <w:rFonts w:ascii="Times New Roman" w:hAnsi="Times New Roman"/>
                <w:color w:val="000000"/>
                <w:sz w:val="20"/>
              </w:rPr>
              <w:t>Leased</w:t>
            </w:r>
          </w:p>
        </w:tc>
      </w:tr>
      <w:tr>
        <w:trPr/>
        <w:tc>
          <w:tcPr>
            <w:tcW w:w="4351"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Riverside Medical Clinic Surgery Center</w:t>
            </w:r>
          </w:p>
        </w:tc>
        <w:tc>
          <w:tcPr>
            <w:tcW w:w="386" w:type="dxa"/>
            <w:tcBorders/>
            <w:tcMar>
              <w:top w:w="0" w:type="dxa"/>
              <w:left w:w="0" w:type="dxa"/>
              <w:bottom w:w="0" w:type="dxa"/>
              <w:right w:w="0" w:type="dxa"/>
            </w:tcMar>
            <w:vAlign w:val="center"/>
          </w:tcPr>
          <w:p>
            <w:pPr>
              <w:pStyle w:val="TableContents"/>
              <w:bidi w:val="0"/>
              <w:spacing w:before="0" w:after="283"/>
              <w:ind w:left="0" w:right="0" w:firstLine="240"/>
              <w:jc w:val="left"/>
              <w:rPr>
                <w:sz w:val="4"/>
                <w:szCs w:val="4"/>
              </w:rPr>
            </w:pPr>
            <w:r>
              <w:rPr>
                <w:sz w:val="4"/>
                <w:szCs w:val="4"/>
              </w:rPr>
            </w:r>
          </w:p>
        </w:tc>
        <w:tc>
          <w:tcPr>
            <w:tcW w:w="22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tcBorders/>
            <w:tcMar>
              <w:top w:w="0" w:type="dxa"/>
              <w:left w:w="0" w:type="dxa"/>
              <w:bottom w:w="0" w:type="dxa"/>
              <w:right w:w="0" w:type="dxa"/>
            </w:tcMar>
            <w:vAlign w:val="center"/>
          </w:tcPr>
          <w:p>
            <w:pPr>
              <w:pStyle w:val="TableContents"/>
              <w:bidi w:val="0"/>
              <w:spacing w:before="0" w:after="20"/>
              <w:jc w:val="center"/>
              <w:rPr/>
            </w:pPr>
            <w:r>
              <w:rPr/>
              <w:t> </w:t>
            </w:r>
          </w:p>
        </w:tc>
      </w:tr>
    </w:tbl>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8369" w:type="dxa"/>
        <w:jc w:val="left"/>
        <w:tblInd w:w="0" w:type="dxa"/>
        <w:tblLayout w:type="fixed"/>
        <w:tblCellMar>
          <w:top w:w="28" w:type="dxa"/>
          <w:left w:w="28" w:type="dxa"/>
          <w:bottom w:w="28" w:type="dxa"/>
          <w:right w:w="28" w:type="dxa"/>
        </w:tblCellMar>
      </w:tblPr>
      <w:tblGrid>
        <w:gridCol w:w="4171"/>
        <w:gridCol w:w="386"/>
        <w:gridCol w:w="2371"/>
        <w:gridCol w:w="1441"/>
      </w:tblGrid>
      <w:tr>
        <w:trPr/>
        <w:tc>
          <w:tcPr>
            <w:tcW w:w="4171" w:type="dxa"/>
            <w:tcBorders/>
            <w:shd w:fill="FFFFFF" w:val="clear"/>
            <w:vAlign w:val="center"/>
          </w:tcPr>
          <w:p>
            <w:pPr>
              <w:pStyle w:val="TableContents"/>
              <w:bidi w:val="0"/>
              <w:spacing w:before="0" w:after="283"/>
              <w:jc w:val="left"/>
              <w:rPr>
                <w:sz w:val="4"/>
                <w:szCs w:val="4"/>
              </w:rPr>
            </w:pPr>
            <w:r>
              <w:rPr>
                <w:sz w:val="4"/>
                <w:szCs w:val="4"/>
              </w:rPr>
            </w:r>
          </w:p>
        </w:tc>
        <w:tc>
          <w:tcPr>
            <w:tcW w:w="386" w:type="dxa"/>
            <w:tcBorders/>
            <w:shd w:fill="FFFFFF" w:val="clear"/>
            <w:vAlign w:val="center"/>
          </w:tcPr>
          <w:p>
            <w:pPr>
              <w:pStyle w:val="TableContents"/>
              <w:bidi w:val="0"/>
              <w:spacing w:before="0" w:after="283"/>
              <w:jc w:val="left"/>
              <w:rPr>
                <w:sz w:val="4"/>
                <w:szCs w:val="4"/>
              </w:rPr>
            </w:pPr>
            <w:r>
              <w:rPr>
                <w:sz w:val="4"/>
                <w:szCs w:val="4"/>
              </w:rPr>
            </w:r>
          </w:p>
        </w:tc>
        <w:tc>
          <w:tcPr>
            <w:tcW w:w="2371" w:type="dxa"/>
            <w:tcBorders/>
            <w:shd w:fill="FFFFFF" w:val="clear"/>
            <w:vAlign w:val="center"/>
          </w:tcPr>
          <w:p>
            <w:pPr>
              <w:pStyle w:val="TableContents"/>
              <w:bidi w:val="0"/>
              <w:spacing w:before="0" w:after="283"/>
              <w:jc w:val="left"/>
              <w:rPr>
                <w:sz w:val="4"/>
                <w:szCs w:val="4"/>
              </w:rPr>
            </w:pPr>
            <w:r>
              <w:rPr>
                <w:sz w:val="4"/>
                <w:szCs w:val="4"/>
              </w:rPr>
            </w:r>
          </w:p>
        </w:tc>
        <w:tc>
          <w:tcPr>
            <w:tcW w:w="1441" w:type="dxa"/>
            <w:tcBorders/>
            <w:shd w:fill="FFFFFF" w:val="clear"/>
            <w:vAlign w:val="center"/>
          </w:tcPr>
          <w:p>
            <w:pPr>
              <w:pStyle w:val="TableContents"/>
              <w:bidi w:val="0"/>
              <w:spacing w:before="0" w:after="283"/>
              <w:jc w:val="left"/>
              <w:rPr>
                <w:sz w:val="4"/>
                <w:szCs w:val="4"/>
              </w:rPr>
            </w:pPr>
            <w:r>
              <w:rPr>
                <w:sz w:val="4"/>
                <w:szCs w:val="4"/>
              </w:rPr>
            </w:r>
          </w:p>
        </w:tc>
      </w:tr>
      <w:tr>
        <w:trPr/>
        <w:tc>
          <w:tcPr>
            <w:tcW w:w="4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69" w:type="dxa"/>
            <w:gridSpan w:val="4"/>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Acute Care Outpatient Facilities and Surgical Hospital</w:t>
            </w:r>
          </w:p>
        </w:tc>
      </w:tr>
      <w:tr>
        <w:trPr/>
        <w:tc>
          <w:tcPr>
            <w:tcW w:w="41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Name of Facility</w:t>
            </w:r>
          </w:p>
        </w:tc>
        <w:tc>
          <w:tcPr>
            <w:tcW w:w="3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1" w:type="dxa"/>
            <w:tcBorders/>
            <w:tcMar>
              <w:top w:w="0" w:type="dxa"/>
              <w:left w:w="0" w:type="dxa"/>
              <w:bottom w:w="0" w:type="dxa"/>
              <w:right w:w="0" w:type="dxa"/>
            </w:tcMar>
            <w:vAlign w:val="center"/>
          </w:tcPr>
          <w:p>
            <w:pPr>
              <w:pStyle w:val="TableContents"/>
              <w:bidi w:val="0"/>
              <w:spacing w:before="0" w:after="283"/>
              <w:ind w:left="0" w:right="0" w:firstLine="173"/>
              <w:jc w:val="left"/>
              <w:rPr>
                <w:rFonts w:ascii="Times New Roman" w:hAnsi="Times New Roman"/>
                <w:sz w:val="16"/>
              </w:rPr>
            </w:pPr>
            <w:r>
              <w:rPr>
                <w:rFonts w:ascii="Times New Roman" w:hAnsi="Times New Roman"/>
                <w:b/>
                <w:color w:val="000000"/>
                <w:sz w:val="16"/>
              </w:rPr>
              <w:t>Location</w:t>
            </w:r>
            <w:r>
              <w:rPr>
                <w:rFonts w:ascii="Times New Roman" w:hAnsi="Times New Roman"/>
                <w:color w:val="000000"/>
                <w:sz w:val="16"/>
              </w:rPr>
              <w:t xml:space="preserve"> </w:t>
            </w:r>
          </w:p>
        </w:tc>
        <w:tc>
          <w:tcPr>
            <w:tcW w:w="1441" w:type="dxa"/>
            <w:tcBorders/>
            <w:tcMar>
              <w:top w:w="0" w:type="dxa"/>
              <w:left w:w="0" w:type="dxa"/>
              <w:bottom w:w="0" w:type="dxa"/>
              <w:right w:w="0" w:type="dxa"/>
            </w:tcMar>
            <w:vAlign w:val="center"/>
          </w:tcPr>
          <w:p>
            <w:pPr>
              <w:pStyle w:val="TableContents"/>
              <w:bidi w:val="0"/>
              <w:ind w:left="0" w:right="0" w:firstLine="173"/>
              <w:jc w:val="center"/>
              <w:rPr>
                <w:rFonts w:ascii="Times New Roman" w:hAnsi="Times New Roman"/>
                <w:b/>
                <w:color w:val="000000"/>
                <w:sz w:val="16"/>
              </w:rPr>
            </w:pPr>
            <w:r>
              <w:rPr>
                <w:rFonts w:ascii="Times New Roman" w:hAnsi="Times New Roman"/>
                <w:b/>
                <w:color w:val="000000"/>
                <w:sz w:val="16"/>
              </w:rPr>
              <w:t>Real</w:t>
              <w:br/>
              <w:t>Property</w:t>
              <w:br/>
              <w:t>Ownership</w:t>
            </w:r>
          </w:p>
          <w:p>
            <w:pPr>
              <w:pStyle w:val="TableContents"/>
              <w:bidi w:val="0"/>
              <w:spacing w:before="0" w:after="283"/>
              <w:ind w:left="0" w:right="0" w:firstLine="173"/>
              <w:jc w:val="center"/>
              <w:rPr>
                <w:rFonts w:ascii="Times New Roman" w:hAnsi="Times New Roman"/>
                <w:b/>
                <w:color w:val="000000"/>
                <w:sz w:val="16"/>
              </w:rPr>
            </w:pPr>
            <w:r>
              <w:rPr>
                <w:rFonts w:ascii="Times New Roman" w:hAnsi="Times New Roman"/>
                <w:b/>
                <w:color w:val="000000"/>
                <w:sz w:val="16"/>
              </w:rPr>
              <w:t>Interest</w:t>
            </w:r>
          </w:p>
        </w:tc>
      </w:tr>
      <w:tr>
        <w:trPr/>
        <w:tc>
          <w:tcPr>
            <w:tcW w:w="4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1" w:type="dxa"/>
            <w:tcBorders/>
            <w:tcMar>
              <w:top w:w="0" w:type="dxa"/>
              <w:left w:w="0" w:type="dxa"/>
              <w:bottom w:w="0" w:type="dxa"/>
              <w:right w:w="0" w:type="dxa"/>
            </w:tcMar>
            <w:vAlign w:val="center"/>
          </w:tcPr>
          <w:p>
            <w:pPr>
              <w:pStyle w:val="TableContents"/>
              <w:bidi w:val="0"/>
              <w:spacing w:before="0" w:after="283"/>
              <w:ind w:left="0" w:right="0" w:firstLine="173"/>
              <w:jc w:val="left"/>
              <w:rPr>
                <w:sz w:val="4"/>
                <w:szCs w:val="4"/>
              </w:rPr>
            </w:pPr>
            <w:r>
              <w:rPr>
                <w:sz w:val="4"/>
                <w:szCs w:val="4"/>
              </w:rPr>
            </w:r>
          </w:p>
        </w:tc>
        <w:tc>
          <w:tcPr>
            <w:tcW w:w="1441" w:type="dxa"/>
            <w:tcBorders/>
            <w:tcMar>
              <w:top w:w="0" w:type="dxa"/>
              <w:left w:w="0" w:type="dxa"/>
              <w:bottom w:w="0" w:type="dxa"/>
              <w:right w:w="0" w:type="dxa"/>
            </w:tcMar>
            <w:vAlign w:val="center"/>
          </w:tcPr>
          <w:p>
            <w:pPr>
              <w:pStyle w:val="TableContents"/>
              <w:bidi w:val="0"/>
              <w:spacing w:before="0" w:after="283"/>
              <w:ind w:left="0" w:right="0" w:firstLine="720"/>
              <w:jc w:val="left"/>
              <w:rPr>
                <w:sz w:val="4"/>
                <w:szCs w:val="4"/>
              </w:rPr>
            </w:pPr>
            <w:r>
              <w:rPr>
                <w:sz w:val="4"/>
                <w:szCs w:val="4"/>
              </w:rPr>
            </w:r>
          </w:p>
        </w:tc>
      </w:tr>
      <w:tr>
        <w:trPr/>
        <w:tc>
          <w:tcPr>
            <w:tcW w:w="4171"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Brockton - RMC Surgery Center</w:t>
            </w:r>
          </w:p>
        </w:tc>
        <w:tc>
          <w:tcPr>
            <w:tcW w:w="386" w:type="dxa"/>
            <w:tcBorders/>
            <w:tcMar>
              <w:top w:w="0" w:type="dxa"/>
              <w:left w:w="0" w:type="dxa"/>
              <w:bottom w:w="0" w:type="dxa"/>
              <w:right w:w="0" w:type="dxa"/>
            </w:tcMar>
            <w:vAlign w:val="center"/>
          </w:tcPr>
          <w:p>
            <w:pPr>
              <w:pStyle w:val="TableContents"/>
              <w:bidi w:val="0"/>
              <w:spacing w:before="0" w:after="283"/>
              <w:ind w:left="0" w:right="0" w:firstLine="240"/>
              <w:jc w:val="left"/>
              <w:rPr/>
            </w:pPr>
            <w:r>
              <w:rPr/>
              <w:t> </w:t>
            </w:r>
          </w:p>
        </w:tc>
        <w:tc>
          <w:tcPr>
            <w:tcW w:w="23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Riverside, California</w:t>
            </w:r>
          </w:p>
        </w:tc>
        <w:tc>
          <w:tcPr>
            <w:tcW w:w="1441" w:type="dxa"/>
            <w:tcBorders/>
            <w:tcMar>
              <w:top w:w="0" w:type="dxa"/>
              <w:left w:w="0" w:type="dxa"/>
              <w:bottom w:w="0" w:type="dxa"/>
              <w:right w:w="0" w:type="dxa"/>
            </w:tcMar>
            <w:vAlign w:val="center"/>
          </w:tcPr>
          <w:p>
            <w:pPr>
              <w:pStyle w:val="TableContents"/>
              <w:bidi w:val="0"/>
              <w:spacing w:before="0" w:after="20"/>
              <w:ind w:left="0" w:right="0" w:firstLine="720"/>
              <w:jc w:val="center"/>
              <w:rPr>
                <w:rFonts w:ascii="Times New Roman" w:hAnsi="Times New Roman"/>
                <w:color w:val="000000"/>
                <w:sz w:val="20"/>
              </w:rPr>
            </w:pPr>
            <w:r>
              <w:rPr>
                <w:rFonts w:ascii="Times New Roman" w:hAnsi="Times New Roman"/>
                <w:color w:val="000000"/>
                <w:sz w:val="20"/>
              </w:rPr>
              <w:t>Leased</w:t>
            </w:r>
          </w:p>
        </w:tc>
      </w:tr>
      <w:tr>
        <w:trPr/>
        <w:tc>
          <w:tcPr>
            <w:tcW w:w="4171"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Temescal Valley - RMC Surgery Center</w:t>
            </w:r>
          </w:p>
        </w:tc>
        <w:tc>
          <w:tcPr>
            <w:tcW w:w="386" w:type="dxa"/>
            <w:tcBorders/>
            <w:tcMar>
              <w:top w:w="0" w:type="dxa"/>
              <w:left w:w="0" w:type="dxa"/>
              <w:bottom w:w="0" w:type="dxa"/>
              <w:right w:w="0" w:type="dxa"/>
            </w:tcMar>
            <w:vAlign w:val="center"/>
          </w:tcPr>
          <w:p>
            <w:pPr>
              <w:pStyle w:val="TableContents"/>
              <w:bidi w:val="0"/>
              <w:spacing w:before="0" w:after="283"/>
              <w:ind w:left="0" w:right="0" w:firstLine="240"/>
              <w:jc w:val="left"/>
              <w:rPr/>
            </w:pPr>
            <w:r>
              <w:rPr/>
              <w:t> </w:t>
            </w:r>
          </w:p>
        </w:tc>
        <w:tc>
          <w:tcPr>
            <w:tcW w:w="23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Temescal Valley, California</w:t>
            </w:r>
          </w:p>
        </w:tc>
        <w:tc>
          <w:tcPr>
            <w:tcW w:w="1441" w:type="dxa"/>
            <w:tcBorders/>
            <w:tcMar>
              <w:top w:w="0" w:type="dxa"/>
              <w:left w:w="0" w:type="dxa"/>
              <w:bottom w:w="0" w:type="dxa"/>
              <w:right w:w="0" w:type="dxa"/>
            </w:tcMar>
            <w:vAlign w:val="center"/>
          </w:tcPr>
          <w:p>
            <w:pPr>
              <w:pStyle w:val="TableContents"/>
              <w:bidi w:val="0"/>
              <w:spacing w:before="0" w:after="20"/>
              <w:ind w:left="0" w:right="0" w:firstLine="720"/>
              <w:jc w:val="center"/>
              <w:rPr>
                <w:rFonts w:ascii="Times New Roman" w:hAnsi="Times New Roman"/>
                <w:color w:val="000000"/>
                <w:sz w:val="20"/>
              </w:rPr>
            </w:pPr>
            <w:r>
              <w:rPr>
                <w:rFonts w:ascii="Times New Roman" w:hAnsi="Times New Roman"/>
                <w:color w:val="000000"/>
                <w:sz w:val="20"/>
              </w:rPr>
              <w:t>Leased</w:t>
            </w:r>
          </w:p>
        </w:tc>
      </w:tr>
      <w:tr>
        <w:trPr/>
        <w:tc>
          <w:tcPr>
            <w:tcW w:w="4171"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Riverside Medical Clinic - Brockton/Riverside</w:t>
            </w:r>
          </w:p>
        </w:tc>
        <w:tc>
          <w:tcPr>
            <w:tcW w:w="386" w:type="dxa"/>
            <w:tcBorders/>
            <w:tcMar>
              <w:top w:w="0" w:type="dxa"/>
              <w:left w:w="0" w:type="dxa"/>
              <w:bottom w:w="0" w:type="dxa"/>
              <w:right w:w="0" w:type="dxa"/>
            </w:tcMar>
            <w:vAlign w:val="center"/>
          </w:tcPr>
          <w:p>
            <w:pPr>
              <w:pStyle w:val="TableContents"/>
              <w:bidi w:val="0"/>
              <w:spacing w:before="0" w:after="283"/>
              <w:ind w:left="0" w:right="0" w:firstLine="240"/>
              <w:jc w:val="left"/>
              <w:rPr/>
            </w:pPr>
            <w:r>
              <w:rPr/>
              <w:t> </w:t>
            </w:r>
          </w:p>
        </w:tc>
        <w:tc>
          <w:tcPr>
            <w:tcW w:w="23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Riverside, California</w:t>
            </w:r>
          </w:p>
        </w:tc>
        <w:tc>
          <w:tcPr>
            <w:tcW w:w="1441" w:type="dxa"/>
            <w:tcBorders/>
            <w:tcMar>
              <w:top w:w="0" w:type="dxa"/>
              <w:left w:w="0" w:type="dxa"/>
              <w:bottom w:w="0" w:type="dxa"/>
              <w:right w:w="0" w:type="dxa"/>
            </w:tcMar>
            <w:vAlign w:val="center"/>
          </w:tcPr>
          <w:p>
            <w:pPr>
              <w:pStyle w:val="TableContents"/>
              <w:bidi w:val="0"/>
              <w:spacing w:before="0" w:after="20"/>
              <w:ind w:left="0" w:right="0" w:firstLine="240"/>
              <w:jc w:val="center"/>
              <w:rPr>
                <w:rFonts w:ascii="Times New Roman" w:hAnsi="Times New Roman"/>
                <w:color w:val="000000"/>
                <w:sz w:val="20"/>
              </w:rPr>
            </w:pPr>
            <w:r>
              <w:rPr>
                <w:rFonts w:ascii="Times New Roman" w:hAnsi="Times New Roman"/>
                <w:color w:val="000000"/>
                <w:sz w:val="20"/>
              </w:rPr>
              <w:t>Leased</w:t>
            </w:r>
          </w:p>
        </w:tc>
      </w:tr>
      <w:tr>
        <w:trPr/>
        <w:tc>
          <w:tcPr>
            <w:tcW w:w="4171"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The Surgery Center of Aiken</w:t>
            </w:r>
          </w:p>
        </w:tc>
        <w:tc>
          <w:tcPr>
            <w:tcW w:w="386" w:type="dxa"/>
            <w:tcBorders/>
            <w:tcMar>
              <w:top w:w="0" w:type="dxa"/>
              <w:left w:w="0" w:type="dxa"/>
              <w:bottom w:w="0" w:type="dxa"/>
              <w:right w:w="0" w:type="dxa"/>
            </w:tcMar>
            <w:vAlign w:val="center"/>
          </w:tcPr>
          <w:p>
            <w:pPr>
              <w:pStyle w:val="TableContents"/>
              <w:bidi w:val="0"/>
              <w:spacing w:before="0" w:after="283"/>
              <w:ind w:left="0" w:right="0" w:firstLine="240"/>
              <w:jc w:val="left"/>
              <w:rPr>
                <w:sz w:val="4"/>
                <w:szCs w:val="4"/>
              </w:rPr>
            </w:pPr>
            <w:r>
              <w:rPr>
                <w:sz w:val="4"/>
                <w:szCs w:val="4"/>
              </w:rPr>
            </w:r>
          </w:p>
        </w:tc>
        <w:tc>
          <w:tcPr>
            <w:tcW w:w="23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Aiken, South Carolina</w:t>
            </w:r>
          </w:p>
        </w:tc>
        <w:tc>
          <w:tcPr>
            <w:tcW w:w="1441" w:type="dxa"/>
            <w:tcBorders/>
            <w:tcMar>
              <w:top w:w="0" w:type="dxa"/>
              <w:left w:w="0" w:type="dxa"/>
              <w:bottom w:w="0" w:type="dxa"/>
              <w:right w:w="0" w:type="dxa"/>
            </w:tcMar>
            <w:vAlign w:val="center"/>
          </w:tcPr>
          <w:p>
            <w:pPr>
              <w:pStyle w:val="TableContents"/>
              <w:bidi w:val="0"/>
              <w:spacing w:before="0" w:after="20"/>
              <w:ind w:left="0" w:right="0" w:firstLine="240"/>
              <w:jc w:val="center"/>
              <w:rPr>
                <w:rFonts w:ascii="Times New Roman" w:hAnsi="Times New Roman"/>
                <w:color w:val="000000"/>
                <w:sz w:val="20"/>
              </w:rPr>
            </w:pPr>
            <w:r>
              <w:rPr>
                <w:rFonts w:ascii="Times New Roman" w:hAnsi="Times New Roman"/>
                <w:color w:val="000000"/>
                <w:sz w:val="20"/>
              </w:rPr>
              <w:t>Owned</w:t>
            </w:r>
          </w:p>
        </w:tc>
      </w:tr>
      <w:tr>
        <w:trPr/>
        <w:tc>
          <w:tcPr>
            <w:tcW w:w="4171"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Temecula Valley Day Surgery (4)</w:t>
            </w:r>
          </w:p>
        </w:tc>
        <w:tc>
          <w:tcPr>
            <w:tcW w:w="386" w:type="dxa"/>
            <w:tcBorders/>
            <w:tcMar>
              <w:top w:w="0" w:type="dxa"/>
              <w:left w:w="0" w:type="dxa"/>
              <w:bottom w:w="0" w:type="dxa"/>
              <w:right w:w="0" w:type="dxa"/>
            </w:tcMar>
            <w:vAlign w:val="center"/>
          </w:tcPr>
          <w:p>
            <w:pPr>
              <w:pStyle w:val="TableContents"/>
              <w:bidi w:val="0"/>
              <w:spacing w:before="0" w:after="283"/>
              <w:ind w:left="0" w:right="0" w:firstLine="240"/>
              <w:jc w:val="left"/>
              <w:rPr>
                <w:sz w:val="4"/>
                <w:szCs w:val="4"/>
              </w:rPr>
            </w:pPr>
            <w:r>
              <w:rPr>
                <w:sz w:val="4"/>
                <w:szCs w:val="4"/>
              </w:rPr>
            </w:r>
          </w:p>
        </w:tc>
        <w:tc>
          <w:tcPr>
            <w:tcW w:w="23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Murrieta, California</w:t>
            </w:r>
          </w:p>
        </w:tc>
        <w:tc>
          <w:tcPr>
            <w:tcW w:w="1441" w:type="dxa"/>
            <w:tcBorders/>
            <w:tcMar>
              <w:top w:w="0" w:type="dxa"/>
              <w:left w:w="0" w:type="dxa"/>
              <w:bottom w:w="0" w:type="dxa"/>
              <w:right w:w="0" w:type="dxa"/>
            </w:tcMar>
            <w:vAlign w:val="center"/>
          </w:tcPr>
          <w:p>
            <w:pPr>
              <w:pStyle w:val="TableContents"/>
              <w:bidi w:val="0"/>
              <w:spacing w:before="0" w:after="20"/>
              <w:jc w:val="center"/>
              <w:rPr>
                <w:rFonts w:ascii="Times New Roman" w:hAnsi="Times New Roman"/>
                <w:color w:val="000000"/>
                <w:sz w:val="20"/>
              </w:rPr>
            </w:pPr>
            <w:r>
              <w:rPr>
                <w:rFonts w:ascii="Times New Roman" w:hAnsi="Times New Roman"/>
                <w:color w:val="000000"/>
                <w:sz w:val="20"/>
              </w:rPr>
              <w:t>Leased</w:t>
            </w:r>
          </w:p>
        </w:tc>
      </w:tr>
    </w:tbl>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Real property leased from Universal Health Realty Income Trust.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(2)</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These entities are consolidated under one license operating as the South Texas Health System.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(3)</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We manage and own a noncontrolling interest of approximately 50% in the entity that operates this facility.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(4)</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We manage and own a majority interest in an LLC that owns and operates this center.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(5)</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We own a noncontrolling ownership interest of approximately 50% in the entity that operates this facility that is managed by a third-party.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(6)</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We hold a 93% ownership interest in this facility through both general and limited partnership interests. The remaining 7% ownership interest is held by unaffiliated third parties.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(7)</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Land of this facility is leased.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(8)</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We manage and own a noncontrolling interest of 50% in this facility. The remaining 50% ownership interest is held by an unaffiliated third party. Land of this facility is leased from the unaffiliated third party member.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(9)</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We manage and hold an 80% ownership interest in this facility. The remaining 20% ownership interest is held by an unaffiliated third party.</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(10)</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We hold a 51% ownership interest in this facility. The remaining 49% ownership interest is held by unaffiliated third parties.</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(11)</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We manage and hold a 52% ownership interest in this facility. The remaining 48% ownership interest is held by an unaffiliated third party.</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(12)</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We manage and hold a 51% ownership interest in this facility. The remaining 49% ownership interest is held by an unaffiliated third party.</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(13)</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We manage and hold a 70% ownership interest in this facility. The remaining 30% ownership interest is held by an unaffiliated third party.</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(14)</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We manage and hold a 75% ownership interest in this facility. The remaining 25% ownership interest is held by an unaffiliated third party.</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(15)</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We manage and hold a 75% ownership interest in this facility. The remaining 25% ownership interest is held by an unaffiliated third party.</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(16)</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land of this facility is leased pursuant to the terms of a lease that is scheduled to expire in August, 2082. The lease contains one, twenty-five year renewal option.</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(17)</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We own a noncontrolling ownership interest of 30% in the entity that operates this facility that is managed by a third-party.</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(18)</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We hold a 51% ownership interest in this facility. The remaining 49% ownership interest is held by unaffiliated third parties.</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(19)</w:t>
      </w:r>
    </w:p>
    <w:p>
      <w:pPr>
        <w:pStyle w:val="TextBody"/>
        <w:bidi w:val="0"/>
        <w:jc w:val="left"/>
        <w:rPr>
          <w:rFonts w:ascii="Times New Roman" w:hAnsi="Times New Roman"/>
          <w:color w:val="000000"/>
          <w:sz w:val="20"/>
        </w:rPr>
      </w:pPr>
      <w:r>
        <w:rPr>
          <w:rFonts w:ascii="Times New Roman" w:hAnsi="Times New Roman"/>
          <w:color w:val="000000"/>
          <w:sz w:val="20"/>
        </w:rPr>
        <w:t>We manage and hold a 51% ownership interest in this facility. The remaining 49% ownership interest is held by an unaffiliated third party. The facility opened on January 13, 2026.</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own or lease medical office buildings adjoining some of our hospitals. We believe that the leases on the facilities, medical office buildings and other real estate leased or owned by us do not impose any material limitation on our operations. The aggregate lease payments on facilities leased by us were $111 million in 2025, $110 million in 2024 and $107 million in 2023.</w:t>
      </w:r>
    </w:p>
    <w:p>
      <w:pPr>
        <w:pStyle w:val="TextBody"/>
        <w:bidi w:val="0"/>
        <w:spacing w:before="120" w:after="283"/>
        <w:jc w:val="left"/>
        <w:rPr>
          <w:rFonts w:ascii="Times New Roman" w:hAnsi="Times New Roman"/>
          <w:sz w:val="20"/>
        </w:rPr>
      </w:pPr>
      <w:bookmarkStart w:id="8" w:name="item_3_legal_proceedings"/>
      <w:bookmarkEnd w:id="8"/>
      <w:r>
        <w:rPr>
          <w:rFonts w:ascii="Times New Roman" w:hAnsi="Times New Roman"/>
          <w:b/>
          <w:color w:val="000000"/>
          <w:sz w:val="20"/>
        </w:rPr>
        <w:t xml:space="preserve">ITEM 3. </w:t>
      </w:r>
      <w:r>
        <w:rPr>
          <w:rFonts w:ascii="Times New Roman" w:hAnsi="Times New Roman"/>
          <w:b/>
          <w:i/>
          <w:color w:val="000000"/>
          <w:sz w:val="20"/>
        </w:rPr>
        <w:t>Legal</w:t>
      </w:r>
      <w:r>
        <w:rPr>
          <w:rFonts w:ascii="Times New Roman" w:hAnsi="Times New Roman"/>
          <w:color w:val="000000"/>
          <w:sz w:val="20"/>
        </w:rPr>
        <w:t xml:space="preserve"> </w:t>
      </w:r>
      <w:r>
        <w:rPr>
          <w:rFonts w:ascii="Times New Roman" w:hAnsi="Times New Roman"/>
          <w:b/>
          <w:i/>
          <w:color w:val="000000"/>
          <w:sz w:val="20"/>
        </w:rPr>
        <w:t>Proceedings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The information regarding our legal proceedings is contained in </w:t>
      </w:r>
      <w:r>
        <w:rPr>
          <w:rFonts w:ascii="Times New Roman" w:hAnsi="Times New Roman"/>
          <w:i/>
          <w:color w:val="000000"/>
          <w:sz w:val="20"/>
        </w:rPr>
        <w:t>Note 8 to the Consolidated Financial Statements - Commitments and Contingencies</w:t>
      </w:r>
      <w:r>
        <w:rPr>
          <w:rFonts w:ascii="Times New Roman" w:hAnsi="Times New Roman"/>
          <w:color w:val="000000"/>
          <w:sz w:val="20"/>
        </w:rPr>
        <w:t xml:space="preserve">, as included this Form 10-K, is incorporated herein by reference. </w:t>
      </w:r>
    </w:p>
    <w:p>
      <w:pPr>
        <w:pStyle w:val="TextBody"/>
        <w:bidi w:val="0"/>
        <w:spacing w:before="120" w:after="283"/>
        <w:jc w:val="left"/>
        <w:rPr>
          <w:rFonts w:ascii="Times New Roman" w:hAnsi="Times New Roman"/>
          <w:sz w:val="20"/>
        </w:rPr>
      </w:pPr>
      <w:bookmarkStart w:id="9" w:name="item_4_mine_safety_disclosures"/>
      <w:bookmarkEnd w:id="9"/>
      <w:r>
        <w:rPr>
          <w:rFonts w:ascii="Times New Roman" w:hAnsi="Times New Roman"/>
          <w:b/>
          <w:color w:val="000000"/>
          <w:sz w:val="20"/>
        </w:rPr>
        <w:t xml:space="preserve">ITEM 4. </w:t>
      </w:r>
      <w:r>
        <w:rPr>
          <w:rFonts w:ascii="Times New Roman" w:hAnsi="Times New Roman"/>
          <w:b/>
          <w:i/>
          <w:color w:val="000000"/>
          <w:sz w:val="20"/>
        </w:rPr>
        <w:t>Mine Safety Disclosures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PART II</w:t>
      </w:r>
    </w:p>
    <w:p>
      <w:pPr>
        <w:pStyle w:val="TextBody"/>
        <w:bidi w:val="0"/>
        <w:spacing w:before="120" w:after="283"/>
        <w:jc w:val="left"/>
        <w:rPr>
          <w:rFonts w:ascii="Times New Roman" w:hAnsi="Times New Roman"/>
          <w:b/>
          <w:color w:val="000000"/>
          <w:sz w:val="20"/>
        </w:rPr>
      </w:pPr>
      <w:bookmarkStart w:id="10" w:name="item_5_market"/>
      <w:bookmarkEnd w:id="10"/>
      <w:r>
        <w:rPr>
          <w:rFonts w:ascii="Times New Roman" w:hAnsi="Times New Roman"/>
          <w:b/>
          <w:color w:val="000000"/>
          <w:sz w:val="20"/>
        </w:rPr>
        <w:t>ITEM 5. Market for Registrant’s Common Equity, Related Stockholder Matters and Issuer Purchases of Equity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Class B Common Stock is traded on the New York Stock Exchange under the symbol UHS. Shares of our Class A, Class C and Class D Common Stock are not traded in any public market, but are each convertible into shares of our Class B Common Stock on a share-for-share basis.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number of stockholders of record as of January 31, 2026, were as follows: </w:t>
      </w:r>
    </w:p>
    <w:p>
      <w:pPr>
        <w:pStyle w:val="TextBody"/>
        <w:bidi w:val="0"/>
        <w:jc w:val="left"/>
        <w:rPr/>
      </w:pPr>
      <w:r>
        <w:rPr/>
        <w:t> </w:t>
      </w:r>
    </w:p>
    <w:tbl>
      <w:tblPr>
        <w:tblW w:w="2435" w:type="dxa"/>
        <w:jc w:val="left"/>
        <w:tblInd w:w="0" w:type="dxa"/>
        <w:tblLayout w:type="fixed"/>
        <w:tblCellMar>
          <w:top w:w="28" w:type="dxa"/>
          <w:left w:w="28" w:type="dxa"/>
          <w:bottom w:w="28" w:type="dxa"/>
          <w:right w:w="28" w:type="dxa"/>
        </w:tblCellMar>
      </w:tblPr>
      <w:tblGrid>
        <w:gridCol w:w="1531"/>
        <w:gridCol w:w="146"/>
        <w:gridCol w:w="146"/>
        <w:gridCol w:w="421"/>
        <w:gridCol w:w="191"/>
      </w:tblGrid>
      <w:tr>
        <w:trPr/>
        <w:tc>
          <w:tcPr>
            <w:tcW w:w="15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5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Class A Common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Class B Common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Class C Common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Class D Common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Stock Repurchase Programs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January 1, 2025, we had an aggregate available repurchase authorization of $824.4 million under our stock repurchase program. In October, 2025, our Board of Directors authorized a $1.5 billion increase in our stock repurchase program. Pursuant to this program, shares of our Class B Common Stock may be repurchased, from time to time as conditions allow, on the open market or in negotiated private transactions. There is no expiration date for our stock repurchase programs.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reflected below, during the fourth quarter of 2025, we have repurchased approximately 1.46 million shares at an aggregate cost of approximately $333.5 million (average price of $228.30 per share) pursuant to the terms of our stock repurchase program. In addition, during the three-month period ended December 31, 2025, 82,066 shares were repurchased in connection with income tax withholding obligations resulting from stock-based compensation programs. For the year ended December 31, 2025, we have repurchased approximately 4.65 million shares at an aggregate cost of approximately $899.3 million (average price of $193.38 per share). In addition, for the year ended December 31, 2025, 369,891 shares were repurchased in connection with income tax withholding obligations resulting from stock-based compensation programs.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December 31, 2025, we had an aggregate available repurchase authorization of $1.4 billion pursuant to our stock repurchase program.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During the period of October 1, 2025 through December 31, 2025, we repurchased the following shares: </w:t>
      </w:r>
    </w:p>
    <w:p>
      <w:pPr>
        <w:pStyle w:val="TextBody"/>
        <w:bidi w:val="0"/>
        <w:jc w:val="left"/>
        <w:rPr/>
      </w:pPr>
      <w:r>
        <w:rPr/>
        <w:t> </w:t>
      </w:r>
    </w:p>
    <w:tbl>
      <w:tblPr>
        <w:tblW w:w="10351" w:type="dxa"/>
        <w:jc w:val="left"/>
        <w:tblInd w:w="0" w:type="dxa"/>
        <w:tblLayout w:type="fixed"/>
        <w:tblCellMar>
          <w:top w:w="28" w:type="dxa"/>
          <w:left w:w="28" w:type="dxa"/>
          <w:bottom w:w="28" w:type="dxa"/>
          <w:right w:w="28" w:type="dxa"/>
        </w:tblCellMar>
      </w:tblPr>
      <w:tblGrid>
        <w:gridCol w:w="961"/>
        <w:gridCol w:w="146"/>
        <w:gridCol w:w="196"/>
        <w:gridCol w:w="826"/>
        <w:gridCol w:w="146"/>
        <w:gridCol w:w="146"/>
        <w:gridCol w:w="146"/>
        <w:gridCol w:w="826"/>
        <w:gridCol w:w="146"/>
        <w:gridCol w:w="146"/>
        <w:gridCol w:w="196"/>
        <w:gridCol w:w="465"/>
        <w:gridCol w:w="146"/>
        <w:gridCol w:w="146"/>
        <w:gridCol w:w="214"/>
        <w:gridCol w:w="462"/>
        <w:gridCol w:w="146"/>
        <w:gridCol w:w="146"/>
        <w:gridCol w:w="146"/>
        <w:gridCol w:w="826"/>
        <w:gridCol w:w="146"/>
        <w:gridCol w:w="146"/>
        <w:gridCol w:w="196"/>
        <w:gridCol w:w="601"/>
        <w:gridCol w:w="146"/>
        <w:gridCol w:w="146"/>
        <w:gridCol w:w="196"/>
        <w:gridCol w:w="691"/>
        <w:gridCol w:w="146"/>
        <w:gridCol w:w="146"/>
        <w:gridCol w:w="196"/>
        <w:gridCol w:w="826"/>
        <w:gridCol w:w="191"/>
      </w:tblGrid>
      <w:tr>
        <w:trPr/>
        <w:tc>
          <w:tcPr>
            <w:tcW w:w="9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9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Additional</w:t>
              <w:br/>
              <w:t>Dollars</w:t>
              <w:br/>
              <w:t>Authorized</w:t>
              <w:br/>
              <w:t>For</w:t>
              <w:br/>
              <w:t>Repurchase</w:t>
              <w:br/>
              <w:t>(in</w:t>
              <w:br/>
              <w:t>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Total</w:t>
              <w:br/>
              <w:t>number of</w:t>
              <w:br/>
              <w:t>shares</w:t>
              <w:br/>
              <w:t>purchased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Total</w:t>
              <w:br/>
              <w:t>number of</w:t>
              <w:br/>
              <w:t>shares</w:t>
              <w:br/>
              <w:t>cancelled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Average</w:t>
              <w:br/>
              <w:t>price paid</w:t>
              <w:br/>
              <w:t>per share</w:t>
              <w:br/>
              <w:t>for forfeited</w:t>
              <w:br/>
              <w:t>restricted</w:t>
              <w:b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Total</w:t>
              <w:br/>
              <w:t>Number</w:t>
              <w:br/>
              <w:t>of shares</w:t>
              <w:br/>
              <w:t>purchased</w:t>
              <w:br/>
              <w:t>as part of</w:t>
              <w:br/>
              <w:t>publicly</w:t>
              <w:br/>
              <w:t>announced</w:t>
              <w:br/>
              <w:t>programs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Average</w:t>
              <w:br/>
              <w:t>price paid</w:t>
              <w:br/>
              <w:t>per share</w:t>
              <w:br/>
              <w:t>for shares</w:t>
              <w:br/>
              <w:t>purchased</w:t>
              <w:br/>
              <w:t>as part of</w:t>
              <w:br/>
              <w:t>publicly</w:t>
              <w:br/>
              <w:t>announced</w:t>
              <w:br/>
              <w:t>program</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Aggregate</w:t>
              <w:br/>
              <w:t>purchase</w:t>
              <w:br/>
              <w:t>price paid</w:t>
              <w:b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Maximum</w:t>
              <w:br/>
              <w:t>number of</w:t>
              <w:br/>
              <w:t>dollars that</w:t>
              <w:br/>
              <w:t>may yet be</w:t>
              <w:br/>
              <w:t>purchased</w:t>
              <w:br/>
              <w:t>under the</w:t>
              <w:br/>
              <w:t>program</w:t>
              <w:br/>
              <w:t>(in</w:t>
              <w:br/>
              <w:t>thousands)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9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October,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1,500,000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63,645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1,758,547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November,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750,196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735,622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231.23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170,097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1,588,450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December,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728,847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725,000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225.33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163,364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1,425,086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October through</w:t>
              <w:br/>
              <w:t>   December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1,500,000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1,542,688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1,460,622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228.30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333,461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Includes shares that were repurchased in connection with income tax withholding obligations resulting from the exercise of stock options and the vesting of restricted stock grants.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only publicly announced program pursuant to which the shares were repurchased was the share repurchase program described above. There is no other plan or program that has expired during this time period. Also, there is no other plan or program that we have determined to terminate prior to expiration, or under which we do not intend to make further purchases.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Dividends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During the year ended December 31, 2025 we paid dividends of $0.80 per share. Dividend equivalents are accrued on unvested restricted stock units and are paid upon vesting of the restricted stock unit.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Our Credit Agreement contains covenants that include limitations on, among other things, dividends and stock repurchases (see below in </w:t>
      </w:r>
      <w:r>
        <w:rPr>
          <w:rFonts w:ascii="Times New Roman" w:hAnsi="Times New Roman"/>
          <w:i/>
          <w:color w:val="000000"/>
          <w:sz w:val="20"/>
        </w:rPr>
        <w:t>Capital Resources-Credit Facilities and Outstanding Debt Securities</w:t>
      </w:r>
      <w:r>
        <w:rPr>
          <w:rFonts w:ascii="Times New Roman" w:hAnsi="Times New Roman"/>
          <w:color w:val="000000"/>
          <w:sz w:val="20"/>
        </w:rPr>
        <w:t>).</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Equity Compensation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Refer to Item 12. Security Ownership of Certain Beneficial Owners and Management and Related Stockholder Matters, of this report for information regarding securities authorized for issuance under our equity compensation plans.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Stock Price Performance Graph</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graph compares the cumulative total stockholder return on our common stock with the cumulative total return on the stock included in the Standard &amp; Poor’s 500 Index and a Peer Group Index during the five-year period ended December 31, 2025. The graph assumes an investment of $100 made in our common stock and each Index as of January 1, 2021 and has been weighted based on market capitalization. Note that our common stock price performance shown below should not be viewed as being indicative of future performance.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Companies in the peer group, which consist of companies in the S&amp;P 500 Index or S&amp;P MidCap 400 Index are as follows: Acadia Healthcare Company, Inc., Community Health Systems, Inc., HCA Healthcare, Inc., and Tenet Healthcare Corporation.</w:t>
      </w:r>
    </w:p>
    <w:p>
      <w:pPr>
        <w:pStyle w:val="TextBody"/>
        <w:bidi w:val="0"/>
        <w:spacing w:before="240" w:after="283"/>
        <w:jc w:val="center"/>
        <w:rPr/>
      </w:pPr>
      <w:r>
        <w:rPr/>
        <w:drawing>
          <wp:inline distT="0" distB="0" distL="0" distR="0">
            <wp:extent cx="5724525" cy="38385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5724525" cy="3838575"/>
                    </a:xfrm>
                    <a:prstGeom prst="rect">
                      <a:avLst/>
                    </a:prstGeom>
                  </pic:spPr>
                </pic:pic>
              </a:graphicData>
            </a:graphic>
          </wp:inline>
        </w:drawing>
      </w:r>
    </w:p>
    <w:p>
      <w:pPr>
        <w:pStyle w:val="TextBody"/>
        <w:bidi w:val="0"/>
        <w:spacing w:before="120" w:after="283"/>
        <w:jc w:val="left"/>
        <w:rPr/>
      </w:pPr>
      <w:r>
        <w:rPr/>
        <w:t> </w:t>
      </w:r>
    </w:p>
    <w:tbl>
      <w:tblPr>
        <w:tblW w:w="9308" w:type="dxa"/>
        <w:jc w:val="left"/>
        <w:tblInd w:w="0" w:type="dxa"/>
        <w:tblLayout w:type="fixed"/>
        <w:tblCellMar>
          <w:top w:w="28" w:type="dxa"/>
          <w:left w:w="28" w:type="dxa"/>
          <w:bottom w:w="28" w:type="dxa"/>
          <w:right w:w="28" w:type="dxa"/>
        </w:tblCellMar>
      </w:tblPr>
      <w:tblGrid>
        <w:gridCol w:w="2596"/>
        <w:gridCol w:w="109"/>
        <w:gridCol w:w="211"/>
        <w:gridCol w:w="676"/>
        <w:gridCol w:w="109"/>
        <w:gridCol w:w="109"/>
        <w:gridCol w:w="211"/>
        <w:gridCol w:w="676"/>
        <w:gridCol w:w="146"/>
        <w:gridCol w:w="109"/>
        <w:gridCol w:w="211"/>
        <w:gridCol w:w="676"/>
        <w:gridCol w:w="109"/>
        <w:gridCol w:w="109"/>
        <w:gridCol w:w="211"/>
        <w:gridCol w:w="676"/>
        <w:gridCol w:w="109"/>
        <w:gridCol w:w="109"/>
        <w:gridCol w:w="211"/>
        <w:gridCol w:w="676"/>
        <w:gridCol w:w="109"/>
        <w:gridCol w:w="109"/>
        <w:gridCol w:w="211"/>
        <w:gridCol w:w="676"/>
        <w:gridCol w:w="154"/>
      </w:tblGrid>
      <w:tr>
        <w:trPr/>
        <w:tc>
          <w:tcPr>
            <w:tcW w:w="25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Company Name / Index</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2020 Base</w:t>
            </w:r>
          </w:p>
        </w:tc>
        <w:tc>
          <w:tcPr>
            <w:tcW w:w="109"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2021</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09"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09"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09"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54"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25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Universal Health Services, Inc.</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100.00</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94.84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103.72</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112.89</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133.42</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162.79</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S&amp;P 500 Index</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196.16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Peer Group</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100.00</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146.42</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167.55</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186.90</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283.61</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360" w:after="120"/>
        <w:jc w:val="left"/>
        <w:rPr>
          <w:rFonts w:ascii="Times New Roman" w:hAnsi="Times New Roman"/>
          <w:b/>
          <w:color w:val="000000"/>
          <w:sz w:val="20"/>
        </w:rPr>
      </w:pPr>
      <w:bookmarkStart w:id="11" w:name="item_6_reserved"/>
      <w:bookmarkEnd w:id="11"/>
      <w:r>
        <w:rPr>
          <w:rFonts w:ascii="Times New Roman" w:hAnsi="Times New Roman"/>
          <w:b/>
          <w:color w:val="000000"/>
          <w:sz w:val="20"/>
        </w:rPr>
        <w:t>ITEM 6. [RESERVED]</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12" w:name="item_7_managements_discussion_analysis_f"/>
      <w:bookmarkEnd w:id="12"/>
      <w:r>
        <w:rPr>
          <w:rFonts w:ascii="Times New Roman" w:hAnsi="Times New Roman"/>
          <w:b/>
          <w:color w:val="000000"/>
          <w:sz w:val="20"/>
        </w:rPr>
        <w:t>ITEM 7. Management’s Discussion and Analysis of</w:t>
      </w:r>
      <w:r>
        <w:rPr>
          <w:rFonts w:ascii="Times New Roman" w:hAnsi="Times New Roman"/>
          <w:color w:val="000000"/>
          <w:sz w:val="20"/>
        </w:rPr>
        <w:t xml:space="preserve"> </w:t>
      </w:r>
      <w:r>
        <w:rPr>
          <w:rFonts w:ascii="Times New Roman" w:hAnsi="Times New Roman"/>
          <w:b/>
          <w:color w:val="000000"/>
          <w:sz w:val="20"/>
        </w:rPr>
        <w:t>Financial Condition and Results of Operations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The following Management’s Discussion and Analysis of Financial Condition and Results of Operations (“MD&amp;A”) is intended to promote an understanding of our operating results and financial condition. The MD&amp;A is provided as a supplement to, and should be read in conjunction with, our consolidated financial statements and the accompanying notes to the Consolidated Financial Statements, as included in this Annual Report on Form 10-K. The MD&amp;A contains forward-looking statements that involve risks, uncertainties, and assumptions. Actual results may differ materially from those anticipated in these forward-looking statements as a result of various factors, including, but not limited to, those presented under </w:t>
      </w:r>
      <w:r>
        <w:rPr>
          <w:rFonts w:ascii="Times New Roman" w:hAnsi="Times New Roman"/>
          <w:i/>
          <w:color w:val="000000"/>
          <w:sz w:val="20"/>
        </w:rPr>
        <w:t xml:space="preserve">Item 1A. Risk Factors, </w:t>
      </w:r>
      <w:r>
        <w:rPr>
          <w:rFonts w:ascii="Times New Roman" w:hAnsi="Times New Roman"/>
          <w:color w:val="000000"/>
          <w:sz w:val="20"/>
        </w:rPr>
        <w:t xml:space="preserve">and below in </w:t>
      </w:r>
      <w:r>
        <w:rPr>
          <w:rFonts w:ascii="Times New Roman" w:hAnsi="Times New Roman"/>
          <w:i/>
          <w:color w:val="000000"/>
          <w:sz w:val="20"/>
        </w:rPr>
        <w:t xml:space="preserve">Forward-Looking Statements and Risk Factors </w:t>
      </w:r>
      <w:r>
        <w:rPr>
          <w:rFonts w:ascii="Times New Roman" w:hAnsi="Times New Roman"/>
          <w:color w:val="000000"/>
          <w:sz w:val="20"/>
        </w:rPr>
        <w:t xml:space="preserve">and as included elsewhere in this Annual Report on Form 10-K. This section generally discusses our results of operations for the year ended December 31, 2025, as compared to the year ended December 31, 2024. For discussion of our results of operations and changes in our financial condition for the year ended December 31, 2024 as compared to the year ended December 31, 2023, please refer to </w:t>
      </w:r>
      <w:r>
        <w:rPr>
          <w:rFonts w:ascii="Times New Roman" w:hAnsi="Times New Roman"/>
          <w:i/>
          <w:color w:val="000000"/>
          <w:sz w:val="20"/>
        </w:rPr>
        <w:t xml:space="preserve">Part II, Item 7. Management’s Discussion and Analysis of Financial Condition and Results of Operations </w:t>
      </w:r>
      <w:r>
        <w:rPr>
          <w:rFonts w:ascii="Times New Roman" w:hAnsi="Times New Roman"/>
          <w:color w:val="000000"/>
          <w:sz w:val="20"/>
        </w:rPr>
        <w:t xml:space="preserve">in our Annual Report on Form 10-K for the year ended December 31, 2024, as filed with the Securities and Exchange Commission on February 26, 2025.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Overview</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principal business is owning and operating, through our subsidiaries, acute care hospitals and outpatient facilities and behavioral health care facilities.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February 25, 2026, we owned and/or operated 375 inpatient facilities and 168 outpatient and other facilities located in 40 states, Washington, D.C., the United Kingdom and Puerto Rico. We have changed the method of our outpatient behavioral health care facility counts during the third quarter of 2025 and substantially all of the increase from prior periods is related to that change in convention. </w:t>
      </w:r>
    </w:p>
    <w:p>
      <w:pPr>
        <w:pStyle w:val="TextBody"/>
        <w:bidi w:val="0"/>
        <w:spacing w:before="120" w:after="283"/>
        <w:jc w:val="left"/>
        <w:rPr>
          <w:rFonts w:ascii="Times New Roman" w:hAnsi="Times New Roman"/>
          <w:b/>
          <w:i/>
          <w:color w:val="000000"/>
          <w:sz w:val="20"/>
          <w:u w:val="single"/>
        </w:rPr>
      </w:pPr>
      <w:r>
        <w:rPr>
          <w:rFonts w:ascii="Times New Roman" w:hAnsi="Times New Roman"/>
          <w:b/>
          <w:i/>
          <w:color w:val="000000"/>
          <w:sz w:val="20"/>
          <w:u w:val="single"/>
        </w:rPr>
        <w:t>Acute care facilities located in the U.S.:</w:t>
      </w:r>
    </w:p>
    <w:p>
      <w:pPr>
        <w:pStyle w:val="TextBody"/>
        <w:bidi w:val="0"/>
        <w:spacing w:before="60" w:after="283"/>
        <w:jc w:val="left"/>
        <w:rPr>
          <w:color w:val="000000"/>
        </w:rPr>
      </w:pPr>
      <w:r>
        <w:rPr>
          <w:color w:val="000000"/>
        </w:rPr>
        <w:t>•</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29 inpatient acute care hospitals;</w:t>
      </w:r>
    </w:p>
    <w:p>
      <w:pPr>
        <w:pStyle w:val="TextBody"/>
        <w:bidi w:val="0"/>
        <w:spacing w:before="60" w:after="283"/>
        <w:jc w:val="left"/>
        <w:rPr>
          <w:color w:val="000000"/>
        </w:rPr>
      </w:pPr>
      <w:r>
        <w:rPr>
          <w:color w:val="000000"/>
        </w:rPr>
        <w:t>•</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35 free-standing emergency departments, and;</w:t>
      </w:r>
    </w:p>
    <w:p>
      <w:pPr>
        <w:pStyle w:val="TextBody"/>
        <w:bidi w:val="0"/>
        <w:spacing w:before="60" w:after="283"/>
        <w:jc w:val="left"/>
        <w:rPr>
          <w:color w:val="000000"/>
        </w:rPr>
      </w:pPr>
      <w:r>
        <w:rPr>
          <w:color w:val="000000"/>
        </w:rPr>
        <w:t>•</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13 outpatient centers &amp; 1 surgical hospital.</w:t>
      </w:r>
    </w:p>
    <w:p>
      <w:pPr>
        <w:pStyle w:val="TextBody"/>
        <w:bidi w:val="0"/>
        <w:spacing w:before="120" w:after="283"/>
        <w:jc w:val="left"/>
        <w:rPr>
          <w:rFonts w:ascii="Times New Roman" w:hAnsi="Times New Roman"/>
          <w:sz w:val="20"/>
        </w:rPr>
      </w:pPr>
      <w:r>
        <w:rPr>
          <w:rFonts w:ascii="Times New Roman" w:hAnsi="Times New Roman"/>
          <w:b/>
          <w:i/>
          <w:color w:val="000000"/>
          <w:sz w:val="20"/>
          <w:u w:val="single"/>
        </w:rPr>
        <w:t>Behavioral health care facilities (346 inpatient facilities and 119 outpatient facilities):</w:t>
      </w:r>
      <w:r>
        <w:rPr>
          <w:rFonts w:ascii="Times New Roman" w:hAnsi="Times New Roman"/>
          <w:color w:val="000000"/>
          <w:sz w:val="20"/>
        </w:rPr>
        <w:t xml:space="preserve"> </w:t>
      </w:r>
    </w:p>
    <w:p>
      <w:pPr>
        <w:pStyle w:val="TextBody"/>
        <w:bidi w:val="0"/>
        <w:spacing w:before="120" w:after="283"/>
        <w:jc w:val="left"/>
        <w:rPr>
          <w:rFonts w:ascii="Times New Roman" w:hAnsi="Times New Roman"/>
          <w:b/>
          <w:i/>
          <w:color w:val="000000"/>
          <w:sz w:val="20"/>
          <w:u w:val="single"/>
        </w:rPr>
      </w:pPr>
      <w:r>
        <w:rPr>
          <w:rFonts w:ascii="Times New Roman" w:hAnsi="Times New Roman"/>
          <w:b/>
          <w:i/>
          <w:color w:val="000000"/>
          <w:sz w:val="20"/>
          <w:u w:val="single"/>
        </w:rPr>
        <w:t>Located in the U.S.:</w:t>
      </w:r>
    </w:p>
    <w:p>
      <w:pPr>
        <w:pStyle w:val="TextBody"/>
        <w:bidi w:val="0"/>
        <w:spacing w:before="60" w:after="283"/>
        <w:jc w:val="left"/>
        <w:rPr>
          <w:color w:val="000000"/>
        </w:rPr>
      </w:pPr>
      <w:r>
        <w:rPr>
          <w:color w:val="000000"/>
        </w:rPr>
        <w:t>•</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182 inpatient behavioral health care facilities, and;</w:t>
      </w:r>
    </w:p>
    <w:p>
      <w:pPr>
        <w:pStyle w:val="TextBody"/>
        <w:bidi w:val="0"/>
        <w:spacing w:before="60" w:after="283"/>
        <w:jc w:val="left"/>
        <w:rPr>
          <w:color w:val="000000"/>
        </w:rPr>
      </w:pPr>
      <w:r>
        <w:rPr>
          <w:color w:val="000000"/>
        </w:rPr>
        <w:t>•</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 xml:space="preserve">110 outpatient behavioral health care facilities. </w:t>
      </w:r>
    </w:p>
    <w:p>
      <w:pPr>
        <w:pStyle w:val="TextBody"/>
        <w:bidi w:val="0"/>
        <w:spacing w:before="120" w:after="283"/>
        <w:jc w:val="left"/>
        <w:rPr>
          <w:rFonts w:ascii="Times New Roman" w:hAnsi="Times New Roman"/>
          <w:b/>
          <w:i/>
          <w:color w:val="000000"/>
          <w:sz w:val="20"/>
          <w:u w:val="single"/>
        </w:rPr>
      </w:pPr>
      <w:r>
        <w:rPr>
          <w:rFonts w:ascii="Times New Roman" w:hAnsi="Times New Roman"/>
          <w:b/>
          <w:i/>
          <w:color w:val="000000"/>
          <w:sz w:val="20"/>
          <w:u w:val="single"/>
        </w:rPr>
        <w:t>Located in the U.K.:</w:t>
      </w:r>
    </w:p>
    <w:p>
      <w:pPr>
        <w:pStyle w:val="TextBody"/>
        <w:bidi w:val="0"/>
        <w:spacing w:before="60" w:after="283"/>
        <w:jc w:val="left"/>
        <w:rPr>
          <w:color w:val="000000"/>
        </w:rPr>
      </w:pPr>
      <w:r>
        <w:rPr>
          <w:color w:val="000000"/>
        </w:rPr>
        <w:t>•</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161 inpatient behavioral health care facilities, and;</w:t>
      </w:r>
    </w:p>
    <w:p>
      <w:pPr>
        <w:pStyle w:val="TextBody"/>
        <w:bidi w:val="0"/>
        <w:spacing w:before="60" w:after="283"/>
        <w:jc w:val="left"/>
        <w:rPr>
          <w:color w:val="000000"/>
        </w:rPr>
      </w:pPr>
      <w:r>
        <w:rPr>
          <w:color w:val="000000"/>
        </w:rPr>
        <w:t>•</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2 outpatient behavioral health care facilities.</w:t>
      </w:r>
    </w:p>
    <w:p>
      <w:pPr>
        <w:pStyle w:val="TextBody"/>
        <w:bidi w:val="0"/>
        <w:spacing w:before="120" w:after="283"/>
        <w:jc w:val="left"/>
        <w:rPr>
          <w:rFonts w:ascii="Times New Roman" w:hAnsi="Times New Roman"/>
          <w:b/>
          <w:i/>
          <w:color w:val="000000"/>
          <w:sz w:val="20"/>
          <w:u w:val="single"/>
        </w:rPr>
      </w:pPr>
      <w:r>
        <w:rPr>
          <w:rFonts w:ascii="Times New Roman" w:hAnsi="Times New Roman"/>
          <w:b/>
          <w:i/>
          <w:color w:val="000000"/>
          <w:sz w:val="20"/>
          <w:u w:val="single"/>
        </w:rPr>
        <w:t>Located in Puerto Rico:</w:t>
      </w:r>
    </w:p>
    <w:p>
      <w:pPr>
        <w:pStyle w:val="TextBody"/>
        <w:bidi w:val="0"/>
        <w:spacing w:before="60" w:after="283"/>
        <w:jc w:val="left"/>
        <w:rPr>
          <w:color w:val="000000"/>
        </w:rPr>
      </w:pPr>
      <w:r>
        <w:rPr>
          <w:color w:val="000000"/>
        </w:rPr>
        <w:t>•</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3 inpatient behavioral health care facilities;</w:t>
      </w:r>
    </w:p>
    <w:p>
      <w:pPr>
        <w:pStyle w:val="TextBody"/>
        <w:bidi w:val="0"/>
        <w:spacing w:before="60" w:after="283"/>
        <w:jc w:val="left"/>
        <w:rPr>
          <w:color w:val="000000"/>
        </w:rPr>
      </w:pPr>
      <w:r>
        <w:rPr>
          <w:color w:val="000000"/>
        </w:rPr>
        <w:t>•</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7 outpatient behavioral health care facilities.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Net revenues from our acute care hospitals, outpatient facilities and commercial health insurer accounted for approximately 57% of our consolidated net revenues during each of 2025 and 2024. Net revenues from our behavioral health care facilities and commercial health insurer accounted for approximately 43% of our consolidated net revenues during each of 2025 and 2024.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behavioral health care facilities located in the U.K. generated net revenues of approximately $1.001 billion in 2025 and $880 million in 2024. Total assets at our U.K. behavioral health care facilities were approximately $1.531 billion as of December 31, 2025 and $1.358 billion as of December 31, 2024.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Services provided by our hospitals include general and specialty surgery, internal medicine, obstetrics, emergency room care, radiology, oncology, diagnostic care, coronary care, pediatric services, pharmacy services and/or behavioral health services. We provide capital resources as well as a variety of management services to our facilities, including central purchasing, information services, finance and control systems, facilities planning, physician recruitment services, administrative personnel management, marketing and public relations.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Forward-Looking Statements and Risk Factors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You should carefully review the information contained in this Annual Report, and should particularly consider any risk factors that we set forth in this Annual Report on Form 10-K for the year ended December 31, 2025, and in other reports or documents that we file from time to time with the Securities and Exchange Commission (the “SEC”). In this Annual Report, we state our beliefs of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future events and of our future financial performance. This Annual Report contains “forward-looking statements” that reflect our current estimates, expectations and projections about our future results, performance, prospects and opportunities. Forward-looking statements include, among other things, the information concerning our possible future results of operations, business and growth strategies, financing plans, expectations that regulatory developments or other matters will or will not have a material adverse effect on our business or financial condition, our competitive position and the effects of competition, the projected growth of the industry in which we operate, and the benefits and synergies to be obtained from our completed and any future acquisitions, and statements of our goals and objectives, and other similar expressions concerning matters that are not historical facts. Words such as “may,” “will,” “should,” “could,” “would,” “predicts,” “potential,” “continue,” “expects,” “anticipates,” “future,” “intends,” “plans,” “believes,” “estimates,” “appears,” “projects” and similar expressions, or the negative of those words and expressions, as well as statements in future tense, identify forward-looking statements. In evaluating those statements, you should specifically consider various factors, including the risks related to healthcare industry trends and those set forth herein in </w:t>
      </w:r>
      <w:r>
        <w:rPr>
          <w:rFonts w:ascii="Times New Roman" w:hAnsi="Times New Roman"/>
          <w:i/>
          <w:color w:val="000000"/>
          <w:sz w:val="20"/>
        </w:rPr>
        <w:t xml:space="preserve">Item 1A. Risk Factors. </w:t>
      </w:r>
      <w:r>
        <w:rPr>
          <w:rFonts w:ascii="Times New Roman" w:hAnsi="Times New Roman"/>
          <w:color w:val="000000"/>
          <w:sz w:val="20"/>
        </w:rPr>
        <w:t xml:space="preserve">Those factors may cause our actual results to differ materially from any of our forward-looking statements.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Forward-looking statements should not be read as a guarantee of future performance or results, and will not necessarily be accurate indications of the times at, or by which, such performance or results will be achieved. Forward-looking information is based on information available at the time and/or our good faith belief with respect to future events, and is subject to risks and uncertainties that are difficult to predict and many of which are outside of our control. Many factors, including those set forth herein in </w:t>
      </w:r>
      <w:r>
        <w:rPr>
          <w:rFonts w:ascii="Times New Roman" w:hAnsi="Times New Roman"/>
          <w:i/>
          <w:color w:val="000000"/>
          <w:sz w:val="20"/>
        </w:rPr>
        <w:t>Item 1A. Risk Factors</w:t>
      </w:r>
      <w:r>
        <w:rPr>
          <w:rFonts w:ascii="Times New Roman" w:hAnsi="Times New Roman"/>
          <w:color w:val="000000"/>
          <w:sz w:val="20"/>
        </w:rPr>
        <w:t>, and other important factors disclosed in this report, and from time to time in our other filings with the SEC, could cause actual performance or results to differ materially from those expressed in the statements. Such factors include, among other things, the following:</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rPr>
        <w:t xml:space="preserve">as discussed below in </w:t>
      </w:r>
      <w:r>
        <w:rPr>
          <w:rFonts w:ascii="Times New Roman" w:hAnsi="Times New Roman"/>
          <w:i/>
          <w:color w:val="000000"/>
          <w:sz w:val="20"/>
        </w:rPr>
        <w:t xml:space="preserve">Sources of Revenue, </w:t>
      </w:r>
      <w:r>
        <w:rPr>
          <w:rFonts w:ascii="Times New Roman" w:hAnsi="Times New Roman"/>
          <w:color w:val="000000"/>
          <w:sz w:val="20"/>
        </w:rPr>
        <w:t xml:space="preserve">we receive revenues from various state and county-based programs, including Medicaid in all the states in which we operate. We receive annual Medicaid revenues of approximately $100 million, or greater, from each of Texas, California, Nevada, Washington, D.C., Illinois, Pennsylvania, Kentucky, Florida, Tennessee, Virginia, Massachusetts, Michigan, Mississippi and Washington. Most of these programs are approved on a year-to-year basis and there is no assurance that these revenues will continue at their current rates or at all. We are therefore particularly sensitive to potential reductions in Medicaid and other state-based revenue programs as well as regulatory, economic, environmental and competitive changes in those states;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legislation adopted on July 4, 2025 (the One Big Beautiful Bill Act), attaches work and community service requirements to eligibility for Medicaid benefits that will have the effect of limiting Medicaid enrollment and expenditure. That legislation also places limits on provider fees used to increase federal Medicaid funding to states. The legislation prohibits states not previously having expanded Medicaid eligibility to 138% of federal poverty level from increasing the rate of current provider fees which fund certain state supplemental payments or increasing the base of the fee to a class or items of services that the fee did not previously cover. That current provider fee threshold will remain at 6%. For states having expanded Medicaid eligibility under the legislation, the provider fee threshold will be reduced by 0.5% annually between federal fiscal years 2028 and 2032 with the resulting threshold ultimately becoming 3.5%. Under current law, and based on our current expectations, we estimate that, commencing with the 2028 state fiscal years, our aggregate annual net benefit will be reduced, on an annually increasing and relatively pro rata basis, by approximately $432 million to $480 million by 2032. The legislation also eliminates certain insurance exchange premium tax credits beyond 2025 and exchange enrollment is expected to be adversely impacted. On January 8, 2026, the U.S. House of Representatives passed H.R.1834 to extend for three years the enhanced premium tax credits ("EPTCs") that expired on December 31, 2025, which is currently undergoing review in the Senate. We cannot predict whether these subsidies will ultimately be adopted in federal fiscal year 2026. All of these factors, which could have a material unfavorable impact on our results of operations, may be expected to reduce our revenue and likely increase the level of uncompensated care provided by our facilities;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there are additional legislative changes that are likely to result in major changes in the health care delivery system on a national or state level, including changes in the structure and administration of, and funding for, federal and state agencies and programs. For example, Congress has reduced to $0 the penalty for failing to maintain health coverage that was part of the original Patient Protection and Affordable Care Act, as amended by the Health and Education Reconciliation Act (collectively, the “ACA") as part of the Tax Cuts and Jobs Act. The Biden administration had issued executive orders implementing a special enrollment period permitting individuals to enroll in health plans outside of the annual open enrollment period and reexamining policies that may undermine the ACA or the Medicaid program. The Inflation Reduction Act of 2022 (“IRA”) was passed on August 16, 2022, which among other things, allows for the Centers for Medicare and Medicaid Services ("CMS") to negotiate prices for certain single-source drugs reimbursed under Medicare Part B and Part D. The American Rescue Plan Act’s expansion of subsidies to purchase coverage through an ACA exchange, which the IRA continued through 2025, has increased exchange enrollment. These enhanced subsidies expired on December 31, 2025;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there have been numerous political and legal efforts to expand, repeal, replace or modify the ACA since its enactment, some of which have been successful, in part, in modifying the ACA, as well as court challenges to the constitutionality of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pPr>
      <w:r>
        <w:rPr>
          <w:rFonts w:ascii="Times New Roman" w:hAnsi="Times New Roman"/>
          <w:color w:val="000000"/>
          <w:sz w:val="20"/>
        </w:rPr>
        <w:t xml:space="preserve">the legislation. The U.S. Supreme Court held in </w:t>
      </w:r>
      <w:r>
        <w:rPr>
          <w:rFonts w:ascii="Times New Roman" w:hAnsi="Times New Roman"/>
          <w:i/>
          <w:color w:val="000000"/>
          <w:sz w:val="20"/>
        </w:rPr>
        <w:t>California v. Texas</w:t>
      </w:r>
      <w:r>
        <w:rPr>
          <w:color w:val="000000"/>
        </w:rPr>
        <w:t xml:space="preserve"> </w:t>
      </w:r>
      <w:r>
        <w:rPr>
          <w:rFonts w:ascii="Times New Roman" w:hAnsi="Times New Roman"/>
          <w:color w:val="000000"/>
          <w:sz w:val="20"/>
        </w:rPr>
        <w:t xml:space="preserve">that the plaintiffs lacked standing to challenge the legislation’s requirement to obtain minimum essential health insurance coverage, or the individual mandate. The Court dismissed the case without specifically ruling on the constitutionality of the ACA. The legislation faced its most recent challenge when the Supreme Court, in the June 2025 </w:t>
      </w:r>
      <w:r>
        <w:rPr>
          <w:rFonts w:ascii="Times New Roman" w:hAnsi="Times New Roman"/>
          <w:i/>
          <w:color w:val="000000"/>
          <w:sz w:val="20"/>
        </w:rPr>
        <w:t>Kennedy v.</w:t>
      </w:r>
      <w:r>
        <w:rPr>
          <w:color w:val="000000"/>
        </w:rPr>
        <w:t xml:space="preserve"> </w:t>
      </w:r>
      <w:r>
        <w:rPr>
          <w:rFonts w:ascii="Times New Roman" w:hAnsi="Times New Roman"/>
          <w:i/>
          <w:color w:val="000000"/>
          <w:sz w:val="20"/>
        </w:rPr>
        <w:t xml:space="preserve">Braidwood Management </w:t>
      </w:r>
      <w:r>
        <w:rPr>
          <w:rFonts w:ascii="Times New Roman" w:hAnsi="Times New Roman"/>
          <w:color w:val="000000"/>
          <w:sz w:val="20"/>
        </w:rPr>
        <w:t xml:space="preserve">decision, opined in favor of ACA HIV preventive care coverage. The impacts of this decision cannot be predicted. Any future efforts to challenge, replace or replace the ACA or expand or substantially amend its provision is unknown. See below in </w:t>
      </w:r>
      <w:r>
        <w:rPr>
          <w:rFonts w:ascii="Times New Roman" w:hAnsi="Times New Roman"/>
          <w:i/>
          <w:color w:val="000000"/>
          <w:sz w:val="20"/>
        </w:rPr>
        <w:t xml:space="preserve">Sources of Revenues and Health Care Reform </w:t>
      </w:r>
      <w:r>
        <w:rPr>
          <w:rFonts w:ascii="Times New Roman" w:hAnsi="Times New Roman"/>
          <w:color w:val="000000"/>
          <w:sz w:val="20"/>
        </w:rPr>
        <w:t>for additional disclosure;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additional possible unfavorable changes in the levels and terms of reimbursement for our charges by third party payers or government based payers, including Medicare or Medicaid in the United States, and government based payers in the United Kingdom;</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healthcare industry is labor intensive and salaries, wages and benefits are subject to inflationary pressures, as are supplies expense and other operating expenses. In the past, staffing shortages have, at times, required us to hire expensive temporary personnel and/or enhance wages and benefits to recruit and retain nurses and other clinical staff and support personnel. At certain facilities, particularly within our behavioral health care segment, there have been occasions when we were unable to fill all vacant positions and, consequently, we were required to limit patient volumes. Additionally, California is in the process of implementing staffing standards specific to acute psychiatric hospitals and requirements to determine appropriate staffing based on patient acuity and care needs, which are expected to take effect on June 1, 2026. This can further increase our costs and limit our revenue if we are required to limit the number of patients at our California facilities;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experienced inflationary pressures, primarily in personnel costs, although those pressures have moderated more recently. The extent of any future impacts from inflation on our business and our results of operations will be dependent upon how long the elevated inflation levels persist and the extent to which the rate of inflation further increases, if at all, neither of which we are able to predict. If elevated levels of inflation were to persist or if the rate of inflation were to accelerate, our expenses could increase faster than anticipated and we may utilize our capital resources sooner than expected. Further, given the complexities of the reimbursement landscape in which we operate, our ability to pass on increased costs associated with providing healthcare to Medicare and Medicaid patients is limited due to various federal, state and local laws, which in certain circumstances, limit our ability to increase prices;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our acute care segment, we have experienced a significant increase in hospital based physician related expenses, especially in the areas of emergency room care, anesthesiology and radiology. We have implemented various initiatives to mitigate the increased expense, to the degree possible, which has moderated the rate of increase. However, significant increases in these physician related expenses could have a material unfavorable impact on our future results of operations;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increase in interest rates during the past few years has increased our interest expense significantly increasing our expenses and reducing our free cash flow and our ability to access the capital markets on favorable terms. As such, the effects of increased borrowing rates have adversely impacted our results of operations, financial condition and cash flows. We cannot predict future changes to interest rates, however, significant increases in our borrowing rates could have a material unfavorable impact on our future results of operations. Our $700 million, 1.65% senior notes ("2026 Notes") mature on September 1, 2026. Market interest rates have increased significantly since the 2026 Notes were issued in 2021. We expect that we will refinance the 2026 Notes at significantly higher interest rates which will significantly increase our interest expense thereby decreasing our net income attributable to UHS;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significant tariffs or other restrictions, if imposed on our imported pharmaceutical ingredients, medical devices, medical equipment and their ingredients and components, could escalate costs of medications, medical devices and medical equipment and disrupt our supply chains. While we continue to evaluate the potential impact of the new tariffs on our business, given the uncertainty regarding the scope and duration of any new tariffs, as well as the potential for additional tariffs or trade barriers by the U.S. and the impacted foreign countries, we can provide no assurance that any strategies we implement to mitigate the impact of such tariffs or other trade actions will be successful. Therefore, changes in laws or policies governing the terms of foreign trade, and in particular, increased trade restrictions, tariffs or taxes on imports from where our products or materials are made (either directly or through our suppliers) could have an impact on our competitive position, business operations and financial results;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early February 2026, Congress has passed and the President has signed a consolidated appropriations package providing fiscal year 2026 funding for the majority of federal agencies, while lawmakers continue to negotiate and consider outstanding appropriations legislation for the Department of Homeland Security. In the past several years political disputes concerning authorization of a federal budget have led to shutdown of substantial portions of the federal government and other federal budget authorization delays have occurred. Federal budget delays and federal government shutdowns are unpredictable and may occur in the future. We cannot predict whether or not there will be future appropriations legislation avoiding a federal government shutdown, however, our operating cash flows and results of operations could be materially unfavorably impacted by the federal government shutdown;</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part of the Consolidated Appropriations Act of 2021 (the "CAA"), Congress passed legislation aimed at preventing or limiting patient balance billing in certain circumstances. The CAA addresses surprise medical bills stemming from emergency services, out-of-network ancillary providers at in-network facilities, and air ambulance carriers. The CAA prohibits surprise billing when out-of-network emergency services or out-of-network services at an in-network facility are provided, unless informed consent is received. In these circumstances providers are prohibited from billing the patient for any amounts that exceed in-network cost-sharing requirements. HHS, the Department of Labor and the Department of the Treasury have issued rules to implement the legislation. The rules have limited the ability of our hospital-based physicians to receive payments for services at usually higher out-of-network rates in certain circumstances, and, as a result, have caused us to increase subsidies to these physicians or to replace their services at a higher cost;</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rPr>
        <w:t xml:space="preserve">in June 2024, the U.S. Supreme Court issued its decision in </w:t>
      </w:r>
      <w:r>
        <w:rPr>
          <w:rFonts w:ascii="Times New Roman" w:hAnsi="Times New Roman"/>
          <w:i/>
          <w:color w:val="000000"/>
          <w:sz w:val="20"/>
        </w:rPr>
        <w:t xml:space="preserve">Loper Bright Enters. v. Raimondo </w:t>
      </w:r>
      <w:r>
        <w:rPr>
          <w:rFonts w:ascii="Times New Roman" w:hAnsi="Times New Roman"/>
          <w:color w:val="000000"/>
          <w:sz w:val="20"/>
        </w:rPr>
        <w:t xml:space="preserve">and </w:t>
      </w:r>
      <w:r>
        <w:rPr>
          <w:rFonts w:ascii="Times New Roman" w:hAnsi="Times New Roman"/>
          <w:i/>
          <w:color w:val="000000"/>
          <w:sz w:val="20"/>
        </w:rPr>
        <w:t>Relentless, Inc. v. Department of Commerce</w:t>
      </w:r>
      <w:r>
        <w:rPr>
          <w:rFonts w:ascii="Times New Roman" w:hAnsi="Times New Roman"/>
          <w:color w:val="000000"/>
          <w:sz w:val="20"/>
        </w:rPr>
        <w:t xml:space="preserve">, which modified the regulatory interpretation standard established 40 years ago by </w:t>
      </w:r>
      <w:r>
        <w:rPr>
          <w:rFonts w:ascii="Times New Roman" w:hAnsi="Times New Roman"/>
          <w:i/>
          <w:color w:val="000000"/>
          <w:sz w:val="20"/>
        </w:rPr>
        <w:t>Chevron v. National Resources Defense Council</w:t>
      </w:r>
      <w:r>
        <w:rPr>
          <w:rFonts w:ascii="Times New Roman" w:hAnsi="Times New Roman"/>
          <w:color w:val="000000"/>
          <w:sz w:val="20"/>
        </w:rPr>
        <w:t xml:space="preserve">. </w:t>
      </w:r>
      <w:r>
        <w:rPr>
          <w:rFonts w:ascii="Times New Roman" w:hAnsi="Times New Roman"/>
          <w:i/>
          <w:color w:val="000000"/>
          <w:sz w:val="20"/>
        </w:rPr>
        <w:t>Chevron</w:t>
      </w:r>
      <w:r>
        <w:rPr>
          <w:color w:val="000000"/>
        </w:rPr>
        <w:t xml:space="preserve"> </w:t>
      </w:r>
      <w:r>
        <w:rPr>
          <w:rFonts w:ascii="Times New Roman" w:hAnsi="Times New Roman"/>
          <w:color w:val="000000"/>
          <w:sz w:val="20"/>
        </w:rPr>
        <w:t xml:space="preserve">doctrine generally required courts to defer to federal agencies in their interpretation of federal statutes when a statute was silent or ambiguous with respect to a specific issue. In </w:t>
      </w:r>
      <w:r>
        <w:rPr>
          <w:rFonts w:ascii="Times New Roman" w:hAnsi="Times New Roman"/>
          <w:i/>
          <w:color w:val="000000"/>
          <w:sz w:val="20"/>
        </w:rPr>
        <w:t>Loper Bright</w:t>
      </w:r>
      <w:r>
        <w:rPr>
          <w:rFonts w:ascii="Times New Roman" w:hAnsi="Times New Roman"/>
          <w:color w:val="000000"/>
          <w:sz w:val="20"/>
        </w:rPr>
        <w:t xml:space="preserve">, the Supreme Court held that courts are no longer required to grant such deference, though they may consider an agency’s statutory interpretation. As it is highly regulated, the health care industry could be significantly impacted by the </w:t>
      </w:r>
      <w:r>
        <w:rPr>
          <w:rFonts w:ascii="Times New Roman" w:hAnsi="Times New Roman"/>
          <w:i/>
          <w:color w:val="000000"/>
          <w:sz w:val="20"/>
        </w:rPr>
        <w:t>Loper Bright</w:t>
      </w:r>
      <w:r>
        <w:rPr>
          <w:color w:val="000000"/>
        </w:rPr>
        <w:t xml:space="preserve"> </w:t>
      </w:r>
      <w:r>
        <w:rPr>
          <w:rFonts w:ascii="Times New Roman" w:hAnsi="Times New Roman"/>
          <w:color w:val="000000"/>
          <w:sz w:val="20"/>
        </w:rPr>
        <w:t>decision, particularly in the areas of Medicare reimbursement, decision making by the Food &amp; Drug Administration and health care fraud and abuse compliance, where parties may no longer be able to rely on federal agencies’ policies, rules and guidance;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enter into managed care provider agreements on acceptable terms and the ability of our competitors to do the same;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impact of a shift of care from inpatient to lower cost outpatient settings and controls designed to reduce inpatient services;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achieve operating and financial targets, develop and execute plans to offset to the extent possible impacts from the recent regulatory changes, including the enactment of the One Big Beautiful Bill Act and the expiration of EPTCs, and tariffs, attain expected levels of patient volumes and revenues, and control the costs of providing services;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rPr>
        <w:t>the outcome of known and unknown litigation, government investigations, inquiries, false claims act allegations, and liabilities and other claims asserted against us and other matters, and the effects of adverse publicity relating to such matters, as disclosed in</w:t>
      </w:r>
      <w:r>
        <w:rPr>
          <w:color w:val="000000"/>
        </w:rPr>
        <w:t xml:space="preserve"> </w:t>
      </w:r>
      <w:r>
        <w:rPr>
          <w:rFonts w:ascii="Times New Roman" w:hAnsi="Times New Roman"/>
          <w:i/>
          <w:color w:val="000000"/>
          <w:sz w:val="20"/>
        </w:rPr>
        <w:t xml:space="preserve">Note 8 to the Condensed Consolidated Financial Statements - Commitments and Contingencies, </w:t>
      </w:r>
      <w:r>
        <w:rPr>
          <w:rFonts w:ascii="Times New Roman" w:hAnsi="Times New Roman"/>
          <w:color w:val="000000"/>
          <w:sz w:val="20"/>
        </w:rPr>
        <w:t xml:space="preserve">including, but not limited to, the jury verdict returned against Cumberland Hospital for Children and Adolescents located in New Kent, Virginia, an indirect subsidiary of ours, and the verdict in the Pinnacle litigation in Washoe County, Nevada, against certain subsidiaries of ours;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effective March, 2025, our excess commercial insurance coverage for professional and general liability claims contains less favorable terms than previous years including coverage exclusions for incidents involving sexual molestation or abuse, higher premiums and lower aggregate limitations;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competition from other healthcare providers (including physician owned facilities) in certain markets;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technological and pharmaceutical improvements that increase the cost of providing, or reduce the demand for healthcare;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attract and retain qualified personnel, nurses, physicians and other healthcare professionals and the impact on our labor and related expenses resulting from a shortage of nurses, physicians and other healthcare professionals;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demographic changes;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is a heightened risk of future cybersecurity threats, including ransomware attacks targeting healthcare providers. If successful, future cyberattacks could have a material adverse effect on our business. Any costs that we incur as a result of a data security incident or breach, including costs to update our security protocols to mitigate such an incident or breach could be significant. Any breach or failure in our operational security systems, or any third-party security systems that we rely on, can result in loss of data or an unauthorized disclosure of or access to sensitive or confidential member or protected personal or health information and could result in violations of applicable privacy and other laws, significant penalties or fines, litigation, loss of customers, significant damage to our reputation and business, and other liability or losses. We may also incur additional costs related to cybersecurity risk management and remediation. There can be no assurance that we or our service providers, if applicable, will not suffer losses relating to cyber-attacks or other information security breaches in the future or that our insurance coverage will be adequate to cover all the costs resulting from such events;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implement technology and other programs to drive efficiencies, and improve patient outcomes and experiences, and the risks associated with the use of technologies by us or our services providers;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availability of suitable acquisition and divestiture opportunities and our ability to successfully integrate and improve our acquisitions since failure to achieve expected acquisition benefits from certain of our prior or future acquisitions could result in impairment charges for goodwill and purchased intangibles;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impact of severe weather conditions, including the effects of hurricanes, flash floods, wildfires and climate change;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continue to obtain capital on acceptable terms, including borrowed funds, to fund the future growth of our business;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inpatient acute care and behavioral health care facilities may experience decreasing admission and length of stay trends;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financial statements reflect large amounts due from various commercial and private payers and there can be no assurance that failure of the payers to remit amounts due to us will not have a material adverse effect on our future results of operations;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Budget Control Act of 2011 (the “2011 Act”) imposed annual spending limits for most federal agencies and programs aimed at reducing budget deficits by $917 billion between 2012 and 2021, according to a report released by the Congressional Budget Office. Among its other provisions, the law established a bipartisan Congressional committee, known as the Joint Select Committee on Deficit Reduction (the “Joint Committee”), which was tasked with making recommendations aimed at reducing future federal budget deficits by an additional $1.5 trillion over 10 years. The Joint Committee was unable to reach an agreement by the November 23, 2011 deadline and, as a result, across-the-board cuts to discretionary, national defense and Medicare spending were implemented on March 1, 2013 resulting in Medicare payment reductions of up to 2% per fiscal year with a uniform percentage reduction across all Medicare programs. Current legislation has extended these reductions through 2032. We cannot predict whether Congress will restructure the implemented Medicare payment reductions or what other federal budget deficit reduction initiatives may be proposed by Congress going forward;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uninsured and self-pay patients treated at our facilities unfavorably impact our ability to satisfactorily and timely collect our self-pay patient accounts;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our business strategies or development plans;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exposure to fluctuations in foreign currency exchange rates, primarily the pound sterling. We have international subsidiaries that operate in the United Kingdom. We routinely hedge our exposures to foreign currencies with certain financial institutions in an effort to minimize the impact of certain currency exchange rate fluctuations, but these hedges may be inadequate to protect us from currency exchange rate fluctuations. To the extent that these hedges are inadequate, our reported financial results or the way we conduct our business could be adversely affected. Furthermore, if a financial counterparty to our hedges experiences financial difficulties or is otherwise unable to honor the terms of the foreign currency hedge, we may experience material financial losses,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 factors referenced herein or in our other filings with the Securities and Exchange Commission.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Given these uncertainties, risks and assumptions, as outlined above, you are cautioned not to place undue reliance on such forward-looking statements. Our actual results and financial condition could differ materially from those expressed in, or implied by, the forward-looking statements. Forward-looking statements speak only as of the date the statements are made. We assume no obligation to publicly update any forward-looking statements to reflect actual results, changes in assumptions or changes in other factors affecting forward-looking information, except as may be required by law. All forward-looking statements attributable to us or persons acting on our behalf are expressly qualified in their entirety by this cautionary statement.</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Critical Accounting Policies and Estimates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preparation of financial statements in conformity with accounting principles generally accepted in the United States requires us to make estimates and assumptions that affect the amounts reported in our consolidated financial statements and accompanying notes.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A summary of our significant accounting policies is outlined in </w:t>
      </w:r>
      <w:r>
        <w:rPr>
          <w:rFonts w:ascii="Times New Roman" w:hAnsi="Times New Roman"/>
          <w:i/>
          <w:color w:val="000000"/>
          <w:sz w:val="20"/>
        </w:rPr>
        <w:t>Note 1 to the Consolidated Financial Statements</w:t>
      </w:r>
      <w:r>
        <w:rPr>
          <w:rFonts w:ascii="Times New Roman" w:hAnsi="Times New Roman"/>
          <w:color w:val="000000"/>
          <w:sz w:val="20"/>
        </w:rPr>
        <w:t>. We consider our critical accounting policies to be those that require us to make significant judgments and estimates when we prepare our financial statements, including the following:</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Revenue Recognition:</w:t>
      </w:r>
    </w:p>
    <w:p>
      <w:pPr>
        <w:pStyle w:val="TextBody"/>
        <w:bidi w:val="0"/>
        <w:spacing w:before="120" w:after="283"/>
        <w:jc w:val="left"/>
        <w:rPr>
          <w:rFonts w:ascii="Times New Roman" w:hAnsi="Times New Roman"/>
          <w:sz w:val="20"/>
        </w:rPr>
      </w:pPr>
      <w:r>
        <w:rPr>
          <w:rFonts w:ascii="Times New Roman" w:hAnsi="Times New Roman"/>
          <w:i/>
          <w:color w:val="000000"/>
          <w:sz w:val="20"/>
        </w:rPr>
        <w:t>Patient services provided in the U.S.:</w:t>
      </w:r>
      <w:r>
        <w:rPr>
          <w:rFonts w:ascii="Times New Roman" w:hAnsi="Times New Roman"/>
          <w:color w:val="000000"/>
          <w:sz w:val="20"/>
        </w:rPr>
        <w:t xml:space="preserve"> We report net patient service revenue at the estimated net realizable amounts from patients and third-party payers and others for services rendered. We have agreements with third-party payers that provide for payments to us at amounts different from our established rates. Payment arrangements include rates per discharge, reimbursed costs, discounted charges and per diem payments. Estimates of contractual allowances under managed care plans, which represent explicit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price concessions, are based upon the payment terms specified in the related contractual agreements. We closely monitor our historical collection rates, as well as changes in applicable laws, rules and regulations and contract terms, to assure that provisions are made using the most accurate information available. However, due to the complexities involved in these estimations, actual payments from payers may be different from the amounts we estimate and record.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estimate our Medicare and Medicaid revenues using the latest available financial information, patient utilization data, government provided data and in accordance with applicable Medicare and Medicaid payment rules and regulations. The laws and regulations governing the Medicare and Medicaid programs are extremely complex and subject to interpretation. Certain types of payments by the Medicare program and state Medicaid programs (e.g. Medicaid State Directed Payments, Medicare Disproportionate Share Hospital, Medicare Allowable Bad Debts and Inpatient Psychiatric Services) are subject to retroactive adjustment in future periods as a result of administrative review and audit and our estimates may vary from the final settlements. The funding of both federal Medicare and state Medicaid programs are subject to legislative and regulatory changes. As such, we cannot provide any assurance that future legislation and regulations, if enacted, will not have a material impact on our future Medicare and Medicaid reimbursements. </w:t>
      </w:r>
    </w:p>
    <w:p>
      <w:pPr>
        <w:pStyle w:val="TextBody"/>
        <w:bidi w:val="0"/>
        <w:spacing w:before="120" w:after="283"/>
        <w:jc w:val="left"/>
        <w:rPr>
          <w:rFonts w:ascii="Times New Roman" w:hAnsi="Times New Roman"/>
          <w:sz w:val="20"/>
        </w:rPr>
      </w:pPr>
      <w:r>
        <w:rPr>
          <w:rFonts w:ascii="Times New Roman" w:hAnsi="Times New Roman"/>
          <w:i/>
          <w:color w:val="000000"/>
          <w:sz w:val="20"/>
        </w:rPr>
        <w:t>Behavioral health care services provided in the U.K.:</w:t>
      </w:r>
      <w:r>
        <w:rPr>
          <w:rFonts w:ascii="Times New Roman" w:hAnsi="Times New Roman"/>
          <w:color w:val="000000"/>
          <w:sz w:val="20"/>
        </w:rPr>
        <w:t xml:space="preserve"> The majority of the revenues generated by our behavioral health care facilities located in the U.K. are recorded pursuant to contracts with the National Health Service and other local governments for services including the following: behavioral health care services, rehabilitation services, residential homes, nursing homes, supported living services and specialist day services. </w:t>
      </w:r>
    </w:p>
    <w:p>
      <w:pPr>
        <w:pStyle w:val="TextBody"/>
        <w:bidi w:val="0"/>
        <w:spacing w:before="120" w:after="283"/>
        <w:jc w:val="left"/>
        <w:rPr>
          <w:rFonts w:ascii="Times New Roman" w:hAnsi="Times New Roman"/>
          <w:sz w:val="20"/>
        </w:rPr>
      </w:pPr>
      <w:r>
        <w:rPr>
          <w:rFonts w:ascii="Times New Roman" w:hAnsi="Times New Roman"/>
          <w:i/>
          <w:color w:val="000000"/>
          <w:sz w:val="20"/>
        </w:rPr>
        <w:t xml:space="preserve">Commercial health insurer - certain acute care markets: </w:t>
      </w:r>
      <w:r>
        <w:rPr>
          <w:rFonts w:ascii="Times New Roman" w:hAnsi="Times New Roman"/>
          <w:color w:val="000000"/>
          <w:sz w:val="20"/>
        </w:rPr>
        <w:t xml:space="preserve">The majority of the revenues generated by our commercial health insurer conducting business in certain acute care markets relate to Medicare Advantage premiums which are determined by the Centers for Medicare and Medicaid Services ("CMS") utilizing a risk adjustment model that apportions premiums paid to health plans according to health and geographic factors. Risk score adjustments result in retroactive premium adjustments. The revenue adjustments are recognized when the amount is determinable and collectability or liability is reasonably assured. CMS also uses a star rating system which is derived from comprehensive evaluations of member satisfaction, quality of care and operational efficiency. In addition, our insurer also generates revenues from premiums for coverage under membership contracts with employer groups and individuals.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See </w:t>
      </w:r>
      <w:r>
        <w:rPr>
          <w:rFonts w:ascii="Times New Roman" w:hAnsi="Times New Roman"/>
          <w:i/>
          <w:color w:val="000000"/>
          <w:sz w:val="20"/>
        </w:rPr>
        <w:t>Note 10 to the Consolidated Financial Statements-Revenue Recognition</w:t>
      </w:r>
      <w:r>
        <w:rPr>
          <w:rFonts w:ascii="Times New Roman" w:hAnsi="Times New Roman"/>
          <w:color w:val="000000"/>
          <w:sz w:val="20"/>
        </w:rPr>
        <w:t>, for additional disclosure related to our revenues including a disaggregation of our consolidated net revenues by major source for each of the periods presented herein.</w:t>
      </w:r>
    </w:p>
    <w:p>
      <w:pPr>
        <w:pStyle w:val="TextBody"/>
        <w:bidi w:val="0"/>
        <w:spacing w:before="120" w:after="283"/>
        <w:jc w:val="left"/>
        <w:rPr>
          <w:rFonts w:ascii="Times New Roman" w:hAnsi="Times New Roman"/>
          <w:sz w:val="20"/>
        </w:rPr>
      </w:pPr>
      <w:r>
        <w:rPr>
          <w:rFonts w:ascii="Times New Roman" w:hAnsi="Times New Roman"/>
          <w:b/>
          <w:color w:val="000000"/>
          <w:sz w:val="20"/>
        </w:rPr>
        <w:t>Charity Care, Uninsured Discounts and Other Adjustments to Revenue:</w:t>
      </w:r>
      <w:r>
        <w:rPr>
          <w:rFonts w:ascii="Times New Roman" w:hAnsi="Times New Roman"/>
          <w:color w:val="000000"/>
          <w:sz w:val="20"/>
        </w:rPr>
        <w:t xml:space="preserve"> Collection of receivables from third-party payers and patients is our primary source of cash and is critical to our operating performance. Our primary collection risks relate to uninsured patients and the portion of the bill which is the patient’s responsibility, primarily co-payments and deductibles. We estimate our revenue adjustments for implicit price concessions based on general factors such as payer mix, the aging of the receivables and historical collection experience. We routinely review accounts receivable balances in conjunction with these factors and other economic conditions which might ultimately affect the collectability of the patient accounts and make adjustments to our allowances as warranted. At our acute care hospitals, third party liability accounts are pursued until all payment and adjustments are posted to the patient account. For those accounts with a patient balance after third party liability is finalized or accounts for uninsured patients, the patient receives statements and collection letters.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Historically, a significant portion of the patients treated throughout our portfolio of acute care hospitals are uninsured patients which, in part, has resulted from patients who are employed but do not have health insurance or who have policies with relatively high deductibles. Patients treated at our hospitals for non-elective services, who have gross income of various amounts, dependent upon the state, ranging from 200% to 400% of the federal poverty guidelines, are deemed eligible for charity care. The federal poverty guidelines are established by the federal government and are based on income and family size. Because we do not pursue collection of amounts that qualify as charity care, the transaction price is fully adjusted and there is no impact in our net revenues or in our accounts receivable, net.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portion of the accounts receivable at our acute care facilities are comprised of Medicaid accounts that are pending approval from third-party payers but we also have smaller amounts due from other miscellaneous payers such as county indigent programs in certain states. Our patient registration process includes an interview of the patient or the patient’s responsible party at the time of registration. At that time, an insurance eligibility determination is made and an insurance plan code is assigned. There are various pre-established insurance profiles in our patient accounting system which determine the expected insurance reimbursement for each patient based on the insurance plan code assigned and the services rendered. Certain patients may be classified as Medicaid pending at registration based upon a screening evaluation if we are unable to definitively determine if they are currently Medicaid eligible. When a patient is registered as Medicaid eligible or Medicaid pending, our patient accounting system records net revenues for services provided to that patient based upon the established Medicaid reimbursement rates, subject to the ultimate disposition of the patient’s Medicaid eligibility. When the patient’s ultimate eligibility is determined, reclassifications may occur which impacts net revenues in future periods. Although the patient’s ultimate eligibility determination may result in adjustments to net revenues, these adjustments did not have a material impact on our results of operations in 2025 or 2024 since our facilities make estimates at each financial reporting period to adjust revenue based on historical collections.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also provide discounts to uninsured patients (included in “uninsured discounts” amounts below) who do not qualify for Medicaid or charity care. Because we do not pursue collection of amounts classified as uninsured discounts, the transaction price is fully adjusted and there is no impact in our net revenues or in our net accounts receivable. In implementing the discount policy, we first attempt to qualify uninsured patients for governmental programs, charity care or any other discount program. If an uninsured patient does not qualify for these programs, the uninsured discount is applied.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Uncompensated care (charity care and uninsured discounts):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shows the amounts recorded at our acute care hospitals for charity care and uninsured discounts, based on charges at established rates, for the years ended December 31, 2025 and 2024:</w:t>
      </w:r>
    </w:p>
    <w:p>
      <w:pPr>
        <w:pStyle w:val="TextBody"/>
        <w:bidi w:val="0"/>
        <w:jc w:val="left"/>
        <w:rPr/>
      </w:pPr>
      <w:r>
        <w:rPr/>
        <w:t> </w:t>
      </w:r>
    </w:p>
    <w:tbl>
      <w:tblPr>
        <w:tblW w:w="7278" w:type="dxa"/>
        <w:jc w:val="left"/>
        <w:tblInd w:w="0" w:type="dxa"/>
        <w:tblLayout w:type="fixed"/>
        <w:tblCellMar>
          <w:top w:w="28" w:type="dxa"/>
          <w:left w:w="28" w:type="dxa"/>
          <w:bottom w:w="28" w:type="dxa"/>
          <w:right w:w="28" w:type="dxa"/>
        </w:tblCellMar>
      </w:tblPr>
      <w:tblGrid>
        <w:gridCol w:w="2251"/>
        <w:gridCol w:w="146"/>
        <w:gridCol w:w="211"/>
        <w:gridCol w:w="931"/>
        <w:gridCol w:w="146"/>
        <w:gridCol w:w="146"/>
        <w:gridCol w:w="146"/>
        <w:gridCol w:w="421"/>
        <w:gridCol w:w="271"/>
        <w:gridCol w:w="146"/>
        <w:gridCol w:w="211"/>
        <w:gridCol w:w="931"/>
        <w:gridCol w:w="146"/>
        <w:gridCol w:w="146"/>
        <w:gridCol w:w="146"/>
        <w:gridCol w:w="421"/>
        <w:gridCol w:w="271"/>
        <w:gridCol w:w="191"/>
      </w:tblGrid>
      <w:tr>
        <w:trPr/>
        <w:tc>
          <w:tcPr>
            <w:tcW w:w="22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81" w:type="dxa"/>
            <w:gridSpan w:val="1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(dollar amounts in thousands)</w:t>
            </w:r>
          </w:p>
        </w:tc>
      </w:tr>
      <w:tr>
        <w:trPr/>
        <w:tc>
          <w:tcPr>
            <w:tcW w:w="2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Charity care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984,235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819,681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Uninsured discounts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2,964,840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2,677,026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uncompensated care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3,949,075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3,496,707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The estimated cost of providing uncompensated care: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estimated cost of providing uncompensated care, as reflected below, were based on a calculation which multiplied the percentage of operating expenses for our acute care hospitals to gross charges for those hospitals by the above-mentioned total uncompensated care amounts. The percentage of cost to gross charges is calculated based on the total operating expenses for our acute care facilities divided by gross patient service revenue for those facilities. An increase in the level of uninsured patients to our facilities and the resulting adverse trends in the adjustments to net revenues and uncompensated care provided could have a material unfavorable impact on our future operating results.</w:t>
      </w:r>
    </w:p>
    <w:tbl>
      <w:tblPr>
        <w:tblW w:w="6679" w:type="dxa"/>
        <w:jc w:val="left"/>
        <w:tblInd w:w="0" w:type="dxa"/>
        <w:tblLayout w:type="fixed"/>
        <w:tblCellMar>
          <w:top w:w="28" w:type="dxa"/>
          <w:left w:w="28" w:type="dxa"/>
          <w:bottom w:w="28" w:type="dxa"/>
          <w:right w:w="28" w:type="dxa"/>
        </w:tblCellMar>
      </w:tblPr>
      <w:tblGrid>
        <w:gridCol w:w="4066"/>
        <w:gridCol w:w="146"/>
        <w:gridCol w:w="211"/>
        <w:gridCol w:w="781"/>
        <w:gridCol w:w="146"/>
        <w:gridCol w:w="146"/>
        <w:gridCol w:w="211"/>
        <w:gridCol w:w="781"/>
        <w:gridCol w:w="191"/>
      </w:tblGrid>
      <w:tr>
        <w:trPr/>
        <w:tc>
          <w:tcPr>
            <w:tcW w:w="40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0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(amounts in thousands)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Estimated cost of providing charity care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87,756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75,227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Estimated cost of providing uninsured discounts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264,349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245,687</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Estimated cost of providing uncompensated care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352,105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320,914</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sz w:val="20"/>
        </w:rPr>
      </w:pPr>
      <w:r>
        <w:rPr>
          <w:rFonts w:ascii="Times New Roman" w:hAnsi="Times New Roman"/>
          <w:b/>
          <w:color w:val="000000"/>
          <w:sz w:val="20"/>
        </w:rPr>
        <w:t>Self-Insured/Other Insurance Risks:</w:t>
      </w:r>
      <w:r>
        <w:rPr>
          <w:rFonts w:ascii="Times New Roman" w:hAnsi="Times New Roman"/>
          <w:color w:val="000000"/>
          <w:sz w:val="20"/>
        </w:rPr>
        <w:t xml:space="preserve"> We provide for self-insured risks, primarily general and professional liability claims, workers’ compensation claims and healthcare and dental claims. Our estimated liability for self-insured professional and general liability claims is based on a number of factors including, among other things, the number of asserted claims and reported incidents, estimates of losses for these claims based on recent and historical settlement amounts and jury verdicts, estimates of incurred but not reported claims based on historical experience, and estimates of amounts recoverable under our commercial insurance policies. All relevant information, including our own historical experience is used in estimating the expected amount of claims. While we continuously monitor these factors, our ultimate liability for professional and general liability claims could change materially from our current estimates due to inherent uncertainties involved in making this estimate. Our estimated self-insured reserves are reviewed and changed, if necessary, at each reporting date and changes are recognized currently as additional expense or as a reduction of expense.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we also: (i) own commercial health insurers headquartered in Nevada and Puerto Rico, and; (ii) maintain self-insured employee benefits programs for employee healthcare and dental claims. The ultimate costs related to these programs/operations include expenses for claims incurred and paid in addition to an accrual for the estimated expenses incurred in connection with claims incurred but not yet reported. Given our significant insurance-related exposure, there can be no assurance that a sharp increase in the number and/or severity of claims asserted against us will not have a material adverse effect on our future results of operations.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See </w:t>
      </w:r>
      <w:r>
        <w:rPr>
          <w:rFonts w:ascii="Times New Roman" w:hAnsi="Times New Roman"/>
          <w:i/>
          <w:color w:val="000000"/>
          <w:sz w:val="20"/>
        </w:rPr>
        <w:t>Note 8 to the Consolidated Financial Statements-Commitments and Contingencies</w:t>
      </w:r>
      <w:r>
        <w:rPr>
          <w:rFonts w:ascii="Times New Roman" w:hAnsi="Times New Roman"/>
          <w:color w:val="000000"/>
          <w:sz w:val="20"/>
        </w:rPr>
        <w:t xml:space="preserve"> for additional disclosure related to our self-insured general and professional liability and workers’ compensation liability.</w:t>
      </w:r>
    </w:p>
    <w:p>
      <w:pPr>
        <w:pStyle w:val="TextBody"/>
        <w:bidi w:val="0"/>
        <w:spacing w:before="120" w:after="283"/>
        <w:jc w:val="left"/>
        <w:rPr>
          <w:rFonts w:ascii="Times New Roman" w:hAnsi="Times New Roman"/>
          <w:sz w:val="20"/>
        </w:rPr>
      </w:pPr>
      <w:r>
        <w:rPr>
          <w:rFonts w:ascii="Times New Roman" w:hAnsi="Times New Roman"/>
          <w:b/>
          <w:color w:val="000000"/>
          <w:sz w:val="20"/>
        </w:rPr>
        <w:t>Long-Lived Assets:</w:t>
      </w:r>
      <w:r>
        <w:rPr>
          <w:rFonts w:ascii="Times New Roman" w:hAnsi="Times New Roman"/>
          <w:color w:val="000000"/>
          <w:sz w:val="20"/>
        </w:rPr>
        <w:t xml:space="preserve"> We review our long-lived assets for impairment whenever events or circumstances indicate that the carrying value of these assets may not be recoverable. The assessment of possible impairment is based on our ability to recover the carrying value of our asset based on our estimate of its undiscounted future cash flow. If the analysis indicates that the carrying value is not recoverable from future cash flows, the asset is written down to its estimated fair value and an impairment loss is recognized. Fair values are determined based on estimated future cash flows using appropriate discount rates. </w:t>
      </w:r>
    </w:p>
    <w:p>
      <w:pPr>
        <w:pStyle w:val="TextBody"/>
        <w:bidi w:val="0"/>
        <w:spacing w:before="120" w:after="283"/>
        <w:jc w:val="left"/>
        <w:rPr>
          <w:rFonts w:ascii="Times New Roman" w:hAnsi="Times New Roman"/>
          <w:sz w:val="20"/>
        </w:rPr>
      </w:pPr>
      <w:r>
        <w:rPr>
          <w:rFonts w:ascii="Times New Roman" w:hAnsi="Times New Roman"/>
          <w:b/>
          <w:color w:val="000000"/>
          <w:sz w:val="20"/>
        </w:rPr>
        <w:t>Goodwill and Intangible Assets:</w:t>
      </w:r>
      <w:r>
        <w:rPr>
          <w:rFonts w:ascii="Times New Roman" w:hAnsi="Times New Roman"/>
          <w:color w:val="000000"/>
          <w:sz w:val="20"/>
        </w:rPr>
        <w:t xml:space="preserve"> Goodwill and indefinite-lived intangible assets are reviewed for impairment at the reporting unit level on an annual basis or more often if indicators of impairment arise. Our judgments regarding the existence of impairment indicators are based on market conditions and operational performance of each reporting unit. We have designated October 1</w:t>
      </w:r>
      <w:r>
        <w:rPr>
          <w:rFonts w:ascii="Times New Roman" w:hAnsi="Times New Roman"/>
          <w:color w:val="000000"/>
          <w:sz w:val="13"/>
        </w:rPr>
        <w:t>st</w:t>
      </w:r>
      <w:r>
        <w:rPr>
          <w:rFonts w:ascii="Times New Roman" w:hAnsi="Times New Roman"/>
          <w:color w:val="000000"/>
          <w:sz w:val="20"/>
        </w:rPr>
        <w:t xml:space="preserve"> as our annual impairment assessment date for our goodwill and indefinite-lived intangible assets.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performed an impairment assessment as of October 1, 2025 which indicated no impairment of goodwill. There was no goodwill impairment during 2024.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Future changes in the estimates used to conduct the impairment review, including profitability and market value projections, could indicate impairment in future periods potentially resulting in a write-off of a portion or all of our goodwill or indefinite-lived intangible assets.</w:t>
      </w:r>
    </w:p>
    <w:p>
      <w:pPr>
        <w:pStyle w:val="TextBody"/>
        <w:bidi w:val="0"/>
        <w:spacing w:before="120" w:after="160"/>
        <w:jc w:val="left"/>
        <w:rPr>
          <w:rFonts w:ascii="Times New Roman" w:hAnsi="Times New Roman"/>
          <w:sz w:val="20"/>
        </w:rPr>
      </w:pPr>
      <w:r>
        <w:rPr>
          <w:rFonts w:ascii="Times New Roman" w:hAnsi="Times New Roman"/>
          <w:b/>
          <w:color w:val="000000"/>
          <w:sz w:val="20"/>
        </w:rPr>
        <w:t>Non-Marketable Securities:</w:t>
      </w:r>
      <w:r>
        <w:rPr>
          <w:rFonts w:ascii="Times New Roman" w:hAnsi="Times New Roman"/>
          <w:color w:val="000000"/>
          <w:sz w:val="20"/>
        </w:rPr>
        <w:t xml:space="preserve"> Non-marketable securities that we hold are accounted for under the measurement alternative. Under the measurement alternative, the carrying value is measured at cost, less any impairment, plus or minus changes resulting from observable price changes in orderly transactions for identical or similar investments of the same issuer. Adjustments are determined primarily based on a market approach as of the transaction date and are recorded in other (income) expense, net. We recorded an unrealized pre-tax gain of $93 million during the year ended December 31, 2025.</w:t>
      </w:r>
    </w:p>
    <w:p>
      <w:pPr>
        <w:pStyle w:val="TextBody"/>
        <w:bidi w:val="0"/>
        <w:jc w:val="left"/>
        <w:rPr>
          <w:rFonts w:ascii="Times New Roman" w:hAnsi="Times New Roman"/>
          <w:sz w:val="20"/>
        </w:rPr>
      </w:pPr>
      <w:r>
        <w:rPr>
          <w:rFonts w:ascii="Times New Roman" w:hAnsi="Times New Roman"/>
          <w:b/>
          <w:color w:val="000000"/>
          <w:sz w:val="20"/>
        </w:rPr>
        <w:t>Income Taxes:</w:t>
      </w:r>
      <w:r>
        <w:rPr>
          <w:rFonts w:ascii="Times New Roman" w:hAnsi="Times New Roman"/>
          <w:color w:val="000000"/>
          <w:sz w:val="20"/>
        </w:rPr>
        <w:t xml:space="preserve"> Deferred tax assets and liabilities are recognized for the amount of taxes payable or deductible in future years as a result of differences between the tax bases of assets and liabilities and their reported amounts in the financial statements. We believe that future income will enable us to realize our deferred tax assets net of recorded valuation allowances relating to state and foreign net operating loss carry-forwards, tax credits, and interest deduction limitations.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operate in multiple jurisdictions with varying tax laws. We are subject to audits by any of these taxing authorities. We believe that adequate accruals have been provided for federal, foreign and state taxes.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See </w:t>
      </w:r>
      <w:r>
        <w:rPr>
          <w:rFonts w:ascii="Times New Roman" w:hAnsi="Times New Roman"/>
          <w:i/>
          <w:color w:val="000000"/>
          <w:sz w:val="20"/>
        </w:rPr>
        <w:t xml:space="preserve">Note 6 to the Consolidated Financial Statements-Income Taxes </w:t>
      </w:r>
      <w:r>
        <w:rPr>
          <w:rFonts w:ascii="Times New Roman" w:hAnsi="Times New Roman"/>
          <w:color w:val="000000"/>
          <w:sz w:val="20"/>
        </w:rPr>
        <w:t>for additional disclosure of our effective tax rates.</w:t>
      </w:r>
    </w:p>
    <w:p>
      <w:pPr>
        <w:pStyle w:val="TextBody"/>
        <w:bidi w:val="0"/>
        <w:spacing w:before="120" w:after="283"/>
        <w:jc w:val="left"/>
        <w:rPr>
          <w:rFonts w:ascii="Times New Roman" w:hAnsi="Times New Roman"/>
          <w:sz w:val="20"/>
        </w:rPr>
      </w:pPr>
      <w:r>
        <w:rPr>
          <w:rFonts w:ascii="Times New Roman" w:hAnsi="Times New Roman"/>
          <w:b/>
          <w:color w:val="000000"/>
          <w:sz w:val="20"/>
        </w:rPr>
        <w:t>Recent Accounting Pronouncements:</w:t>
      </w:r>
      <w:r>
        <w:rPr>
          <w:rFonts w:ascii="Times New Roman" w:hAnsi="Times New Roman"/>
          <w:color w:val="000000"/>
          <w:sz w:val="20"/>
        </w:rPr>
        <w:t xml:space="preserve"> For a summary of recent accounting pronouncements, please see </w:t>
      </w:r>
      <w:r>
        <w:rPr>
          <w:rFonts w:ascii="Times New Roman" w:hAnsi="Times New Roman"/>
          <w:i/>
          <w:color w:val="000000"/>
          <w:sz w:val="20"/>
        </w:rPr>
        <w:t>Note 1 to the Consolidated Financial Statements-Business and Summary of Significant Accounting Standards</w:t>
      </w:r>
      <w:r>
        <w:rPr>
          <w:rFonts w:ascii="Times New Roman" w:hAnsi="Times New Roman"/>
          <w:color w:val="000000"/>
          <w:sz w:val="20"/>
        </w:rPr>
        <w:t xml:space="preserve"> as included in this Report on Form 10-K for the year ended December 31, 2025.</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Results of Operations</w:t>
      </w:r>
    </w:p>
    <w:p>
      <w:pPr>
        <w:pStyle w:val="TextBody"/>
        <w:bidi w:val="0"/>
        <w:spacing w:before="120" w:after="283"/>
        <w:jc w:val="left"/>
        <w:rPr>
          <w:rFonts w:ascii="Times New Roman" w:hAnsi="Times New Roman"/>
          <w:sz w:val="20"/>
        </w:rPr>
      </w:pPr>
      <w:r>
        <w:rPr>
          <w:rFonts w:ascii="Times New Roman" w:hAnsi="Times New Roman"/>
          <w:b/>
          <w:i/>
          <w:color w:val="000000"/>
          <w:sz w:val="20"/>
          <w:u w:val="single"/>
        </w:rPr>
        <w:t>Clinical Staffing, Inflation, future Medicaid reductions and Tariffs: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healthcare industry is labor intensive and salaries, wages and benefits are subject to inflationary pressures, as are supplies expense and other operating expenses. In the past, staffing shortages have, at times, required us to hire expensive temporary personnel and/or enhance wages and benefits to recruit and retain nurses and other clinical staff and support personnel. At certain facilities, particularly within our behavioral health care segment, there have been occasions when we were unable to fill all vacant positions and, consequently, we were required to limit patient volumes. We have also experienced general inflationary cost increases related to certain of our other operating expenses. Many of these factors, which had a material unfavorable impact on our results of operations in prior years, have moderated more recently. However, we cannot predict future inflationary increases, which if significant, could have a material unfavorable impact on our future results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experienced inflationary pressures, primarily in personnel costs, although those pressures have moderated more recently. The extent of any future impacts from inflation on our business and our results of operations will be dependent upon how long the elevated inflation levels persist and the extent to which the rate of inflation further increases, if at all, neither of which we are able to predict. If elevated levels of inflation were to persist or if the rate of inflation were to accelerate, our expenses could increase faster than anticipated and we may utilize our capital resources sooner than expected. Further, given the complexities of the reimbursement landscape in which we operate, our ability to pass on increased costs associated with providing healthcare to Medicare and Medicaid patients is limited due to various federal, state and local laws, which in certain circumstances, limit our ability to increase prices.</w:t>
      </w:r>
    </w:p>
    <w:p>
      <w:pPr>
        <w:pStyle w:val="TextBody"/>
        <w:bidi w:val="0"/>
        <w:spacing w:before="60" w:after="283"/>
        <w:jc w:val="left"/>
        <w:rPr>
          <w:rFonts w:ascii="Times New Roman" w:hAnsi="Times New Roman"/>
          <w:sz w:val="20"/>
        </w:rPr>
      </w:pPr>
      <w:r>
        <w:rPr>
          <w:rFonts w:ascii="Times New Roman" w:hAnsi="Times New Roman"/>
          <w:color w:val="000000"/>
          <w:sz w:val="20"/>
        </w:rPr>
        <w:t xml:space="preserve">Legislation adopted on July 4, 2025 attaches work and community service requirements to eligibility for Medicaid benefits that will have the effect of limiting Medicaid enrollment and expenditures and the legislation also places limits on provider taxes used to increase federal Medicaid funding to states. In addition, insurance exchange subsidies expired on December 31, 2025 which could unfavorably impact insurance exchange enrollment. Extension of these subsidies is currently the subject of Congressional debate as part of the federal budget negotiation, and we cannot predict whether these subsidies will ultimately be adopted in federal fiscal year 2026. As these provisions become effective over the next several years, they may be expected to reduce our revenues and likely increase the level of uncompensated care provided by our facilities. Please see </w:t>
      </w:r>
      <w:r>
        <w:rPr>
          <w:rFonts w:ascii="Times New Roman" w:hAnsi="Times New Roman"/>
          <w:i/>
          <w:color w:val="000000"/>
          <w:sz w:val="20"/>
        </w:rPr>
        <w:t xml:space="preserve">Sources of Revenue </w:t>
      </w:r>
      <w:r>
        <w:rPr>
          <w:rFonts w:ascii="Times New Roman" w:hAnsi="Times New Roman"/>
          <w:color w:val="000000"/>
          <w:sz w:val="20"/>
        </w:rPr>
        <w:t xml:space="preserve">below for additional disclosure related to Medicaid supplemental payment programs in various states in which we operate.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Significant tariffs or other restrictions, if imposed on our imported pharmaceutical ingredients, medical devices, medical equipment and their ingredients and components, could escalate costs of medications, medical devices and medical equipment and disrupt our supply chains. While we continue to evaluate the potential impact of the new tariffs on our business, given the uncertainty regarding the scope and duration of any new tariffs, as well as the potential for additional tariffs or trade barriers by the U.S. and the impacted foreign countries, we can provide no assurance that any strategies we implement to mitigate the impact of such tariffs or other trade actions will be successful. Therefore, changes in laws or policies governing the terms of foreign trade, and in particular,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increased trade restrictions, tariffs or taxes on imports from where our products or materials are made (either directly or through our suppliers) could have an impact on our competitive position, business operations and financial results.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Although our ability to pass on increased costs associated with providing healthcare to Medicare and Medicaid patients is limited, as discussed above, we have been requesting and negotiating increased rates from commercial insurers to defray our increased cost of providing patient care. In addition, we have implemented various productivity enhancement programs and cost reduction initiatives including, but not limited to, the following: team-based patient care initiatives designed to optimize the level of patient care services provided by our licensed nurses/clinicians; efforts to reduce utilization of, and rates paid for, premium pay labor; consolidation of medical supply vendors to increase purchasing discounts; review and reduction of clinical variation in connection with the utilization of medical supplies, and; various other efforts to increase productivity and/or reduce costs including investments in new information technology applications.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summarizes our results of operations, and is used in the discussion below, for the years ended December 31, 2025 and 2024 (dollar amounts in thousands):</w:t>
      </w:r>
    </w:p>
    <w:p>
      <w:pPr>
        <w:pStyle w:val="TextBody"/>
        <w:bidi w:val="0"/>
        <w:jc w:val="left"/>
        <w:rPr/>
      </w:pPr>
      <w:r>
        <w:rPr/>
        <w:t> </w:t>
      </w:r>
    </w:p>
    <w:tbl>
      <w:tblPr>
        <w:tblW w:w="8936" w:type="dxa"/>
        <w:jc w:val="left"/>
        <w:tblInd w:w="0" w:type="dxa"/>
        <w:tblLayout w:type="fixed"/>
        <w:tblCellMar>
          <w:top w:w="28" w:type="dxa"/>
          <w:left w:w="28" w:type="dxa"/>
          <w:bottom w:w="28" w:type="dxa"/>
          <w:right w:w="28" w:type="dxa"/>
        </w:tblCellMar>
      </w:tblPr>
      <w:tblGrid>
        <w:gridCol w:w="3031"/>
        <w:gridCol w:w="146"/>
        <w:gridCol w:w="211"/>
        <w:gridCol w:w="1036"/>
        <w:gridCol w:w="166"/>
        <w:gridCol w:w="146"/>
        <w:gridCol w:w="159"/>
        <w:gridCol w:w="622"/>
        <w:gridCol w:w="271"/>
        <w:gridCol w:w="146"/>
        <w:gridCol w:w="211"/>
        <w:gridCol w:w="1036"/>
        <w:gridCol w:w="166"/>
        <w:gridCol w:w="146"/>
        <w:gridCol w:w="159"/>
        <w:gridCol w:w="622"/>
        <w:gridCol w:w="271"/>
        <w:gridCol w:w="391"/>
      </w:tblGrid>
      <w:tr>
        <w:trPr/>
        <w:tc>
          <w:tcPr>
            <w:tcW w:w="30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0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59" w:type="dxa"/>
            <w:gridSpan w:val="1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r>
      <w:tr>
        <w:trPr/>
        <w:tc>
          <w:tcPr>
            <w:tcW w:w="30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of Net</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of Net</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0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Revenues</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Revenues</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0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17,364,829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15,827,935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charges: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0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Salaries, wages and benefits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8,084,582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7,518,687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0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4,860,246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4,308,384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0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Supplies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1,659,009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1,587,786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0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618,743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584,831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0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Lease and rental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148,234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146,433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Subtotal-operating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15,370,814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14,146,121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1,994,015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1,681,814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156,068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186,109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(134,194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before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1,972,141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1,497,936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for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460,959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334,827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1,511,182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1,163,109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Less: Net income (loss) attributable </w:t>
              <w:br/>
              <w:t>   to noncontrolling interests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22,386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21,012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attributable to UHS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1,488,796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1,142,097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revenues increased by 9.7%, or $1.54 billion, to $17.36 billion during 2025 as compared to $15.83 billion during 2024. The increase in net revenues was primarily attributable to:</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$1.25 billion or 8.2% increase in net revenues generated from our acute care and behavioral health care operations owned during both periods (which we refer to as “Same Facility”),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$287 million of other combined net increases consisting primarily of the combined net revenues generated during 2025 at two newly constructed acute care hospitals located in Las Vegas, Nevada (West Henderson Hospital which opened during the fourth quarter of 2024) and Washington, D.C. (Cedar Hill Regional Medical Center which opened during the second quarter of 2025).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Income before income taxes increased by $474 million, or 32%, to $1.97 billion during 2025 as compared to $1.50 billion during 2024. The increase was attributable to:</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rPr>
        <w:t xml:space="preserve">an increase of $207 million at our acute care facilities, as discussed below in </w:t>
      </w:r>
      <w:r>
        <w:rPr>
          <w:rFonts w:ascii="Times New Roman" w:hAnsi="Times New Roman"/>
          <w:i/>
          <w:color w:val="000000"/>
          <w:sz w:val="20"/>
        </w:rPr>
        <w:t>Acute Care Hospital Services</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rPr>
        <w:t xml:space="preserve">an increase of $105 million at our behavioral health care facilities, as discussed below in </w:t>
      </w:r>
      <w:r>
        <w:rPr>
          <w:rFonts w:ascii="Times New Roman" w:hAnsi="Times New Roman"/>
          <w:i/>
          <w:color w:val="000000"/>
          <w:sz w:val="20"/>
        </w:rPr>
        <w:t>Behavioral Health Services</w:t>
      </w:r>
      <w:r>
        <w:rPr>
          <w:rFonts w:ascii="Times New Roman" w:hAnsi="Times New Roman"/>
          <w:color w:val="000000"/>
          <w:sz w:val="20"/>
        </w:rPr>
        <w: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 increase of $93 million from an unrealized gain recorded during 2025 in connection with our minority ownership in a healthcare generative artificial intelligence company;</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rPr>
        <w:t xml:space="preserve">an increase of $30 million from a decrease in interest expense, as discussed below in </w:t>
      </w:r>
      <w:r>
        <w:rPr>
          <w:rFonts w:ascii="Times New Roman" w:hAnsi="Times New Roman"/>
          <w:i/>
          <w:color w:val="000000"/>
          <w:sz w:val="20"/>
        </w:rPr>
        <w:t>Other Operating Results-Interest Expense;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 increase of $16 million from an increase in the market value of certain equity securities that were sold during the fourth quarter of 2025, and;</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$23 million of other combined net increases.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income attributable to UHS increased by $347 million, or 30%, to $1.49 billion during 2025 as compared to $1.14 billion during 2024. This increase was attributable to:</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$474 million in income before income taxes, as discussed above;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decrease of $1 million due to an increase in the net income/loss attributable to noncontrolling interests,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decrease of $126 million resulting from an increase in the provision for income taxes resulting primarily from: (i) the increase in the provision for income taxes resulting from the $474 million increase in income before income taxes, and; (ii) a $12 million increase in the provision for income taxes due to a decrease in the net benefit recorded in connection with "ASU 2016-09", Compensation-Stock Compensation: Improvements to Employee Share-Based Payment Accounting, net of the impact of executive compensation limitations pursuant to IRC section 162(m). </w:t>
      </w:r>
    </w:p>
    <w:p>
      <w:pPr>
        <w:pStyle w:val="TextBody"/>
        <w:bidi w:val="0"/>
        <w:spacing w:before="120" w:after="283"/>
        <w:jc w:val="left"/>
        <w:rPr>
          <w:rFonts w:ascii="Times New Roman" w:hAnsi="Times New Roman"/>
          <w:b/>
          <w:i/>
          <w:color w:val="000000"/>
          <w:sz w:val="20"/>
          <w:u w:val="single"/>
        </w:rPr>
      </w:pPr>
      <w:r>
        <w:rPr>
          <w:rFonts w:ascii="Times New Roman" w:hAnsi="Times New Roman"/>
          <w:b/>
          <w:i/>
          <w:color w:val="000000"/>
          <w:sz w:val="20"/>
          <w:u w:val="single"/>
        </w:rPr>
        <w:t>Adjustments to self-insured professional and general liability reserves: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estimated liability for self-insured professional and general liability claims is based on a number of factors including, among other things, the number of asserted claims and reported incidents, estimates of losses for these claims based on recent and historical settlement amounts and jury verdicts, estimates of incurred but not reported claims based on historical experience, and estimates of amounts recoverable under our commercial insurance policies.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a result of unfavorable trends experienced during the past few years, our results of operations included increases to our reserves for self-insured professional and general liability claims amounting to $45 million during 2025 and $79 million during 2024. During 2025, approximately $27 million of the reserves increase is included in our Same Facility basis acute care hospitals services’ results, and approximately $18 million is included in our behavioral health services’ results. During 2024, approximately $54 million of the reserves increase is included in our Same Facility basis acute care hospitals services’ results, and approximately $25 million is included in our behavioral health services’ results.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Acute Care Hospital Services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The following table sets forth certain operating statistics for our acute care hospital services for the years ended December 31, 2025 and 2024. </w:t>
      </w:r>
    </w:p>
    <w:tbl>
      <w:tblPr>
        <w:tblW w:w="8139" w:type="dxa"/>
        <w:jc w:val="left"/>
        <w:tblInd w:w="0" w:type="dxa"/>
        <w:tblLayout w:type="fixed"/>
        <w:tblCellMar>
          <w:top w:w="28" w:type="dxa"/>
          <w:left w:w="28" w:type="dxa"/>
          <w:bottom w:w="28" w:type="dxa"/>
          <w:right w:w="28" w:type="dxa"/>
        </w:tblCellMar>
      </w:tblPr>
      <w:tblGrid>
        <w:gridCol w:w="803"/>
        <w:gridCol w:w="728"/>
        <w:gridCol w:w="733"/>
        <w:gridCol w:w="146"/>
        <w:gridCol w:w="931"/>
        <w:gridCol w:w="271"/>
        <w:gridCol w:w="146"/>
        <w:gridCol w:w="146"/>
        <w:gridCol w:w="931"/>
        <w:gridCol w:w="271"/>
        <w:gridCol w:w="146"/>
        <w:gridCol w:w="146"/>
        <w:gridCol w:w="931"/>
        <w:gridCol w:w="271"/>
        <w:gridCol w:w="146"/>
        <w:gridCol w:w="146"/>
        <w:gridCol w:w="931"/>
        <w:gridCol w:w="316"/>
      </w:tblGrid>
      <w:tr>
        <w:trPr/>
        <w:tc>
          <w:tcPr>
            <w:tcW w:w="803"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8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Same Facility Basis</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All</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8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64" w:type="dxa"/>
            <w:gridSpan w:val="3"/>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Average licensed beds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6,830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6,763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7,073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6,763</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64" w:type="dxa"/>
            <w:gridSpan w:val="3"/>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Average available beds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6,658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6,591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6,901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6,591</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64" w:type="dxa"/>
            <w:gridSpan w:val="3"/>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Patient days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1,621,440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1,621,966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1,657,502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1,621,966</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64" w:type="dxa"/>
            <w:gridSpan w:val="3"/>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Average daily census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4,442.3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4,431.6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4,541.1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4,431.6</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64" w:type="dxa"/>
            <w:gridSpan w:val="3"/>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Occupancy-licensed beds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65.5</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264" w:type="dxa"/>
            <w:gridSpan w:val="3"/>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Occupancy-available beds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67.2</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264" w:type="dxa"/>
            <w:gridSpan w:val="3"/>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Admissions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339,174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334,918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347,736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334,918</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64" w:type="dxa"/>
            <w:gridSpan w:val="3"/>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Length of stay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b/>
          <w:color w:val="000000"/>
          <w:sz w:val="20"/>
          <w:u w:val="single"/>
        </w:rPr>
      </w:pPr>
      <w:r>
        <w:rPr>
          <w:rFonts w:ascii="Times New Roman" w:hAnsi="Times New Roman"/>
          <w:b/>
          <w:color w:val="000000"/>
          <w:sz w:val="20"/>
          <w:u w:val="single"/>
        </w:rPr>
        <w:t>Acute Care Hospital Services-Same Facility Basis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believe that providing our results on a “Same Facility” basis (which is a non-GAAP measure), which includes the operating results for facilities and businesses operated in both the current year and prior year periods, is helpful to our investors as a measure of our operating performance. Our Same Facility results also neutralize (if applicable) the effect of items that are non-operational in nature including items such as, but not limited to, gains/losses on sales of assets and businesses, impacts of settlements, legal judgments and lawsuits, impairments of long-lived and intangible assets and other amounts that may be reflected in the current or prior year financial statements that relate to prior periods.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Our Same Facility basis results reflected on the table below also exclude from net revenues and other operating expenses, provider tax assessments incurred in each period as discussed below </w:t>
      </w:r>
      <w:r>
        <w:rPr>
          <w:rFonts w:ascii="Times New Roman" w:hAnsi="Times New Roman"/>
          <w:i/>
          <w:color w:val="000000"/>
          <w:sz w:val="20"/>
        </w:rPr>
        <w:t xml:space="preserve">Sources of Revenue-Summary of Various State Medicaid Supplemental Payment Programs. </w:t>
      </w:r>
      <w:r>
        <w:rPr>
          <w:rFonts w:ascii="Times New Roman" w:hAnsi="Times New Roman"/>
          <w:color w:val="000000"/>
          <w:sz w:val="20"/>
        </w:rPr>
        <w:t xml:space="preserve">However, these provider tax assessments are included in net revenues and other operating expenses as reflected in the table below under </w:t>
      </w:r>
      <w:r>
        <w:rPr>
          <w:rFonts w:ascii="Times New Roman" w:hAnsi="Times New Roman"/>
          <w:i/>
          <w:color w:val="000000"/>
          <w:sz w:val="20"/>
        </w:rPr>
        <w:t>All Acute Care Hospital Services</w:t>
      </w:r>
      <w:r>
        <w:rPr>
          <w:rFonts w:ascii="Times New Roman" w:hAnsi="Times New Roman"/>
          <w:color w:val="000000"/>
          <w:sz w:val="20"/>
        </w:rPr>
        <w:t>. The provider tax assessments had no impact on the income before income taxes as reflected on the tables below since the amounts offset between net revenues and other operating expenses. Prior year amounts related to certain facilities previously included in our Behavioral Health Care Services’ results have been reclassified into our Acute Care Hospital Services' results as of May 1, 2024 to conform with current year presentation. To obtain a complete understanding of our financial performance, the Same Facility results should be examined in connection with our net income as determined in accordance with U.S. GAAP and as presented in the condensed consolidated financial statements and notes thereto as contained in this Annual Report on Form 10-K.</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summarizes the results of operations for our acute care hospital services on a Same Facility basis and is used in the discussions below for the years ended December 31, 2025 and 2024 (dollar amounts in thousands):</w:t>
      </w:r>
    </w:p>
    <w:p>
      <w:pPr>
        <w:pStyle w:val="TextBody"/>
        <w:bidi w:val="0"/>
        <w:jc w:val="left"/>
        <w:rPr/>
      </w:pPr>
      <w:r>
        <w:rPr/>
        <w:t> </w:t>
      </w:r>
    </w:p>
    <w:tbl>
      <w:tblPr>
        <w:tblW w:w="8345" w:type="dxa"/>
        <w:jc w:val="left"/>
        <w:tblInd w:w="0" w:type="dxa"/>
        <w:tblLayout w:type="fixed"/>
        <w:tblCellMar>
          <w:top w:w="28" w:type="dxa"/>
          <w:left w:w="28" w:type="dxa"/>
          <w:bottom w:w="28" w:type="dxa"/>
          <w:right w:w="28" w:type="dxa"/>
        </w:tblCellMar>
      </w:tblPr>
      <w:tblGrid>
        <w:gridCol w:w="2796"/>
        <w:gridCol w:w="146"/>
        <w:gridCol w:w="211"/>
        <w:gridCol w:w="931"/>
        <w:gridCol w:w="166"/>
        <w:gridCol w:w="146"/>
        <w:gridCol w:w="159"/>
        <w:gridCol w:w="622"/>
        <w:gridCol w:w="271"/>
        <w:gridCol w:w="146"/>
        <w:gridCol w:w="211"/>
        <w:gridCol w:w="931"/>
        <w:gridCol w:w="166"/>
        <w:gridCol w:w="146"/>
        <w:gridCol w:w="159"/>
        <w:gridCol w:w="622"/>
        <w:gridCol w:w="516"/>
      </w:tblGrid>
      <w:tr>
        <w:trPr/>
        <w:tc>
          <w:tcPr>
            <w:tcW w:w="2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r>
      <w:tr>
        <w:trPr/>
        <w:tc>
          <w:tcPr>
            <w:tcW w:w="27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35"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35"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7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3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3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of Net</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of Net</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7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Revenues</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Revenues</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9,323,647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8,590,209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charges: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7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Salaries, wages and benefits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3,687,017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3,518,909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41.0</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7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2,664,397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2,384,758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w:t>
            </w:r>
          </w:p>
        </w:tc>
        <w:tc>
          <w:tcPr>
            <w:tcW w:w="5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7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Supplies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1,397,254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1,360,652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7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361,988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367,822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c>
          <w:tcPr>
            <w:tcW w:w="5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7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Lease and rental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100,678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98,777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5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Subtotal-operating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8,211,334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88.1</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7,730,918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90.0</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1,112,313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859,291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7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5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7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(income)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(21,163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5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before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1,127,501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854,834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During 2025, as compared to 2024, net revenues from our acute care hospital services, on a Same Facility basis, increased by $733 million or 8.5%. Income before income taxes (and before income attributable to noncontrolling interests) increased by $273 million, or 32%, amounting to $1.13 billion, or 12.1% of net revenues during 2025, as compared to $855 million, or 10.0% of net revenues during 2024.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2025, net revenue per adjusted admission increased by 5.4% while net revenue per adjusted patient day increased by 6.8%, as compared to 2024. During 2025, as compared to 2024, inpatient admissions to our acute care hospitals increased by 1.3% while adjusted admissions increased by 1.6%. Patient days at these facilities remained relatively flat and adjusted patient days increased by 0.3% during 2025, as compared to 2024. During each of the years ended December 31, 2025 and 2024, the average length of inpatient stay at these facilities was 4.8 days and the occupancy rate, based on the average available beds at these facilities, was 67%. Included in our acute care hospital services net revenues during 2025, as compared to 2024 (on a Same Facility basis), was a $176 million, or 32.6%, increase in net revenues generated by our commercial health insurer (due to an increase in membership).</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a Same Facility basis, during 2025, as compared to 2024, salaries, wages and benefits expense increased by $168 million, or 4.8%. Contributing to the increase in salaries, wages and benefits was an increase in our patient volumes during 2025 as compared to 2024. As a percentage of net revenues, salaries, wages and benefits expense decreased to 39.5% during 2025 as compared to 41.0% during 2024.</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Other operating expenses increased by $280 million, or 11.7%, during 2025 as compared to 2024. Operating expenses incurred by our commercial health insurer, consisting primarily of medical costs, increased by $177 million, or 34.6% (due primarily to an increase in membership), during 2025 as compared to 2024. In addition, as discussed above in </w:t>
      </w:r>
      <w:r>
        <w:rPr>
          <w:rFonts w:ascii="Times New Roman" w:hAnsi="Times New Roman"/>
          <w:i/>
          <w:color w:val="000000"/>
          <w:sz w:val="20"/>
        </w:rPr>
        <w:t>Results of Operations-Adjustments to Self-Insured Professional and General Liability Reserves</w:t>
      </w:r>
      <w:r>
        <w:rPr>
          <w:rFonts w:ascii="Times New Roman" w:hAnsi="Times New Roman"/>
          <w:color w:val="000000"/>
          <w:sz w:val="20"/>
        </w:rPr>
        <w:t>, included in the other operating expenses of our acute care hospital services during 2025, as compared to 2024, was a $27 million decrease in the adjustments made to our self-insured professional and general liability reserves that was applicable to our acute care facilities. Excluding these expense items from each year, other operating expenses increased by $130 million, or 7.1%. Contributing to the increase during 2025, as compared to 2024, was a $49 million, or 7.8%, increase in physician expenses incurred at certain hospitals. As a percentage of net revenues, other operating expenses increased to 28.6% during 2025, as compared to 27.8% during 2024.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Supplies expense increased by $37 million, or 2.7%, during 2025 as compared to 2024. As a percentage of net revenues, supplies expense decreased to 15.0% during 2025, as compared to 15.8% during 2024.</w:t>
      </w:r>
    </w:p>
    <w:p>
      <w:pPr>
        <w:pStyle w:val="TextBody"/>
        <w:bidi w:val="0"/>
        <w:spacing w:before="120" w:after="283"/>
        <w:jc w:val="left"/>
        <w:rPr>
          <w:rFonts w:ascii="Times New Roman" w:hAnsi="Times New Roman"/>
          <w:b/>
          <w:color w:val="000000"/>
          <w:sz w:val="20"/>
          <w:u w:val="single"/>
        </w:rPr>
      </w:pPr>
      <w:r>
        <w:rPr>
          <w:rFonts w:ascii="Times New Roman" w:hAnsi="Times New Roman"/>
          <w:b/>
          <w:color w:val="000000"/>
          <w:sz w:val="20"/>
          <w:u w:val="single"/>
        </w:rPr>
        <w:t>All Acute Care Hospital Services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summarizes the results of operations for all our acute care operations during 2025 and 2024. These amounts include: (i) our acute care results on a Same Facility basis, as indicated above; (ii) the impact of provider tax assessments which increased net revenues and other operating expenses but had no impact on income before income taxes, and; (iii) certain other amounts including the operating results of recently opened/acquired facilities and businesses. Dollar amounts below are reflected in thousands.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tbl>
      <w:tblPr>
        <w:tblW w:w="8345" w:type="dxa"/>
        <w:jc w:val="left"/>
        <w:tblInd w:w="0" w:type="dxa"/>
        <w:tblLayout w:type="fixed"/>
        <w:tblCellMar>
          <w:top w:w="28" w:type="dxa"/>
          <w:left w:w="28" w:type="dxa"/>
          <w:bottom w:w="28" w:type="dxa"/>
          <w:right w:w="28" w:type="dxa"/>
        </w:tblCellMar>
      </w:tblPr>
      <w:tblGrid>
        <w:gridCol w:w="2796"/>
        <w:gridCol w:w="146"/>
        <w:gridCol w:w="211"/>
        <w:gridCol w:w="931"/>
        <w:gridCol w:w="166"/>
        <w:gridCol w:w="146"/>
        <w:gridCol w:w="159"/>
        <w:gridCol w:w="622"/>
        <w:gridCol w:w="271"/>
        <w:gridCol w:w="146"/>
        <w:gridCol w:w="211"/>
        <w:gridCol w:w="931"/>
        <w:gridCol w:w="166"/>
        <w:gridCol w:w="146"/>
        <w:gridCol w:w="159"/>
        <w:gridCol w:w="622"/>
        <w:gridCol w:w="516"/>
      </w:tblGrid>
      <w:tr>
        <w:trPr/>
        <w:tc>
          <w:tcPr>
            <w:tcW w:w="2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r>
      <w:tr>
        <w:trPr/>
        <w:tc>
          <w:tcPr>
            <w:tcW w:w="27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35"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35"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7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3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3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of Net</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of Net</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7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Revenues</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Revenues</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9,925,907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8,944,288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charges: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7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Salaries, wages and benefits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3,797,810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3,523,526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39.4</w:t>
            </w:r>
          </w:p>
        </w:tc>
        <w:tc>
          <w:tcPr>
            <w:tcW w:w="5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7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3,179,922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2,747,066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7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Supplies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1,426,059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1,360,758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w:t>
            </w:r>
          </w:p>
        </w:tc>
        <w:tc>
          <w:tcPr>
            <w:tcW w:w="5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7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388,804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368,717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7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Lease and rental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101,622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99,066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Subtotal-operating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8,894,217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89.6</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8,099,133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90.6</w:t>
            </w:r>
          </w:p>
        </w:tc>
        <w:tc>
          <w:tcPr>
            <w:tcW w:w="5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1,031,690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845,155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w:t>
            </w:r>
          </w:p>
        </w:tc>
        <w:tc>
          <w:tcPr>
            <w:tcW w:w="5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7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7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(income)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(21,533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before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1,046,938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840,121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w:t>
            </w:r>
          </w:p>
        </w:tc>
        <w:tc>
          <w:tcPr>
            <w:tcW w:w="5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During 2025, as compared to 2024, net revenues from our acute care hospital services increased by $982 million, or 11.0%, due to: (i) the $733 million, or 8.5% increase in Same Facility revenues, as discussed above, and; (ii) an other combined net increase of $249 million consisting primarily of $182 million of combined net revenue increases at two new acute care hospitals, as mentioned above, and a $59 million increase in provider tax assessments.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Income before income taxes increased by $207 million, or 25%, to $1.05 billion, or 10.5% of net revenues during 2025, as compared to $840 million, or 9.4% of net revenues during 2024. The increase resulted primarily from: (i) the $273 million, or 32%, increase in income before income taxes from our acute care hospital services, on a Same Facility basis, as discussed above, partially offset by; (ii) a $49 million pre-tax loss incurred during 2025 at Cedar Hill Regional Medical Center, and; (iii) an $18 million legal reserve established during 2025 (third quarter) in connection with the verdict in the Pinnacle litigation in Washoe County, Nevada, against certain subsidiaries of ours, as disclosed herein.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2025, as compared to 2024, salaries, wages and benefits expense increased by $274 million, or 7.8%. The increase was due primarily to the above-mentioned $168 million increase related to our acute care hospital services, on a Same Facility basis, as well as the salaries, wages and benefits expense incurred at the two above-mentioned new acute care hospitals.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Other operating expenses increased by $433 million, or 15.8%, during 2025 as compared to 2024. The increase was due to: (i) the $280 million above-mentioned increase related to our acute care hospital services, on a Same Facility basis; (ii) a $59 million increase in provider tax assessments; (iii) a combined increase of $75 million in operating expenses incurred at the two above-mentioned new acute care hospitals, and; (iv) the above-mentioned $18 million legal reserve established during 2025.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Supplies expense increased by $65 million, or 4.8%, during 2025 as compared to 2024. The increase was due to the above-mentioned $37 million increase related to our acute care hospital services, on a Same Facility basis, as well as the supplies expense incurred at the two above-mentioned new acute care hospitals.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Behavioral Health Care Services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The following table sets forth certain operating statistics for our behavioral health care services for the years ended December 31, 2025 and 2024. </w:t>
      </w:r>
    </w:p>
    <w:tbl>
      <w:tblPr>
        <w:tblW w:w="8139" w:type="dxa"/>
        <w:jc w:val="left"/>
        <w:tblInd w:w="0" w:type="dxa"/>
        <w:tblLayout w:type="fixed"/>
        <w:tblCellMar>
          <w:top w:w="28" w:type="dxa"/>
          <w:left w:w="28" w:type="dxa"/>
          <w:bottom w:w="28" w:type="dxa"/>
          <w:right w:w="28" w:type="dxa"/>
        </w:tblCellMar>
      </w:tblPr>
      <w:tblGrid>
        <w:gridCol w:w="803"/>
        <w:gridCol w:w="728"/>
        <w:gridCol w:w="733"/>
        <w:gridCol w:w="146"/>
        <w:gridCol w:w="931"/>
        <w:gridCol w:w="271"/>
        <w:gridCol w:w="146"/>
        <w:gridCol w:w="146"/>
        <w:gridCol w:w="931"/>
        <w:gridCol w:w="271"/>
        <w:gridCol w:w="146"/>
        <w:gridCol w:w="146"/>
        <w:gridCol w:w="931"/>
        <w:gridCol w:w="271"/>
        <w:gridCol w:w="146"/>
        <w:gridCol w:w="146"/>
        <w:gridCol w:w="931"/>
        <w:gridCol w:w="316"/>
      </w:tblGrid>
      <w:tr>
        <w:trPr/>
        <w:tc>
          <w:tcPr>
            <w:tcW w:w="803"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8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Same Facility Basis</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All</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8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64" w:type="dxa"/>
            <w:gridSpan w:val="3"/>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Average licensed beds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24,087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23,909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24,342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24,274</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64" w:type="dxa"/>
            <w:gridSpan w:val="3"/>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Average available beds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23,987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23,809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24,242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24,187</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64" w:type="dxa"/>
            <w:gridSpan w:val="3"/>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Patient days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6,415,058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6,344,903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6,476,268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6,426,265</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64" w:type="dxa"/>
            <w:gridSpan w:val="3"/>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Average daily census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17,575.5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17,335.8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17,743.2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17,558.1</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64" w:type="dxa"/>
            <w:gridSpan w:val="3"/>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Occupancy-licensed beds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72.3</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264" w:type="dxa"/>
            <w:gridSpan w:val="3"/>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Occupancy-available beds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72.6</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264" w:type="dxa"/>
            <w:gridSpan w:val="3"/>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Admissions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469,571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467,508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473,071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473,081</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64" w:type="dxa"/>
            <w:gridSpan w:val="3"/>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Length of stay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b/>
          <w:color w:val="000000"/>
          <w:sz w:val="20"/>
          <w:u w:val="single"/>
        </w:rPr>
      </w:pPr>
      <w:r>
        <w:rPr>
          <w:rFonts w:ascii="Times New Roman" w:hAnsi="Times New Roman"/>
          <w:b/>
          <w:color w:val="000000"/>
          <w:sz w:val="20"/>
          <w:u w:val="single"/>
        </w:rPr>
        <w:t>Behavioral Health Care Services-Same Facility Basis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believe that providing our results on a Same Facility basis, which includes the operating results for facilities and businesses operated in both the current year and prior year periods, is helpful to our investors as a measure of our operating performance. Our Same Facility results also neutralize (if applicable) the effect of items that are non-operational in nature including items such as, but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limited to, gains/losses on sales of assets and businesses, impacts of settlements, legal judgments and lawsuits, impairments of long-lived and intangible assets and other amounts that may be reflected in the current or prior year financial statements that relate to prior periods.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Our Same Facility basis results reflected on the table below also excludes from net revenues and other operating expenses, provider tax assessments incurred in each period as discussed below </w:t>
      </w:r>
      <w:r>
        <w:rPr>
          <w:rFonts w:ascii="Times New Roman" w:hAnsi="Times New Roman"/>
          <w:i/>
          <w:color w:val="000000"/>
          <w:sz w:val="20"/>
        </w:rPr>
        <w:t xml:space="preserve">Sources of Revenue-Summary of Various State Medicaid Supplemental Payment Programs. </w:t>
      </w:r>
      <w:r>
        <w:rPr>
          <w:rFonts w:ascii="Times New Roman" w:hAnsi="Times New Roman"/>
          <w:color w:val="000000"/>
          <w:sz w:val="20"/>
        </w:rPr>
        <w:t xml:space="preserve">However, these provider tax assessments are included in net revenues and other operating expenses as reflected in the table below under </w:t>
      </w:r>
      <w:r>
        <w:rPr>
          <w:rFonts w:ascii="Times New Roman" w:hAnsi="Times New Roman"/>
          <w:i/>
          <w:color w:val="000000"/>
          <w:sz w:val="20"/>
        </w:rPr>
        <w:t>All Behavioral Health Care Services</w:t>
      </w:r>
      <w:r>
        <w:rPr>
          <w:rFonts w:ascii="Times New Roman" w:hAnsi="Times New Roman"/>
          <w:color w:val="000000"/>
          <w:sz w:val="20"/>
        </w:rPr>
        <w:t>. The provider tax assessments had no impact on the income before income taxes as reflected on the tables below since the amounts offset between net revenues and other operating expenses. Prior year amounts related to certain facilities previously included in our Behavioral Health Care Services’ results have been reclassified into our Acute Care Hospital Services' results as of May 1, 2024 to conform with current year presentation. To obtain a complete understanding of our financial performance, the Same Facility results should be examined in connection with our net income as determined in accordance with U.S. GAAP and as presented in the condensed consolidated financial statements and notes thereto as contained in this Annual Report on Form 10-K.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summarizes the results of operations for our behavioral health care services, on a Same Facility basis, and is used in the discussions below for the years ended December 31, 2025 and 2024 (dollar amounts in thousands):</w:t>
      </w:r>
    </w:p>
    <w:p>
      <w:pPr>
        <w:pStyle w:val="TextBody"/>
        <w:bidi w:val="0"/>
        <w:jc w:val="left"/>
        <w:rPr/>
      </w:pPr>
      <w:r>
        <w:rPr/>
        <w:t> </w:t>
      </w:r>
    </w:p>
    <w:tbl>
      <w:tblPr>
        <w:tblW w:w="8345" w:type="dxa"/>
        <w:jc w:val="left"/>
        <w:tblInd w:w="0" w:type="dxa"/>
        <w:tblLayout w:type="fixed"/>
        <w:tblCellMar>
          <w:top w:w="28" w:type="dxa"/>
          <w:left w:w="28" w:type="dxa"/>
          <w:bottom w:w="28" w:type="dxa"/>
          <w:right w:w="28" w:type="dxa"/>
        </w:tblCellMar>
      </w:tblPr>
      <w:tblGrid>
        <w:gridCol w:w="2796"/>
        <w:gridCol w:w="146"/>
        <w:gridCol w:w="211"/>
        <w:gridCol w:w="931"/>
        <w:gridCol w:w="166"/>
        <w:gridCol w:w="146"/>
        <w:gridCol w:w="159"/>
        <w:gridCol w:w="622"/>
        <w:gridCol w:w="271"/>
        <w:gridCol w:w="146"/>
        <w:gridCol w:w="211"/>
        <w:gridCol w:w="931"/>
        <w:gridCol w:w="166"/>
        <w:gridCol w:w="146"/>
        <w:gridCol w:w="159"/>
        <w:gridCol w:w="622"/>
        <w:gridCol w:w="516"/>
      </w:tblGrid>
      <w:tr>
        <w:trPr/>
        <w:tc>
          <w:tcPr>
            <w:tcW w:w="2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r>
      <w:tr>
        <w:trPr/>
        <w:tc>
          <w:tcPr>
            <w:tcW w:w="27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5"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5"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7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of Net</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of Net</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7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Revenues</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Revenues</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7,185,336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6,668,971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charges: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7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Salaries, wages and benefits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3,876,831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3,574,879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53.6</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7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1,338,907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1,263,911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w:t>
            </w:r>
          </w:p>
        </w:tc>
        <w:tc>
          <w:tcPr>
            <w:tcW w:w="5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7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Supplies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234,606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228,606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7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217,375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204,197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5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7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Lease and rental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45,178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45,626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w:t>
            </w:r>
          </w:p>
        </w:tc>
        <w:tc>
          <w:tcPr>
            <w:tcW w:w="5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Subtotal-operating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5,712,897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5,317,219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79.7</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1,472,439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1,351,752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7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5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7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(income)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5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before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1,470,525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1,351,205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2025, as compared to 2024, net revenues from our behavioral health services, on a Same Facility basis, increased by $516 million or 7.7%. Income before income taxes increased by $119 million, or 8.8%, amounting to $1.47 billion, or 20.5% of net revenues during 2025, as compared to $1.35 billion, or 20.3% of net revenues during 2024.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2025, net revenue per adjusted admission increased by 7.5% while net revenue per adjusted patient day increased by 6.8%, as compared to 2024. During 2025, as compared to 2024, inpatient admissions to our behavioral health care hospitals increased by 0.4% and adjusted admissions increased by 0.2%. Patient days at these facilities increased by 1.1% and adjusted patient days increased by 0.9% during 2025, as compared to 2024. The average length of inpatient stay at these facilities was 13.7 days and 13.6 days during 2025 and 2024, respectively. During each of the years ended December 31, 2025 and 2024, the occupancy rate, based on the average available beds at these facilities, was 73%.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a Same Facility basis during 2025, as compared to 2024, salaries, wages and benefits expense increased by $302 million or 8.4%. The increase during 2025, as compared to 2024, was due to a 4.7% increase in salaries, wages and benefits expense per average full time equivalent employee, as well as a 3.5% increase in the average number of full-time equivalent employees. As a percentage of net revenues during each quarter, salaries, wages and benefits expense increased to 54.0% during 2025 as compared to 53.6% during 2024.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 operating expenses increased by $75 million, or 5.9%, during 2025 as compared to 2024. As a percentage of net revenues, other operating expenses decreased to 18.6% during 2025 as compared to 19.0% during 2024.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Supplies expense increased by $6 million, or 2.6%, during 2025 as compared to 2024. As a percentage of net revenues, supplies expense decreased slightly to 3.3% during 2025 as compared to 3.4% during 2024.</w:t>
      </w:r>
    </w:p>
    <w:p>
      <w:pPr>
        <w:pStyle w:val="TextBody"/>
        <w:bidi w:val="0"/>
        <w:spacing w:before="120" w:after="283"/>
        <w:jc w:val="left"/>
        <w:rPr/>
      </w:pPr>
      <w:r>
        <w:rPr/>
        <w:t> </w:t>
      </w:r>
    </w:p>
    <w:p>
      <w:pPr>
        <w:pStyle w:val="TextBody"/>
        <w:bidi w:val="0"/>
        <w:spacing w:before="120" w:after="283"/>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color w:val="000000"/>
          <w:sz w:val="20"/>
          <w:u w:val="single"/>
        </w:rPr>
      </w:pPr>
      <w:r>
        <w:rPr>
          <w:rFonts w:ascii="Times New Roman" w:hAnsi="Times New Roman"/>
          <w:b/>
          <w:color w:val="000000"/>
          <w:sz w:val="20"/>
          <w:u w:val="single"/>
        </w:rPr>
        <w:t>All Behavioral Health Care Services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summarizes the results of operations for all our behavioral health care services during 2025 and 2024. These amounts include: (i) our behavioral health care results on a Same Facility basis, as indicated above; (ii) the impact of provider tax assessments which increased net revenues and other operating expenses but had no impact on income before income taxes, and; (iii) certain other amounts, as applicable, including the results of facilities that were acquired, opened or closed during the past year. Dollar amounts below are reflected in thousands.</w:t>
      </w:r>
    </w:p>
    <w:p>
      <w:pPr>
        <w:pStyle w:val="TextBody"/>
        <w:bidi w:val="0"/>
        <w:jc w:val="left"/>
        <w:rPr/>
      </w:pPr>
      <w:r>
        <w:rPr/>
        <w:t> </w:t>
      </w:r>
    </w:p>
    <w:tbl>
      <w:tblPr>
        <w:tblW w:w="8345" w:type="dxa"/>
        <w:jc w:val="left"/>
        <w:tblInd w:w="0" w:type="dxa"/>
        <w:tblLayout w:type="fixed"/>
        <w:tblCellMar>
          <w:top w:w="28" w:type="dxa"/>
          <w:left w:w="28" w:type="dxa"/>
          <w:bottom w:w="28" w:type="dxa"/>
          <w:right w:w="28" w:type="dxa"/>
        </w:tblCellMar>
      </w:tblPr>
      <w:tblGrid>
        <w:gridCol w:w="2796"/>
        <w:gridCol w:w="146"/>
        <w:gridCol w:w="211"/>
        <w:gridCol w:w="931"/>
        <w:gridCol w:w="166"/>
        <w:gridCol w:w="146"/>
        <w:gridCol w:w="159"/>
        <w:gridCol w:w="622"/>
        <w:gridCol w:w="271"/>
        <w:gridCol w:w="146"/>
        <w:gridCol w:w="211"/>
        <w:gridCol w:w="931"/>
        <w:gridCol w:w="166"/>
        <w:gridCol w:w="146"/>
        <w:gridCol w:w="159"/>
        <w:gridCol w:w="622"/>
        <w:gridCol w:w="516"/>
      </w:tblGrid>
      <w:tr>
        <w:trPr/>
        <w:tc>
          <w:tcPr>
            <w:tcW w:w="2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r>
      <w:tr>
        <w:trPr/>
        <w:tc>
          <w:tcPr>
            <w:tcW w:w="27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5"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5"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7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of Net</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of Net</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7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Revenues</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Revenues</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7,425,500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6,873,090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charges: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7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Salaries, wages and benefits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3,893,474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3,590,956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52.2</w:t>
            </w:r>
          </w:p>
        </w:tc>
        <w:tc>
          <w:tcPr>
            <w:tcW w:w="5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7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1,566,405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1,443,857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7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Supplies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235,422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229,527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5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7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220,464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205,741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7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Lease and rental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46,257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46,980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Subtotal-operating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5,962,022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80.3</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5,517,061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80.3</w:t>
            </w:r>
          </w:p>
        </w:tc>
        <w:tc>
          <w:tcPr>
            <w:tcW w:w="5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1,463,478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1,356,029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w:t>
            </w:r>
          </w:p>
        </w:tc>
        <w:tc>
          <w:tcPr>
            <w:tcW w:w="5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7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7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(income)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before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1,460,503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1,355,549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w:t>
            </w:r>
          </w:p>
        </w:tc>
        <w:tc>
          <w:tcPr>
            <w:tcW w:w="5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2025, as compared to 2024, net revenues generated from our behavioral health services increased by $552 million, or 8.0%. The increase was primarily attributable to the above-mentioned $516 million, or 7.7%, increase in net revenues at our behavioral health facilities, on a Same Facility basis, as well as a $36 million increase in provider tax assessments.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Income before income taxes increased by $105 million, or 7.7%, to $1.46 billion, or 19.7% of net revenues during 2025, as compared to $1.36 billion, or 19.7% of net revenues during 2024. The increase in income before income taxes at our behavioral health facilities during 2025, as compared to 2024, was primarily attributable to the $119 million, or 8.8% increase in income before income taxes generated at our behavioral health facilities, on a Same Facility basis, partially offset by the losses incurred at recently opened, closed or divested facilities.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2025, as compared to 2024, salaries, wages and benefits expense increased by $303 million or 8.4%. The increase was due primarily to the above-mentioned $302 million, or 8.4%, increase related to our behavioral health facilities, on a Same Facility basis.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 operating expenses increased by $123 million, or 8.5%, during 2025 as compared to 2024. The increase was due primarily to the above-mentioned $75 million, or 5.9%, increase related to our behavioral health facilities, on a Same Facility basis, as well as $48 million of other combined net increases consisting primarily of increased provider tax assessments.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Supplies expense increased by $6 million, or 2.6%, during 2025 as compared to 2024.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Sources of Revenue</w:t>
      </w:r>
    </w:p>
    <w:p>
      <w:pPr>
        <w:pStyle w:val="TextBody"/>
        <w:bidi w:val="0"/>
        <w:spacing w:before="120" w:after="283"/>
        <w:jc w:val="left"/>
        <w:rPr>
          <w:rFonts w:ascii="Times New Roman" w:hAnsi="Times New Roman"/>
          <w:sz w:val="20"/>
        </w:rPr>
      </w:pPr>
      <w:r>
        <w:rPr>
          <w:rFonts w:ascii="Times New Roman" w:hAnsi="Times New Roman"/>
          <w:b/>
          <w:color w:val="000000"/>
          <w:sz w:val="20"/>
        </w:rPr>
        <w:t>Overview:</w:t>
      </w:r>
      <w:r>
        <w:rPr>
          <w:rFonts w:ascii="Times New Roman" w:hAnsi="Times New Roman"/>
          <w:color w:val="000000"/>
          <w:sz w:val="20"/>
        </w:rPr>
        <w:t xml:space="preserve"> We receive payments for services rendered from private insurers, including managed care plans, the federal government under the Medicare program, state governments under their respective Medicaid programs and directly from patients.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Hospital revenues depend upon inpatient occupancy levels, the medical and ancillary services and therapy programs ordered by physicians and provided to patients, the volume of outpatient procedures and the charges or negotiated payment rates for such services. Charges and reimbursement rates for inpatient routine services vary depending on the type of services provided (e.g., medical/surgical, intensive care or behavioral health) and the geographic location of the hospital. Inpatient occupancy levels fluctuate for various reasons, many of which are beyond our control. The percentage of patient service revenue attributable to outpatient services has generally increased in recent years, primarily as a result of advances in medical technology that allow more services to be provided on an outpatient basis, as well as increased pressure from Medicare, Medicaid and private insurers to reduce hospital stays and provide services, where possible, on a less expensive outpatient basis. We believe that our experience with respect to our increased outpatient levels mirrors the general trend occurring in the health care industry and we are unable to predict the rate of growth and resulting impact on our future revenues.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Patients are generally not responsible for any difference between customary hospital charges and amounts reimbursed for such services under Medicare, Medicaid, some private insurance plans, and managed care plans, but are responsible for services not covered by such plans, exclusions, deductibles or co-insurance features of their coverage. The amount of such exclusions, deductibles and co-insurance has generally been increasing each year. Indications from recent federal and state legislation are that this trend will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continue. Collection of amounts due from individuals is typically more difficult than from governmental or business payers which unfavorably impacts the collectability of our patient accounts.</w:t>
      </w:r>
    </w:p>
    <w:p>
      <w:pPr>
        <w:pStyle w:val="TextBody"/>
        <w:bidi w:val="0"/>
        <w:spacing w:before="120" w:after="283"/>
        <w:jc w:val="left"/>
        <w:rPr>
          <w:rFonts w:ascii="Times New Roman" w:hAnsi="Times New Roman"/>
          <w:sz w:val="20"/>
        </w:rPr>
      </w:pPr>
      <w:r>
        <w:rPr>
          <w:rFonts w:ascii="Times New Roman" w:hAnsi="Times New Roman"/>
          <w:b/>
          <w:color w:val="000000"/>
          <w:sz w:val="20"/>
        </w:rPr>
        <w:t>Sources of Revenues and Health Care Reform:</w:t>
      </w:r>
      <w:r>
        <w:rPr>
          <w:rFonts w:ascii="Times New Roman" w:hAnsi="Times New Roman"/>
          <w:color w:val="000000"/>
          <w:sz w:val="20"/>
        </w:rPr>
        <w:t xml:space="preserve"> Given increasing budget deficits, the federal government and many states are currently considering additional ways to limit increases in levels of Medicare and Medicaid funding, which could also adversely affect future payments received by our hospitals. In addition, the uncertainty and fiscal pressures placed upon the federal government as a result of, among other things, economic recovery stimulus packages, responses to natural disasters, and the federal and state budget deficits in general may affect the availability of government funds to provide additional relief in the future. Changes resulting from the outcome of the 2024 elections may include increased reliance on Medicare Advantage programs, work requirements for Medicaid waiver program eligibility, increased focus on hospital outpatient site neutral payment policies, and similar initiatives that may reduce the availability of funding for federal healthcare programs or make eligibility for benefits more difficult. Legislation adopted on July 4, 2025, One Big Beautiful Bill Act (“OBBBA”) of 2025”, will have the effect of substantially decreasing federal funding for state Medicaid Programs. Any significant reduction in federal Medicaid funding to states would likely result in states reducing Medicaid payments to us which would have a material adverse effect on us. We are unable to predict the effect of future policy changes on our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2010, the Patient Protection and Affordable Care Act, as amended by the Health and Education Reconciliation Act (collectively, the “ACA”) was enacted and its two primary goals were to provide for increased access to coverage for healthcare and to reduce healthcare-related expenses. The ACA revised reimbursement under the Medicare and Medicaid programs to emphasize the efficient delivery of high-quality care and contains a number of incentives and penalties under these programs to achieve these goals. The ACA provides for reductions to Medicaid DSH payments which are now scheduled to begin in federal fiscal year 2028.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2012 U.S. Supreme Court ruling limited the federal government’s ability to expand health insurance coverage by holding unconstitutional sections of the Legislation that sought to withdraw federal funding for state noncompliance with certain Medicaid coverage requirements. Pursuant to that decision, the federal government may not penalize states that choose not to participate in the Medicaid expansion by reducing their existing Medicaid funding. Therefore, states can choose to expand or not to expand their Medicaid program without risking the loss of federal Medicaid funding. As a result, many states, including Texas, have not expanded their Medicaid programs without the threat of loss of federal funding. CMS has previously granted section 1115 demonstration waivers providing for work and community engagement requirements for certain Medicaid eligible individuals. CMS has also released guidance to states interested in receiving their Medicaid funding through a block grant mechanism. The Biden administration withdrew certain previously issued section 1115 demonstrations aligned with these policies, but Georgia has imposed work and community engagement requirements under a Medicaid demonstration program that launched July 1, 2023. President Trump, who favored work and community engagement requirements in his first administration, sought and obtained legislation under the OBBBA that applies such requirements to a significant percentage of Medicaid program beneficiaries. We anticipate this change will lead to reductions in Medicaid coverage and likely increases in uncompensated care.</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On December 14, 2018, a Texas Federal District Court deemed the Legislation to be unconstitutional in its entirety. The Court concluded that the Individual Mandate is no longer permissible under Congress’s taxing power as a result of the Tax Cut and Jobs Act of 2017 reducing the individual mandate’s tax to $0 (i.e., it no longer produces revenue, which is an essential feature of a tax), rendering the Legislation unconstitutional. The Court also held that because the individual mandate is “essential” to the Legislation and is inseverable from the rest of the law, the entire Legislation is unconstitutional. That ruling was ultimately appealed to the United States Supreme Court, which decided in </w:t>
      </w:r>
      <w:r>
        <w:rPr>
          <w:rFonts w:ascii="Times New Roman" w:hAnsi="Times New Roman"/>
          <w:i/>
          <w:color w:val="000000"/>
          <w:sz w:val="20"/>
        </w:rPr>
        <w:t>California v. Texas</w:t>
      </w:r>
      <w:r>
        <w:rPr>
          <w:rFonts w:ascii="Times New Roman" w:hAnsi="Times New Roman"/>
          <w:color w:val="000000"/>
          <w:sz w:val="20"/>
        </w:rPr>
        <w:t xml:space="preserve"> that the plaintiffs in the matter lacked standing to bring their constitutionality claims. The Court did not reach the plaintiffs’ merits arguments, which specifically challenged the constitutionality of the Legislation’s individual mandate and the entirety of the Legislation itself. As a result, the Legislation will continue to be law, and the Department of Health and Human Services ("HHS") and its respective agencies will continue to enforce regulations implementing the law. However, on September 7, 2022, the Legislation faced its most recent challenge when a Texas Federal District Court judge, in the case of </w:t>
      </w:r>
      <w:r>
        <w:rPr>
          <w:rFonts w:ascii="Times New Roman" w:hAnsi="Times New Roman"/>
          <w:i/>
          <w:color w:val="000000"/>
          <w:sz w:val="20"/>
        </w:rPr>
        <w:t>Braidwood Management v. Becerra</w:t>
      </w:r>
      <w:r>
        <w:rPr>
          <w:rFonts w:ascii="Times New Roman" w:hAnsi="Times New Roman"/>
          <w:color w:val="000000"/>
          <w:sz w:val="20"/>
        </w:rPr>
        <w:t xml:space="preserve">, ruled that a requirement that certain health plans cover services without cost sharing violates the Appointments Clause of the U.S. Constitution and that the coverage of certain HIV prevention medication violates the Religious Freedom Restoration Act. The decision was ultimately appealed to the U.S. Supreme Court, which in its June 2025 </w:t>
      </w:r>
      <w:r>
        <w:rPr>
          <w:rFonts w:ascii="Times New Roman" w:hAnsi="Times New Roman"/>
          <w:i/>
          <w:color w:val="000000"/>
          <w:sz w:val="20"/>
        </w:rPr>
        <w:t xml:space="preserve">Kennedy v. Braidwood Management </w:t>
      </w:r>
      <w:r>
        <w:rPr>
          <w:rFonts w:ascii="Times New Roman" w:hAnsi="Times New Roman"/>
          <w:color w:val="000000"/>
          <w:sz w:val="20"/>
        </w:rPr>
        <w:t>decision, opined in favor of HIV preventive care coverage. The impact of this decision on us cannot be predicted.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Legislation also contained provisions aimed at reducing fraud and abuse in healthcare. The Legislation amends several existing laws, including the federal Anti-Kickback Statute and the False Claims Act, making it easier for government agencies and private plaintiffs to prevail in lawsuits brought against healthcare providers. While Congress had previously revised the intent requirement of the Anti-Kickback Statute to provide that a person is not required to “have actual knowledge or specific intent to commit a violation of” the Anti-Kickback Statute in order to be found in violation of such law, the Legislation also provides that any claims for items or services that violate the Anti-Kickback Statute are also considered false claims for purposes of the federal civil False Claims Act. The Legislation provides that a healthcare provider that retains an overpayment in excess of 60 days is subject to the federal civil False Claims Act. In December, 2024, CMS changed the standard for identification of an overpayment and now requires the report and return of an overpayment if a provider or supplier has actual knowledge of the existence of an overpayment or acts in reckless disregard or deliberate ignorance of an overpayment. The Legislation also expanded the Recovery Audit Contractor program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to Medicaid. These amendments also make it easier for severe fines and penalties to be imposed on healthcare providers that violate applicable laws and regulations.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partnered with local physicians in the ownership of certain of our facilities. These investments have been permitted under an exception to the physician self-referral law. The Legislation permits existing physician investments in a hospital to continue under a “grandfather” clause if the arrangement satisfies certain requirements and restrictions, but physicians are prohibited from increasing the aggregate percentage of their ownership in the hospital. The Legislation also imposes certain compliance and disclosure requirements upon existing physician-owned hospitals and restricts the ability of physician-owned hospitals to expand the capacity of their facilities. A repeal of the Legislation, in whole or in relevant part, may result in physicians being able to expand ownership interest in hospitals.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to legislative changes, the ACA can be significantly impacted by executive branch actions. The Biden administration had issued executive orders implementing a special enrollment period permitting individuals to enroll in health plans outside of the annual open enrollment period and reexamining policies that may undermine the ACA or the Medicaid program. The American Rescue Plan Act of 2021's expansion of subsidies to purchase coverage through an exchange contributed to increased exchange enrollment in 2021. The Inflation Reduction Act (IRA)’s extension of subsidies through 2025 increased exchange enrollment in years subsequent to 2021. These enhanced subsidies expired on December 31, 2025. It remains unclear what portions of the ACA may remain, or whether any replacement or alternative programs may be created by any future legislation. Any such future repeal or replacement may have significant impact on the reimbursement for healthcare services generally, and may create reimbursement for services competing with the services offered by our hospitals. Accordingly, there can be no assurance that the adoption of any future federal or state healthcare reform legislation will not have a negative financial impact on our hospitals, including their ability to compete with alternative healthcare services funded by such potential legislation, or for our hospitals to receive payment for services. Extension of these subsidies is currently the subject of Congressional debate as part of the federal budget negotiation, and we cannot predict whether these subsidies will ultimately be adopted in federal fiscal year 2026.</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For additional disclosure related to our revenues including a disaggregation of our consolidated net revenues by major source for each of the periods presented herein, please see </w:t>
      </w:r>
      <w:r>
        <w:rPr>
          <w:rFonts w:ascii="Times New Roman" w:hAnsi="Times New Roman"/>
          <w:i/>
          <w:color w:val="000000"/>
          <w:sz w:val="20"/>
        </w:rPr>
        <w:t>Note 10 to the Consolidated Financial Statements-Revenue Recognition</w:t>
      </w:r>
      <w:r>
        <w:rPr>
          <w:rFonts w:ascii="Times New Roman" w:hAnsi="Times New Roman"/>
          <w:color w:val="000000"/>
          <w:sz w:val="20"/>
        </w:rPr>
        <w:t>.</w:t>
      </w:r>
    </w:p>
    <w:p>
      <w:pPr>
        <w:pStyle w:val="TextBody"/>
        <w:bidi w:val="0"/>
        <w:spacing w:before="120" w:after="283"/>
        <w:jc w:val="left"/>
        <w:rPr>
          <w:rFonts w:ascii="Times New Roman" w:hAnsi="Times New Roman"/>
          <w:sz w:val="20"/>
        </w:rPr>
      </w:pPr>
      <w:r>
        <w:rPr>
          <w:rFonts w:ascii="Times New Roman" w:hAnsi="Times New Roman"/>
          <w:b/>
          <w:color w:val="000000"/>
          <w:sz w:val="20"/>
        </w:rPr>
        <w:t>Medicare:</w:t>
      </w:r>
      <w:r>
        <w:rPr>
          <w:rFonts w:ascii="Times New Roman" w:hAnsi="Times New Roman"/>
          <w:color w:val="000000"/>
          <w:sz w:val="20"/>
        </w:rPr>
        <w:t xml:space="preserve"> Medicare is a federal program that provides certain hospital and medical insurance benefits to persons aged 65 and over, some disabled persons and persons with end-stage renal disease. All of our acute care hospitals and many of our behavioral health centers are certified as providers of Medicare services by the appropriate governmental authorities. Amounts received under the Medicare program are generally significantly less than a hospital’s customary charges for services provided. Since a substantial portion of our revenues will come from patients under the Medicare program, our ability to operate our business successfully in the future will depend in large measure on our ability to adapt to changes in this program.</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Under the Medicare program, for inpatient services, our general acute care hospitals receive reimbursement under the inpatient prospective payment system (“IPPS”). Under the IPPS, hospitals are paid a predetermined fixed payment amount for each hospital discharge. The fixed payment amount is based upon each patient’s Medicare severity diagnosis related group (“MS-DRG”). Every MS-DRG is assigned a payment rate based upon the estimated intensity of hospital resources necessary to treat the average patient with that particular diagnosis. The MS-DRG payment rates are based upon historical national average costs and do not consider the actual costs incurred by a hospital in providing care. This MS-DRG assignment also affects the predetermined capital rate paid with each MS-DRG. The MS-DRG and capital payment rates are adjusted annually by the predetermined geographic adjustment factor for the geographic region in which a particular hospital is located and are weighted based upon a statistically normal distribution of severity. While we generally will not receive payment from Medicare for inpatient services, other than the MS-DRG payment, a hospital may qualify for an “outlier” payment if a particular patient’s treatment costs are extraordinarily high and exceed a specified threshold. MS-DRG rates are adjusted by an update factor each federal fiscal year, which begins on October 1. The index used to adjust the MS-DRG rates, known as the “hospital market basket index,” gives consideration to the inflation experienced by hospitals in purchasing goods and services. Generally, however, the percentage increases in the MS-DRG payments have been lower than the projected increase in the cost of goods and services purchased by hospitals.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July, 2025, CMS published its IPPS 2026 final payment rule which provides for a 3.3% market basket increase to the base Medicare MS-DRG blended rate. When statutorily mandated budget neutrality factors, annual geographic wage index updates, documenting and coding adjustments, and adjustments mandated by the Legislation are considered (including a -0.7% productivity adjustment offset), without consideration for the required Medicare DSH payments changes and increase to the Medicare Outlier threshold, the overall increase in IPPS payments is approximately 1.0%. Instead of applying a state-level rural floor budget neutrality adjustment to the wage index, the final rule has applied a uniform, national budget neutrality adjustment to the FY 2026 wage index for the rural floor. Nevada will be subject to a 5.0% reduction in the wage index adjustment as a result of a decrease in the wage index rural floor in that state. Including DSH payments, a decrease to the Medicare Outlier threshold and certain other adjustments, we estimate our overall increase from the final IPPS 2026 rule (covering the period of October 1, 2025 through September 30, 2026) will approximate 2.7%.</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August, 2024, CMS published its IPPS 2025 final payment rule which provides for a 2.9% market basket increase to the base Medicare MS-DRG blended rate. When statutorily mandated budget neutrality factors, annual geographic wage index updates,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documenting and coding adjustments, and adjustments mandated by the Legislation are considered, without consideration for the required Medicare DSH payments changes and increase to the Medicare Outlier threshold, the overall increase in IPPS payments is approximately 1.8%. Including DSH payments, an increase to the Medicare Outlier threshold and certain other adjustments, we estimate our overall increase from the final IPPS 2025 rule (covering the period of October 1, 2024 through September 30, 2025) will approximate 1.2%.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August, 2023, CMS published its IPPS 2024 final payment rule which provides for a 3.1% market basket increase to the base Medicare MS-DRG blended rate. When statutorily mandated budget neutrality factors, annual geographic wage index updates (including a change in the Medicare Rural Floor calculation), documenting and coding adjustments, and adjustments mandated by the Legislation are considered, without consideration for the required Medicare DSH payments changes and increase to the Medicare Outlier threshold, the overall increase in IPPS payments is approximately 6.6%. Including DSH payments, an increase to the Medicare Outlier threshold and certain other adjustments, we estimate our overall increase from the final IPPS 2024 rule (covering the period of October 1, 2023 through September 30, 2024) will approximate 5.4%.</w:t>
      </w:r>
    </w:p>
    <w:p>
      <w:pPr>
        <w:pStyle w:val="TextBody"/>
        <w:bidi w:val="0"/>
        <w:spacing w:before="120" w:after="283"/>
        <w:jc w:val="left"/>
        <w:rPr>
          <w:rFonts w:ascii="Times New Roman" w:hAnsi="Times New Roman"/>
          <w:sz w:val="20"/>
        </w:rPr>
      </w:pPr>
      <w:r>
        <w:rPr>
          <w:rFonts w:ascii="Times New Roman" w:hAnsi="Times New Roman"/>
          <w:color w:val="000000"/>
          <w:sz w:val="20"/>
        </w:rPr>
        <w:t>In June, 2019, the Supreme Court of the United States issued a decision favorable to hospitals impacting prior year Medicare DSH payments (</w:t>
      </w:r>
      <w:r>
        <w:rPr>
          <w:rFonts w:ascii="Times New Roman" w:hAnsi="Times New Roman"/>
          <w:i/>
          <w:color w:val="000000"/>
          <w:sz w:val="20"/>
        </w:rPr>
        <w:t>Azar v. Allina Health Services</w:t>
      </w:r>
      <w:r>
        <w:rPr>
          <w:rFonts w:ascii="Times New Roman" w:hAnsi="Times New Roman"/>
          <w:color w:val="000000"/>
          <w:sz w:val="20"/>
        </w:rPr>
        <w:t xml:space="preserve">, No. 17-1484 (U.S. Jun. 3, 2019)). In </w:t>
      </w:r>
      <w:r>
        <w:rPr>
          <w:rFonts w:ascii="Times New Roman" w:hAnsi="Times New Roman"/>
          <w:i/>
          <w:color w:val="000000"/>
          <w:sz w:val="20"/>
        </w:rPr>
        <w:t>Allina</w:t>
      </w:r>
      <w:r>
        <w:rPr>
          <w:rFonts w:ascii="Times New Roman" w:hAnsi="Times New Roman"/>
          <w:color w:val="000000"/>
          <w:sz w:val="20"/>
        </w:rPr>
        <w:t>, the hospitals challenged the Medicare DSH adjustments for federal fiscal year 2012, specifically challenging CMS’s decision to include inpatient hospital days attributable to Medicare Part C enrollee patients in the numerator and denominator of the Medicare/SSI fraction used to calculate a hospital’s DSH payments. This ruling addresses CMS’s attempts to impose the policy espoused in its vacated 2004 rulemaking to a fiscal year in the 2004–2013 time period without using notice-and-comment rulemaking. This decision should require CMS to recalculate hospitals’ DSH Medicare/SSI fractions, with Medicare Part C days excluded, for at least federal fiscal year 2012, but likely federal fiscal years 2005 through 2013. In August, 2020, CMS issued a rule that proposed to retroactively negate the effects of the aforementioned Supreme Court decision, which rule has yet to be finalized. Although we can provide no assurance that we will ultimately receive additional funds, we estimate that the favorable impact of this court ruling on certain prior year hospital Medicare DSH payments could range between $18 million to $28 million in the aggregate.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2011 Act included the imposition of annual spending limits for most federal agencies and programs aimed at reducing budget deficits by $917 billion between 2012 and 2021, according to a report released by the Congressional Budget Office. Among its other provisions, the law established a bipartisan Congressional committee, known as the Joint Committee, which was responsible for developing recommendations aimed at reducing future federal budget deficits by an additional $1.5 trillion over 10 years. The Joint Committee was unable to reach an agreement by the November 23, 2011 deadline and, as a result, across-the-board cuts to discretionary, national defense and Medicare spending were implemented on March 1, 2013 resulting in Medicare payment reductions of up to 2% per fiscal year. Subsequent legislation has extended this sequestration through 2032. The CARES Act, as amended, temporarily suspended or limited the application of this sequestration from May 1, 2020 through June 30, 2022, with a return to the full 2% Medicare payment reduction thereafter.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Inpatient services furnished by psychiatric hospitals under the Medicare program are paid under a Psychiatric Prospective Payment System (“Psych PPS”). Medicare payments to psychiatric hospitals are based on a prospective per diem rate with adjustments to account for certain facility and patient characteristics. The Psych PPS also contains provisions for outlier payments and an adjustment to a psychiatric hospital’s base payment if it maintains a full-service emergency department.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August, 2025, CMS published its Psych PPS final rule for the federal fiscal year 2026. Under this final rule, payments to our behavioral health care hospitals and units from the market basket update are estimated to increase by 2.5% compared to federal fiscal year 2025. This amount includes the effect of the 3.2% net market basket update which reflects the offset of a 0.7% productivity adjustment. When all of the final patient level adjustments described below as well as proposed wage index values are considered, we estimate that Psych PPS payments will increase by 1.7% in FFY 2026.</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July, 2024, CMS published its Psych PPS final rule for the federal fiscal year 2025. Under this final rule, payments to our behavioral health care hospitals and units from the market basket update are estimated to increase by 2.8% compared to federal fiscal year 2024. This amount includes the effect of the 3.3% net market basket update which reflects the offset of a 0.5% productivity adjustment. When all of the final patient level adjustments described below as well as proposed wage index values are considered, we estimate that Psych PPS payments will increase by 2.1% in FFY 2025.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to the market basket update noted above, CMS will make the following changes: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Revisions to the methodology for determining the payment rates under the Inpatient Psychiatric Facility ("IPF") PPS for psychiatric hospitals and psychiatric units based on a review of the data and information collected in prior years in accordance with section 1886(s)(5)(A) of the Social Security Act, as added by the Consolidated Appropriations Act of 2023 ("CAA of 2023"). CMS finalized revisions to the IPF patient-level adjustment factors. The patient-level adjustments include Medicare Severity Diagnosis Related Groups (MS–DRGs) assignment of the patient’s principal diagnosis, selected comorbidities, patient age, and the variable per diem adjustments;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Implement these revisions in a budget-neutral manner (that is, estimated payments to IPFs for FFY 2025 would be the same with or without the final revisions), and;</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Clarified the criteria regarding all-inclusive cost reporting. This clarification requires our behavioral health care hospitals, which are currently utilizing an all-inclusive charging practice, to modify both their billing practices and information technology applications by June 1, 2025 to ensure compliance with future regulations. We are in compliance with this CMS billing requirement.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This final rule also includes two requests for information on future revisions to the IPF PPS facility-level adjustment factors and development of the new standardized IPF Patient Assessment Instrument, required by the CAA of 2023, which IPFs participating in the IPF Quality Reporting Program will be required to report for Rate Year 2028.</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July, 2023, CMS published its Psych PPS final rule for the federal fiscal year 2024. Under this final rule, payments to our behavioral health care hospitals and units are estimated to increase by 3.3% compared to federal fiscal year 2023. This amount includes the effect of the 3.5% net market basket update which reflects the offset of a 0.2% productivity adjustment.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November, 2025, CMS issued its OPPS final rule for 2026. The hospital market basket increase is 3.3% and the productivity adjustment reduction is 0.7% for a net market basket increase of 2.6%. When other statutorily required adjustments (including a 0.5% reduction for the 340B remedy discussed below) and hospital patient service mix are considered, we estimate that our overall Medicare OPPS update for 2026 will aggregate to a net increase of 2.0%</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Some key changes in the 2026 OPPS final rule include:</w:t>
      </w:r>
    </w:p>
    <w:p>
      <w:pPr>
        <w:pStyle w:val="TextBody"/>
        <w:bidi w:val="0"/>
        <w:jc w:val="left"/>
        <w:rPr>
          <w:rFonts w:ascii="Times New Roman" w:hAnsi="Times New Roman"/>
          <w:b/>
          <w:i/>
          <w:color w:val="000000"/>
          <w:sz w:val="20"/>
        </w:rPr>
      </w:pPr>
      <w:r>
        <w:rPr>
          <w:rFonts w:ascii="Times New Roman" w:hAnsi="Times New Roman"/>
          <w:b/>
          <w:i/>
          <w:color w:val="000000"/>
          <w:sz w:val="20"/>
        </w:rPr>
        <w:t>340B Remedy Recoupment: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CMS anticipates shortening the 340B Remedy recoupment transition from the previously established 16-year schedule beginning 2027; however the revised duration has not yet been determined. A 2023 CMS final rule had implemented a negative OPPS recoupment adjustment of 0.5 percent for approximately 16 years to offset $7.8 billion paid to hospitals for non-drug OPPS payments between 2018 and 2022 – following the US Supreme Court decision overturning the Trump Administration’s 340B reduction policy. CMS will maintain the annual offset of 0.5 percent in CY 2026 with a plan to increase the reduction amount above the 0.5% in CY 2027 and with an unspecified reduction to remain in effect until the estimated payment reduction reaches $7.8 billion. </w:t>
      </w:r>
    </w:p>
    <w:p>
      <w:pPr>
        <w:pStyle w:val="TextBody"/>
        <w:bidi w:val="0"/>
        <w:spacing w:before="120" w:after="283"/>
        <w:jc w:val="left"/>
        <w:rPr>
          <w:rFonts w:ascii="Times New Roman" w:hAnsi="Times New Roman"/>
          <w:sz w:val="20"/>
        </w:rPr>
      </w:pPr>
      <w:r>
        <w:rPr>
          <w:rFonts w:ascii="Times New Roman" w:hAnsi="Times New Roman"/>
          <w:b/>
          <w:i/>
          <w:color w:val="000000"/>
          <w:sz w:val="20"/>
        </w:rPr>
        <w:t>Eliminating the Inpatient Only (IPO) List: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CMS will phase out the IPO list over a 3-year period, beginning with removing 285 mostly musculoskeletal procedures for CY 2026. Procedures removed from the IPO list would be exempted from certain medical review activities related to the two-midnight policy for CY 2026 and subsequent years until CMS determines the service or procedure is more commonly performed in the Medicare population in the outpatient setting. For CY 2026, the Company expects the impact to be immaterial. For CY’s 2027 and later, the estimated potential financial impact to the Company cannot be determined until future CMS rulemaking process related to changes in the IPO list occurs.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On November 2, 2023, in light of the Supreme Court’s decision in </w:t>
      </w:r>
      <w:r>
        <w:rPr>
          <w:rFonts w:ascii="Times New Roman" w:hAnsi="Times New Roman"/>
          <w:i/>
          <w:color w:val="000000"/>
          <w:sz w:val="20"/>
        </w:rPr>
        <w:t>American Hospital Association v. Becerra</w:t>
      </w:r>
      <w:r>
        <w:rPr>
          <w:rFonts w:ascii="Times New Roman" w:hAnsi="Times New Roman"/>
          <w:color w:val="000000"/>
          <w:sz w:val="20"/>
        </w:rPr>
        <w:t xml:space="preserve"> (142 S. Ct. 1896 (2022)) and the district court’s remand to the agency, CMS issued a final rule outlining the remedy for the 340B-acquired drug payment policy for calendar years 2018-2022. CMS published the final rule to remedy the payment rates the Court held were invalid aspects of their past policy and will affect nearly all hospitals paid under the OPPS. As part of the final remedy, CMS will make an adjustment to the update factor to maintain budget neutrality as required by statute. CMS finalized the 340B policy for calendar year 2018 in 2017 in a budget neutral manner that included increasing payments for non-drug items and services; this payment increase was in effect from calendar years 2018 through 2022. CMS estimates that hospitals were paid $7.8 billion more for non-drug items and services during this time period than they would have been paid in the absence of the 340B payment policy. Because CMS is now making additional payments to affected 340B covered entity hospitals to pay them what they would have been paid had the 340B policy never been implemented, CMS will make a corresponding offset to maintain budget neutrality as if the 340B payment policy had never been in effect. To carry out this required $7.8 billion budget neutrality adjustment, CMS will reduce future non-drug item and service payments by adjusting the OPPS conversion factor by minus 0.5% starting in calendar year 2026 and continuing for an estimated 16 years. However, as discussed above and as noted in the 2026 OPPS final rule, CMS is likely to shorten the recovery period of the $7.8 billion to less than 17 years starting in calendar year 2027 to a currently unspecified reduction to non-drug item and service payments.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November, 2024, CMS issued its OPPS final rule for 2025. The hospital market basket increase is 3.4% and the productivity adjustment reduction is 0.5% for a net market basket increase of 2.9%. When other statutorily required adjustments and hospital patient service mix are considered, including a 14.2% increase to the partial hospitalization rate, we estimate that our overall Medicare OPPS update for 2025 will aggregate to a net increase of 3.6%.</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November, 2023, CMS issued its OPPS final rule for 2024. The hospital market basket increase is 3.3% and the productivity adjustment reduction is 0.2% for a net market basket increase of 3.1%. When other statutorily required adjustments and hospital patient service mix are considered, we estimate that our overall Medicare OPPS update for 2024 will aggregate to a net increase of 9.7%. This percentage reflects the impact resulting from rural floor changes to the Medicare wage index adjustment factor where certain states, such as California and Nevada, will materially benefit from this change.</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November, 2019, CMS finalized its Hospital Price Transparency rule that implements certain requirements under the June 24, 2019 Presidential Executive Order related to Improving Price and Quality Transparency in American Healthcare to Put Patients First. Under this final rule, effective January 1, 2021, CMS will require: hospitals to make public: (1) their standard changes (both gross charges and payer-specific negotiated charges) for all items and services online in a machine-readable format, and; (2) standard charge data for a limited set of “shoppable services” the hospital provides in a form and manner that is more consumer friendly. On November 2, 2021, CMS released a final rule increasing the monetary penalty that CMS can impose on hospitals that fail to comply with the price transparency requirements. We believe that our hospitals are in full compliance with the applicable federal regulations. In November, 2023, CMS finalized multiple provisions, effective as of January 1, 2024, focused on increasing hospital price transparency and compliance enforcement including but not limited to: (1) standard charges data would be posted online using a CMS template, instead of using the hospital’s own form/format; (2) all standard charge information would be encoded with a specified set of data elements (e.g., hospital name; license number; payer/plan name; description of service; billing codes, among others); (3) other technical changes related to increasing consumers’ automated accessibility to hospital standard charges, and; (4) certifications regarding accuracy of standard charge data and related compliance warning notices from CMS and requiring accessibility to health system leadership regarding transparency noncompliance.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September, 2024, the Departments of Labor, Health and Human Services and the Treasury published final rules that: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Mandate that insurers analyze the outcomes of their coverage to ensure there's equivalent access to mental health care, including provider networks, prior authorization rates and payment for out-of-network providers, and take action to get in compliance;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Establish when health plans can’t use prior authorization or other tactics to make it more difficult to access mental health and substance use treatment,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Require additional insurers to comply with the 2008 Mental Health Parity and Addiction Equity Act.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While these rules will likely improve patient access to inpatient and outpatient mental health services, we are unable to estimate the related potential impact on our results of operations.</w:t>
      </w:r>
    </w:p>
    <w:p>
      <w:pPr>
        <w:pStyle w:val="TextBody"/>
        <w:bidi w:val="0"/>
        <w:spacing w:before="120" w:after="283"/>
        <w:jc w:val="left"/>
        <w:rPr>
          <w:rFonts w:ascii="Times New Roman" w:hAnsi="Times New Roman"/>
          <w:sz w:val="20"/>
        </w:rPr>
      </w:pPr>
      <w:r>
        <w:rPr>
          <w:rFonts w:ascii="Times New Roman" w:hAnsi="Times New Roman"/>
          <w:b/>
          <w:i/>
          <w:color w:val="000000"/>
          <w:sz w:val="20"/>
        </w:rPr>
        <w:t>Medicare Advantage Payment Annual Update: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January 26, 2026, CMS released the calendar year 2027 ("CY 2027") Advance Notice of Methodological Changes for Medicare Advantage (“MA”) Capitation Rates ("Advance Notice"). The proposed policies in the CY 2027 Advance Notice are projected to result in a net average year-over-year payment increase of 0.09% in MA payments to plans in CY 2027. When considering estimated risk score trend in MA driven by coding practices and population changes, the expected average change in payments will be 2.54%. For CY 2027, CMS expects the MA risk scores to increase, on average, by 2.45% due to the underlying coding trend. The CY 2027 rate announcement will be published no later than April 6, 2026.</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April, 2025, the CMS released the calendar year 2026 ("CY 2026") rate announcement for the MA that finalizes the payment policies for this program. Payments from the government to MA plans are expected to increase on average by 5.06% from 2025 to 2026 excluding the CMS estimate of Medicare Advantage risk score trend. This change represents an increase of 2.83% since the CY 2026 announcement, which is largely attributable to an increase in the effective growth rate.</w:t>
      </w:r>
    </w:p>
    <w:p>
      <w:pPr>
        <w:pStyle w:val="TextBody"/>
        <w:bidi w:val="0"/>
        <w:spacing w:before="120" w:after="283"/>
        <w:jc w:val="left"/>
        <w:rPr>
          <w:rFonts w:ascii="Times New Roman" w:hAnsi="Times New Roman"/>
          <w:sz w:val="20"/>
        </w:rPr>
      </w:pPr>
      <w:r>
        <w:rPr>
          <w:rFonts w:ascii="Times New Roman" w:hAnsi="Times New Roman"/>
          <w:b/>
          <w:color w:val="000000"/>
          <w:sz w:val="20"/>
        </w:rPr>
        <w:t>Medicaid</w:t>
      </w:r>
      <w:r>
        <w:rPr>
          <w:rFonts w:ascii="Times New Roman" w:hAnsi="Times New Roman"/>
          <w:color w:val="000000"/>
          <w:sz w:val="20"/>
        </w:rPr>
        <w:t>: Medicaid is a joint federal-state funded health care benefit program that is administered by the states to provide benefits to qualifying individuals. Most state Medicaid payments are made under a PPS-like system, or under programs that negotiate payment levels with individual hospitals. Amounts received under the Medicaid program are generally significantly less than a hospital’s customary charges for services provided. In addition to revenues received pursuant to the Medicare program, we receive a large portion of our revenues either directly from Medicaid programs or from managed care companies managing Medicaid. All of our acute care hospitals and most of our behavioral health centers are certified as providers of Medicaid services by the appropriate governmental authorities.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receive revenues from various state and county-based programs, including Medicaid in all the states in which we operate. We receive annual Medicaid revenues of approximately $100 million, or greater, from each of Texas, California, Nevada, Washington, D.C., Illinois, Pennsylvania, Kentucky, Florida, Tennessee, Virginia, Massachusetts, Michigan, Mississippi and Washington. We also receive Medicaid disproportionate share hospital payments in certain states including, most significantly, Texas. Many of these programs have a Medicaid supplemental payment component that are subject to approval on a year-to-year basis and there is no assurance that these supplemental payment revenues will continue at their current rates or at all. We are therefore particularly sensitive to potential reductions in Medicaid and other state-based revenue programs as well as regulatory, economic, environmental and competitive changes in those states. We can provide no assurance that reductions to revenues earned pursuant to these programs, particularly in the above-mentioned states, will not have a material adverse effect on our future results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Legislation substantially increases the federally and state-funded Medicaid insurance program, and authorizes states to establish federally subsidized non-Medicaid health plans for low-income residents not eligible for Medicaid starting in 2014. However, the Supreme Court has struck down portions of the Legislation requiring states to expand their Medicaid programs in exchange for increased federal funding. Accordingly, many states in which we operate have not expanded Medicaid coverage to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individuals at 133% of the federal poverty level. Facilities in states not opting to expand Medicaid coverage under the Legislation may be additionally penalized by corresponding reductions to Medicaid disproportionate share hospital payments beginning in fiscal year 2024, as discussed below. We can provide no assurance that further reductions to Medicaid revenues, particularly in the above-mentioned states, will not have a material adverse effect on our future results of operations.</w:t>
      </w:r>
    </w:p>
    <w:p>
      <w:pPr>
        <w:pStyle w:val="TextBody"/>
        <w:bidi w:val="0"/>
        <w:spacing w:before="120" w:after="283"/>
        <w:jc w:val="left"/>
        <w:rPr>
          <w:rFonts w:ascii="Times New Roman" w:hAnsi="Times New Roman"/>
          <w:sz w:val="20"/>
        </w:rPr>
      </w:pPr>
      <w:r>
        <w:rPr>
          <w:rFonts w:ascii="Times New Roman" w:hAnsi="Times New Roman"/>
          <w:b/>
          <w:i/>
          <w:color w:val="000000"/>
          <w:sz w:val="20"/>
        </w:rPr>
        <w:t>Summary of Various State Medicaid Supplemental Payment Programs:</w:t>
      </w:r>
      <w:r>
        <w:rPr>
          <w:rFonts w:ascii="Times New Roman" w:hAnsi="Times New Roman"/>
          <w:color w:val="000000"/>
          <w:sz w:val="20"/>
        </w:rPr>
        <w:t xml:space="preserve">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As noted elsewhere herein, the OBBBA has specific legislative language that will reduce Medicaid supplemental payments as well as limit Provider Taxes used by states to finance the non-federal share of Medicaid supplemental payments. The following table summarizes the revenues, healthcare provider taxes (“Provider Taxes”) and net benefit related to each of the below-mentioned Medicaid supplemental programs for the years ended December 31, 2025 and 2024. The Provider Taxes are recorded in other operating expenses on the consolidated statements of income, as included herein. The "Estimated 2026" amounts reflected on the table below are, in many cases, subject to federal and potentially state approval and may be affected by any reductions or other changes in federal funding for these programs. </w:t>
      </w:r>
    </w:p>
    <w:tbl>
      <w:tblPr>
        <w:tblW w:w="8213" w:type="dxa"/>
        <w:jc w:val="left"/>
        <w:tblInd w:w="0" w:type="dxa"/>
        <w:tblLayout w:type="fixed"/>
        <w:tblCellMar>
          <w:top w:w="28" w:type="dxa"/>
          <w:left w:w="28" w:type="dxa"/>
          <w:bottom w:w="28" w:type="dxa"/>
          <w:right w:w="28" w:type="dxa"/>
        </w:tblCellMar>
      </w:tblPr>
      <w:tblGrid>
        <w:gridCol w:w="4876"/>
        <w:gridCol w:w="330"/>
        <w:gridCol w:w="900"/>
        <w:gridCol w:w="166"/>
        <w:gridCol w:w="211"/>
        <w:gridCol w:w="571"/>
        <w:gridCol w:w="166"/>
        <w:gridCol w:w="211"/>
        <w:gridCol w:w="571"/>
        <w:gridCol w:w="211"/>
      </w:tblGrid>
      <w:tr>
        <w:trPr/>
        <w:tc>
          <w:tcPr>
            <w:tcW w:w="4876"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8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6"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(amounts in millions)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Estimated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u w:val="single"/>
              </w:rPr>
            </w:pPr>
            <w:r>
              <w:rPr>
                <w:rFonts w:ascii="Times New Roman" w:hAnsi="Times New Roman"/>
                <w:b/>
                <w:color w:val="000000"/>
                <w:sz w:val="20"/>
                <w:u w:val="single"/>
              </w:rPr>
              <w:t>Texas Supplemental Payment Programs:</w:t>
            </w:r>
          </w:p>
        </w:tc>
        <w:tc>
          <w:tcPr>
            <w:tcW w:w="123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Revenues</w:t>
            </w:r>
          </w:p>
        </w:tc>
        <w:tc>
          <w:tcPr>
            <w:tcW w:w="3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Provider Taxes</w:t>
            </w:r>
          </w:p>
        </w:tc>
        <w:tc>
          <w:tcPr>
            <w:tcW w:w="3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8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benefit</w:t>
            </w:r>
          </w:p>
        </w:tc>
        <w:tc>
          <w:tcPr>
            <w:tcW w:w="3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8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u w:val="single"/>
              </w:rPr>
            </w:pPr>
            <w:r>
              <w:rPr>
                <w:rFonts w:ascii="Times New Roman" w:hAnsi="Times New Roman"/>
                <w:b/>
                <w:color w:val="000000"/>
                <w:sz w:val="20"/>
                <w:u w:val="single"/>
              </w:rPr>
              <w:t>Nevada SDP:</w:t>
            </w:r>
          </w:p>
        </w:tc>
        <w:tc>
          <w:tcPr>
            <w:tcW w:w="123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Revenues</w:t>
            </w:r>
          </w:p>
        </w:tc>
        <w:tc>
          <w:tcPr>
            <w:tcW w:w="3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Provider Taxes</w:t>
            </w:r>
          </w:p>
        </w:tc>
        <w:tc>
          <w:tcPr>
            <w:tcW w:w="3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8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benefit</w:t>
            </w:r>
          </w:p>
        </w:tc>
        <w:tc>
          <w:tcPr>
            <w:tcW w:w="3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8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u w:val="single"/>
              </w:rPr>
            </w:pPr>
            <w:r>
              <w:rPr>
                <w:rFonts w:ascii="Times New Roman" w:hAnsi="Times New Roman"/>
                <w:b/>
                <w:color w:val="000000"/>
                <w:sz w:val="20"/>
                <w:u w:val="single"/>
              </w:rPr>
              <w:t>Various Other State Programs:</w:t>
            </w:r>
          </w:p>
        </w:tc>
        <w:tc>
          <w:tcPr>
            <w:tcW w:w="123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Revenues</w:t>
            </w:r>
          </w:p>
        </w:tc>
        <w:tc>
          <w:tcPr>
            <w:tcW w:w="3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Provider Taxes</w:t>
            </w:r>
          </w:p>
        </w:tc>
        <w:tc>
          <w:tcPr>
            <w:tcW w:w="3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8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benefit</w:t>
            </w:r>
          </w:p>
        </w:tc>
        <w:tc>
          <w:tcPr>
            <w:tcW w:w="3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564</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8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u w:val="single"/>
              </w:rPr>
            </w:pPr>
            <w:r>
              <w:rPr>
                <w:rFonts w:ascii="Times New Roman" w:hAnsi="Times New Roman"/>
                <w:b/>
                <w:color w:val="000000"/>
                <w:sz w:val="20"/>
                <w:u w:val="single"/>
              </w:rPr>
              <w:t>Subtotal-Provider Tax Programs:</w:t>
            </w:r>
          </w:p>
        </w:tc>
        <w:tc>
          <w:tcPr>
            <w:tcW w:w="123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Revenues</w:t>
            </w:r>
          </w:p>
        </w:tc>
        <w:tc>
          <w:tcPr>
            <w:tcW w:w="3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Provider Taxes</w:t>
            </w:r>
          </w:p>
        </w:tc>
        <w:tc>
          <w:tcPr>
            <w:tcW w:w="3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8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Aggregate net benefit from Provider Tax Programs</w:t>
            </w:r>
          </w:p>
        </w:tc>
        <w:tc>
          <w:tcPr>
            <w:tcW w:w="3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963</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8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u w:val="single"/>
              </w:rPr>
            </w:pPr>
            <w:r>
              <w:rPr>
                <w:rFonts w:ascii="Times New Roman" w:hAnsi="Times New Roman"/>
                <w:b/>
                <w:color w:val="000000"/>
                <w:sz w:val="20"/>
                <w:u w:val="single"/>
              </w:rPr>
              <w:t>Texas, Nevada and South Carolina DSH/SPA Programs:</w:t>
            </w:r>
          </w:p>
        </w:tc>
        <w:tc>
          <w:tcPr>
            <w:tcW w:w="123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7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Revenues</w:t>
            </w:r>
          </w:p>
        </w:tc>
        <w:tc>
          <w:tcPr>
            <w:tcW w:w="3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7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Provider Taxes</w:t>
            </w:r>
          </w:p>
        </w:tc>
        <w:tc>
          <w:tcPr>
            <w:tcW w:w="3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87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Net benefit</w:t>
            </w:r>
          </w:p>
        </w:tc>
        <w:tc>
          <w:tcPr>
            <w:tcW w:w="3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8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u w:val="single"/>
              </w:rPr>
            </w:pPr>
            <w:r>
              <w:rPr>
                <w:rFonts w:ascii="Times New Roman" w:hAnsi="Times New Roman"/>
                <w:b/>
                <w:color w:val="000000"/>
                <w:sz w:val="20"/>
                <w:u w:val="single"/>
              </w:rPr>
              <w:t>Total Supplemental Medicaid Programs:</w:t>
            </w:r>
          </w:p>
        </w:tc>
        <w:tc>
          <w:tcPr>
            <w:tcW w:w="123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7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Revenues</w:t>
            </w:r>
          </w:p>
        </w:tc>
        <w:tc>
          <w:tcPr>
            <w:tcW w:w="3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7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Provider Taxes</w:t>
            </w:r>
          </w:p>
        </w:tc>
        <w:tc>
          <w:tcPr>
            <w:tcW w:w="3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8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Aggregate net benefit from all Supplemental Programs</w:t>
            </w:r>
          </w:p>
        </w:tc>
        <w:tc>
          <w:tcPr>
            <w:tcW w:w="3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1,016</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b/>
          <w:i/>
          <w:color w:val="000000"/>
          <w:sz w:val="20"/>
          <w:u w:val="single"/>
        </w:rPr>
      </w:pPr>
      <w:r>
        <w:rPr>
          <w:rFonts w:ascii="Times New Roman" w:hAnsi="Times New Roman"/>
          <w:b/>
          <w:i/>
          <w:color w:val="000000"/>
          <w:sz w:val="20"/>
          <w:u w:val="single"/>
        </w:rPr>
        <w:t>Texas Supplemental Payment Programs: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Certain of our acute care hospitals located in various counties of Texas participate in Medicaid supplemental payment Section 1115 Waiver indigent care programs. The 1115 Waiver has been approved by CMS through September 30, 2030. These hospitals also have affiliation agreements with third-party hospitals to provide free hospital and physician care to qualifying indigent residents of these counties. Our hospitals receive both supplemental payments from the Medicaid program and indigent care payments from third-party, affiliated hospitals. The supplemental payments are contingent on the county or hospital district making an Inter-Governmental Transfer (“IGT”) to the state Medicaid program while the indigent care payment is contingent on a transfer of funds from the applicable affiliated hospitals. However, the county or hospital district is prohibited from entering into an agreement to condition any IGT on the amount of any private hospital’s indigent care obligation.</w:t>
      </w:r>
    </w:p>
    <w:p>
      <w:pPr>
        <w:pStyle w:val="TextBody"/>
        <w:bidi w:val="0"/>
        <w:spacing w:before="120" w:after="283"/>
        <w:jc w:val="left"/>
        <w:rPr>
          <w:rFonts w:ascii="Times New Roman" w:hAnsi="Times New Roman"/>
          <w:b/>
          <w:i/>
          <w:color w:val="000000"/>
          <w:sz w:val="20"/>
          <w:u w:val="single"/>
        </w:rPr>
      </w:pPr>
      <w:r>
        <w:rPr>
          <w:rFonts w:ascii="Times New Roman" w:hAnsi="Times New Roman"/>
          <w:b/>
          <w:i/>
          <w:color w:val="000000"/>
          <w:sz w:val="20"/>
          <w:u w:val="single"/>
        </w:rPr>
        <w:t>CHIRP (including QIF)</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August 1, 2022, CMS approved the Comprehensive Hospital Increase Reimbursement Program ("CHIRP"), with a pool of $5.2 billion, for the rate period effective September 1, 2022 to August 31, 2023. On July 31, 2023, CMS approved the CHIRP program, with a pool of $6.5 billion, for the rate period of September 1, 2023 to August 31, 2024. On September 13, 2024, CMS approved the CHIRP program with a pool of $6.5 billion for the rate period September 1, 2024 to August 31, 2025 (with an amended CMS approval on October 1, 2024). A CHIRP preprint for the rate period September 1, 2025 to August 31, 2026 was approved by CMS in August, 2025 with a pool size of $9.2 billion. This program is estimated to increase reimbursement to our hospitals by approximately $20 million to $23 million in program year 2026.</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January 26, 2024, the Texas Health and Human Services Commission ("THHSC") issued a final rule that will modify the CHIRP payments beginning with the State Fiscal Year (SFY) 2025 rate period to promote the advancement of the quality goals and strategies the program is designed to advance.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final modifications include: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Creation of a new pay-for-performance incentive payment through a third component in CHIRP, the Alternate Participating Hospital Reimbursement for Improving Quality Award ("APHRIQA"). For state fiscal years beginning with SFY 2025, behavioral health hospitals and rural hospitals will not be included in the pay-for-performance program,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funds for payment of the APHRIQA component will be transitioned from the existing uniform rate increase components of the Uniform Hospital Rate Increase Percentage and the Average Commercial Incentive Award and will be paid using a scorecard that directs managed care organizations to pay providers for performance achievements on quality outcome measures. Payments will be distributed under APHRIQA on a semi-annual basis that aligns with the measurement period determined for quality metrics reporting.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CHIRP payment levels could be reduced materially if our hospitals are not able meet the required APHRIQA pay-for-performance metrics.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connection with the Quality Incentive Fund (“QIF”), the results of operations of certain of our acute care hospitals located in Texas included aggregate revenues of $32 million and $50 million during the years ended December 31, 2025 and 2024, respectively. These amounts were earned pursuant to contract terms with various Medicaid managed care plans which requires the annual payout of QIF funds when a managed care service delivery area’s actual claims-based CHIRP payments are less than targeted CHIRP payments for a specific rate year.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estimate that these hospitals will be entitled to approximately $18 million of aggregate QIF revenues during the year ended December 31, 2026.</w:t>
      </w:r>
    </w:p>
    <w:p>
      <w:pPr>
        <w:pStyle w:val="TextBody"/>
        <w:bidi w:val="0"/>
        <w:spacing w:before="120" w:after="283"/>
        <w:jc w:val="left"/>
        <w:rPr>
          <w:rFonts w:ascii="Times New Roman" w:hAnsi="Times New Roman"/>
          <w:b/>
          <w:i/>
          <w:color w:val="000000"/>
          <w:sz w:val="20"/>
          <w:u w:val="single"/>
        </w:rPr>
      </w:pPr>
      <w:r>
        <w:rPr>
          <w:rFonts w:ascii="Times New Roman" w:hAnsi="Times New Roman"/>
          <w:b/>
          <w:i/>
          <w:color w:val="000000"/>
          <w:sz w:val="20"/>
          <w:u w:val="single"/>
        </w:rPr>
        <w:t>UC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Included in these provider tax programs are reimbursements received in connection with the Texas Uncompensated Care program ("UC"). The size and distribution of the UC pool are determined based on charity care costs reported to THHSC in accordance with Medicare cost report Worksheet S-10 principles.</w:t>
      </w:r>
    </w:p>
    <w:p>
      <w:pPr>
        <w:pStyle w:val="TextBody"/>
        <w:bidi w:val="0"/>
        <w:spacing w:before="120" w:after="283"/>
        <w:jc w:val="left"/>
        <w:rPr>
          <w:rFonts w:ascii="Times New Roman" w:hAnsi="Times New Roman"/>
          <w:b/>
          <w:i/>
          <w:color w:val="000000"/>
          <w:sz w:val="20"/>
          <w:u w:val="single"/>
        </w:rPr>
      </w:pPr>
      <w:r>
        <w:rPr>
          <w:rFonts w:ascii="Times New Roman" w:hAnsi="Times New Roman"/>
          <w:b/>
          <w:i/>
          <w:color w:val="000000"/>
          <w:sz w:val="20"/>
          <w:u w:val="single"/>
        </w:rPr>
        <w:t>HARP</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September 24, 2021, THHSC finalized New Fee-for-Service Supplemental Payment Program: Hospital Augmented Reimbursement Program (“HARP”) to be effective October 1, 2021. The HARP program continues the financial transition for providers who have historically participated in the Delivery System Reform Incentive Payment program described below. The program, which was approved by CMS on August 15, 2023, will provide additional funding to hospitals to help offset the cost hospitals incur while providing Medicaid services. HARP is technically a Medicaid Upper Payment Limit as payment under this program is based on a reasonable estimate of the amount that would be paid for the services under Medicare payment principles but is referred to as HARP by THHSC.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connection with this program, included in our results of operations was approximately $23 million and $43 million during the years ended December 31, 2025 and 2024, respectively. Approximately $16 million of the amount recorded during 2024 was applicable to the period of October 1, 2022 through September 30, 2023.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expect our net reimbursements pursuant to HARP to approximate $19 million during the year ended December 31, 2026.</w:t>
      </w:r>
    </w:p>
    <w:p>
      <w:pPr>
        <w:pStyle w:val="TextBody"/>
        <w:bidi w:val="0"/>
        <w:spacing w:before="120" w:after="283"/>
        <w:jc w:val="left"/>
        <w:rPr>
          <w:rFonts w:ascii="Times New Roman" w:hAnsi="Times New Roman"/>
          <w:b/>
          <w:i/>
          <w:color w:val="000000"/>
          <w:sz w:val="20"/>
          <w:u w:val="single"/>
        </w:rPr>
      </w:pPr>
      <w:r>
        <w:rPr>
          <w:rFonts w:ascii="Times New Roman" w:hAnsi="Times New Roman"/>
          <w:b/>
          <w:i/>
          <w:color w:val="000000"/>
          <w:sz w:val="20"/>
          <w:u w:val="single"/>
        </w:rPr>
        <w:t>Nevada State Directed Payment Program ("SDP"):</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previously reported, in February, 2023, the Nevada Division of Health Care Financing and Policy (“DHCFP”) outlined a new provider fee on private hospitals located in Nevada that would effectively capture new Medicaid federal share for certain categories of services eligible for the new payment program. In late December, 2023, CMS approved the Medicaid managed care component of the Nevada SDP program, with an effective date of January 1, 2024. In November 2024, CMS approved an increased assessment rate which funded an increase in the SDP pool size covering the period of July 1, 2024 through December 31, 2024. Payments made pursuant to this component of the Nevada SDP program, which requires annual approval by CMS, are subject to reconciliation by DHCFP based on actual Medicaid managed care utilization during 2024. There can be no assurance that the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60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Medicaid managed care component of the Nevada SDP will continue for any period after December 31, 2025, or that it will not be modified. The Nevada SDP (as revised in February, 2026) for the period of January 1, 2025 through December 31, 2025 has been approved by CMS.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connection with this program, included in our results of operations was approximately $228 million and $194 million recorded during the years ended December 31, 2025 and 2024, respectively.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estimate that our aggregate net reimbursements pursuant to both components of the Nevada SDP program (net of related provider taxes) will approximate $296 million during the year ended December 31, 2026. Approximately $30 million of this amount relates to the period of January 1, 2025 to December 31, 2025. </w:t>
      </w:r>
    </w:p>
    <w:p>
      <w:pPr>
        <w:pStyle w:val="TextBody"/>
        <w:bidi w:val="0"/>
        <w:spacing w:before="120" w:after="283"/>
        <w:jc w:val="left"/>
        <w:rPr>
          <w:rFonts w:ascii="Times New Roman" w:hAnsi="Times New Roman"/>
          <w:b/>
          <w:i/>
          <w:color w:val="000000"/>
          <w:sz w:val="20"/>
          <w:u w:val="single"/>
        </w:rPr>
      </w:pPr>
      <w:r>
        <w:rPr>
          <w:rFonts w:ascii="Times New Roman" w:hAnsi="Times New Roman"/>
          <w:b/>
          <w:i/>
          <w:color w:val="000000"/>
          <w:sz w:val="20"/>
          <w:u w:val="single"/>
        </w:rPr>
        <w:t>Various Other State Programs: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receive substantial reimbursement from multiple states in connection with various supplemental Medicaid payment programs. The states include, but are not limited to, the state programs listed below from which we receive significant reimbursements.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Kentucky Hospital Rate Increase Program (“HRIP”)</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early 2021, CMS approved the Kentucky Medicaid Managed Care Hospital Rate Increase Program. In connection with this program, included in our results of operations was approximately $94 million and $88 million during the years ended December 31, 2025 and 2024, respectively. In February, 2026, CMS approved the program for the period of January 1, 2026 through December 31, 2026 whereby the HIRP pool size will increase from $2.4 billion to $2.8 billion.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estimate that our net reimbursements pursuant to HRIP will approximate $109 million during the year ended December 31, 2026.</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California Supplemental Payments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California, the state continues to operate Medicaid supplemental payment programs consisting of three components: Fee For Service Payment, Managed Care-Pass-Through Payment and Managed Care-Directed Payment. The non-federal share for these programs are financed by a statewide provider tax. The Directed Payment method will be based on actual concurrent hospital Medicaid managed care in-network patient volume whereas the other programs are based on prior year Medicaid utilization. The CMS program approval status is outlined in the table below.</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California Hospital Fee Program CMS Approval Status:</w:t>
      </w:r>
    </w:p>
    <w:tbl>
      <w:tblPr>
        <w:tblW w:w="10205" w:type="dxa"/>
        <w:jc w:val="left"/>
        <w:tblInd w:w="0" w:type="dxa"/>
        <w:tblLayout w:type="fixed"/>
        <w:tblCellMar>
          <w:top w:w="28" w:type="dxa"/>
          <w:left w:w="28" w:type="dxa"/>
          <w:bottom w:w="28" w:type="dxa"/>
          <w:right w:w="28" w:type="dxa"/>
        </w:tblCellMar>
      </w:tblPr>
      <w:tblGrid>
        <w:gridCol w:w="2573"/>
        <w:gridCol w:w="2481"/>
        <w:gridCol w:w="5151"/>
      </w:tblGrid>
      <w:tr>
        <w:trPr/>
        <w:tc>
          <w:tcPr>
            <w:tcW w:w="2573" w:type="dxa"/>
            <w:tcBorders/>
            <w:vAlign w:val="center"/>
          </w:tcPr>
          <w:p>
            <w:pPr>
              <w:pStyle w:val="TableContents"/>
              <w:bidi w:val="0"/>
              <w:spacing w:before="0" w:after="283"/>
              <w:jc w:val="left"/>
              <w:rPr>
                <w:sz w:val="4"/>
                <w:szCs w:val="4"/>
              </w:rPr>
            </w:pPr>
            <w:r>
              <w:rPr>
                <w:sz w:val="4"/>
                <w:szCs w:val="4"/>
              </w:rPr>
            </w:r>
          </w:p>
        </w:tc>
        <w:tc>
          <w:tcPr>
            <w:tcW w:w="2481" w:type="dxa"/>
            <w:tcBorders/>
            <w:vAlign w:val="center"/>
          </w:tcPr>
          <w:p>
            <w:pPr>
              <w:pStyle w:val="TableContents"/>
              <w:bidi w:val="0"/>
              <w:spacing w:before="0" w:after="283"/>
              <w:jc w:val="left"/>
              <w:rPr>
                <w:sz w:val="4"/>
                <w:szCs w:val="4"/>
              </w:rPr>
            </w:pPr>
            <w:r>
              <w:rPr>
                <w:sz w:val="4"/>
                <w:szCs w:val="4"/>
              </w:rPr>
            </w:r>
          </w:p>
        </w:tc>
        <w:tc>
          <w:tcPr>
            <w:tcW w:w="5151" w:type="dxa"/>
            <w:tcBorders/>
            <w:vAlign w:val="center"/>
          </w:tcPr>
          <w:p>
            <w:pPr>
              <w:pStyle w:val="TableContents"/>
              <w:bidi w:val="0"/>
              <w:spacing w:before="0" w:after="283"/>
              <w:jc w:val="left"/>
              <w:rPr>
                <w:sz w:val="4"/>
                <w:szCs w:val="4"/>
              </w:rPr>
            </w:pPr>
            <w:r>
              <w:rPr>
                <w:sz w:val="4"/>
                <w:szCs w:val="4"/>
              </w:rPr>
            </w:r>
          </w:p>
        </w:tc>
      </w:tr>
      <w:tr>
        <w:trPr/>
        <w:tc>
          <w:tcPr>
            <w:tcW w:w="2573" w:type="dxa"/>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pPr>
              <w:pStyle w:val="TableContents"/>
              <w:bidi w:val="0"/>
              <w:spacing w:before="120" w:after="283"/>
              <w:jc w:val="center"/>
              <w:rPr>
                <w:rFonts w:ascii="Times New Roman" w:hAnsi="Times New Roman"/>
                <w:b/>
                <w:color w:val="000000"/>
                <w:sz w:val="18"/>
              </w:rPr>
            </w:pPr>
            <w:r>
              <w:rPr>
                <w:rFonts w:ascii="Times New Roman" w:hAnsi="Times New Roman"/>
                <w:b/>
                <w:color w:val="000000"/>
                <w:sz w:val="18"/>
              </w:rPr>
              <w:t>Hospital Fee Program Component</w:t>
            </w:r>
          </w:p>
        </w:tc>
        <w:tc>
          <w:tcPr>
            <w:tcW w:w="2481" w:type="dxa"/>
            <w:tcBorders>
              <w:top w:val="single" w:sz="4" w:space="0" w:color="000000"/>
              <w:bottom w:val="single" w:sz="4" w:space="0" w:color="000000"/>
              <w:right w:val="single" w:sz="4" w:space="0" w:color="000000"/>
            </w:tcBorders>
            <w:tcMar>
              <w:left w:w="0" w:type="dxa"/>
              <w:right w:w="115" w:type="dxa"/>
            </w:tcMar>
            <w:vAlign w:val="center"/>
          </w:tcPr>
          <w:p>
            <w:pPr>
              <w:pStyle w:val="TableContents"/>
              <w:bidi w:val="0"/>
              <w:spacing w:before="120" w:after="283"/>
              <w:jc w:val="center"/>
              <w:rPr>
                <w:rFonts w:ascii="Times New Roman" w:hAnsi="Times New Roman"/>
                <w:b/>
                <w:color w:val="000000"/>
                <w:sz w:val="18"/>
              </w:rPr>
            </w:pPr>
            <w:r>
              <w:rPr>
                <w:rFonts w:ascii="Times New Roman" w:hAnsi="Times New Roman"/>
                <w:b/>
                <w:color w:val="000000"/>
                <w:sz w:val="18"/>
              </w:rPr>
              <w:t>CMS Methodology Approval Status</w:t>
            </w:r>
          </w:p>
        </w:tc>
        <w:tc>
          <w:tcPr>
            <w:tcW w:w="5151" w:type="dxa"/>
            <w:tcBorders>
              <w:top w:val="single" w:sz="4" w:space="0" w:color="000000"/>
              <w:bottom w:val="single" w:sz="4" w:space="0" w:color="000000"/>
              <w:right w:val="single" w:sz="4" w:space="0" w:color="000000"/>
            </w:tcBorders>
            <w:tcMar>
              <w:left w:w="0" w:type="dxa"/>
              <w:right w:w="115" w:type="dxa"/>
            </w:tcMar>
            <w:vAlign w:val="center"/>
          </w:tcPr>
          <w:p>
            <w:pPr>
              <w:pStyle w:val="TableContents"/>
              <w:bidi w:val="0"/>
              <w:spacing w:before="120" w:after="283"/>
              <w:jc w:val="center"/>
              <w:rPr>
                <w:rFonts w:ascii="Times New Roman" w:hAnsi="Times New Roman"/>
                <w:b/>
                <w:color w:val="000000"/>
                <w:sz w:val="18"/>
              </w:rPr>
            </w:pPr>
            <w:r>
              <w:rPr>
                <w:rFonts w:ascii="Times New Roman" w:hAnsi="Times New Roman"/>
                <w:b/>
                <w:color w:val="000000"/>
                <w:sz w:val="18"/>
              </w:rPr>
              <w:t>CMS Rate Setting Approval Status</w:t>
            </w:r>
          </w:p>
        </w:tc>
      </w:tr>
      <w:tr>
        <w:trPr/>
        <w:tc>
          <w:tcPr>
            <w:tcW w:w="2573"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120" w:after="283"/>
              <w:jc w:val="left"/>
              <w:rPr>
                <w:rFonts w:ascii="Times New Roman" w:hAnsi="Times New Roman"/>
                <w:color w:val="000000"/>
                <w:sz w:val="18"/>
              </w:rPr>
            </w:pPr>
            <w:r>
              <w:rPr>
                <w:rFonts w:ascii="Times New Roman" w:hAnsi="Times New Roman"/>
                <w:color w:val="000000"/>
                <w:sz w:val="18"/>
              </w:rPr>
              <w:t>Fee For Service Payment</w:t>
            </w:r>
          </w:p>
        </w:tc>
        <w:tc>
          <w:tcPr>
            <w:tcW w:w="248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120" w:after="283"/>
              <w:jc w:val="left"/>
              <w:rPr>
                <w:rFonts w:ascii="Times New Roman" w:hAnsi="Times New Roman"/>
                <w:color w:val="000000"/>
                <w:sz w:val="18"/>
              </w:rPr>
            </w:pPr>
            <w:r>
              <w:rPr>
                <w:rFonts w:ascii="Times New Roman" w:hAnsi="Times New Roman"/>
                <w:color w:val="000000"/>
                <w:sz w:val="18"/>
              </w:rPr>
              <w:t>Approved through December 31, 2024</w:t>
            </w:r>
          </w:p>
        </w:tc>
        <w:tc>
          <w:tcPr>
            <w:tcW w:w="515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120" w:after="283"/>
              <w:jc w:val="left"/>
              <w:rPr>
                <w:rFonts w:ascii="Times New Roman" w:hAnsi="Times New Roman"/>
                <w:color w:val="000000"/>
                <w:sz w:val="18"/>
              </w:rPr>
            </w:pPr>
            <w:r>
              <w:rPr>
                <w:rFonts w:ascii="Times New Roman" w:hAnsi="Times New Roman"/>
                <w:color w:val="000000"/>
                <w:sz w:val="18"/>
              </w:rPr>
              <w:t>Approved through December 31, 2024; Paid through December 31, 2024</w:t>
            </w:r>
          </w:p>
        </w:tc>
      </w:tr>
      <w:tr>
        <w:trPr/>
        <w:tc>
          <w:tcPr>
            <w:tcW w:w="2573"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120" w:after="283"/>
              <w:jc w:val="left"/>
              <w:rPr>
                <w:rFonts w:ascii="Times New Roman" w:hAnsi="Times New Roman"/>
                <w:color w:val="000000"/>
                <w:sz w:val="18"/>
              </w:rPr>
            </w:pPr>
            <w:r>
              <w:rPr>
                <w:rFonts w:ascii="Times New Roman" w:hAnsi="Times New Roman"/>
                <w:color w:val="000000"/>
                <w:sz w:val="18"/>
              </w:rPr>
              <w:t>Managed Care-Pass-Through Payment</w:t>
            </w:r>
          </w:p>
        </w:tc>
        <w:tc>
          <w:tcPr>
            <w:tcW w:w="248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120" w:after="283"/>
              <w:jc w:val="left"/>
              <w:rPr>
                <w:rFonts w:ascii="Times New Roman" w:hAnsi="Times New Roman"/>
                <w:color w:val="000000"/>
                <w:sz w:val="18"/>
              </w:rPr>
            </w:pPr>
            <w:r>
              <w:rPr>
                <w:rFonts w:ascii="Times New Roman" w:hAnsi="Times New Roman"/>
                <w:color w:val="000000"/>
                <w:sz w:val="18"/>
              </w:rPr>
              <w:t>Approved through December 31, 2024</w:t>
            </w:r>
          </w:p>
        </w:tc>
        <w:tc>
          <w:tcPr>
            <w:tcW w:w="515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120" w:after="283"/>
              <w:jc w:val="left"/>
              <w:rPr>
                <w:rFonts w:ascii="Times New Roman" w:hAnsi="Times New Roman"/>
                <w:color w:val="000000"/>
                <w:sz w:val="18"/>
              </w:rPr>
            </w:pPr>
            <w:r>
              <w:rPr>
                <w:rFonts w:ascii="Times New Roman" w:hAnsi="Times New Roman"/>
                <w:color w:val="000000"/>
                <w:sz w:val="18"/>
              </w:rPr>
              <w:t>Approved through December 31, 2023 and paid in advance through December 31, 2024</w:t>
            </w:r>
          </w:p>
        </w:tc>
      </w:tr>
      <w:tr>
        <w:trPr/>
        <w:tc>
          <w:tcPr>
            <w:tcW w:w="2573"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120" w:after="283"/>
              <w:jc w:val="left"/>
              <w:rPr>
                <w:rFonts w:ascii="Times New Roman" w:hAnsi="Times New Roman"/>
                <w:color w:val="000000"/>
                <w:sz w:val="18"/>
              </w:rPr>
            </w:pPr>
            <w:r>
              <w:rPr>
                <w:rFonts w:ascii="Times New Roman" w:hAnsi="Times New Roman"/>
                <w:color w:val="000000"/>
                <w:sz w:val="18"/>
              </w:rPr>
              <w:t>Managed Care-Directed Payment</w:t>
            </w:r>
          </w:p>
        </w:tc>
        <w:tc>
          <w:tcPr>
            <w:tcW w:w="248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120" w:after="283"/>
              <w:jc w:val="left"/>
              <w:rPr>
                <w:rFonts w:ascii="Times New Roman" w:hAnsi="Times New Roman"/>
                <w:color w:val="000000"/>
                <w:sz w:val="18"/>
              </w:rPr>
            </w:pPr>
            <w:r>
              <w:rPr>
                <w:rFonts w:ascii="Times New Roman" w:hAnsi="Times New Roman"/>
                <w:color w:val="000000"/>
                <w:sz w:val="18"/>
              </w:rPr>
              <w:t>Approved through December 31, 2024</w:t>
            </w:r>
          </w:p>
        </w:tc>
        <w:tc>
          <w:tcPr>
            <w:tcW w:w="515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120" w:after="283"/>
              <w:jc w:val="left"/>
              <w:rPr>
                <w:rFonts w:ascii="Times New Roman" w:hAnsi="Times New Roman"/>
                <w:color w:val="000000"/>
                <w:sz w:val="18"/>
              </w:rPr>
            </w:pPr>
            <w:r>
              <w:rPr>
                <w:rFonts w:ascii="Times New Roman" w:hAnsi="Times New Roman"/>
                <w:color w:val="000000"/>
                <w:sz w:val="18"/>
              </w:rPr>
              <w:t>Approved through December 31, 2023 and paid in advance through June 30, 2024</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connection with this program, included in our results of operations was $68 million and $47 million during the years ended December 31, 2024 and 2023, respectively. During the first quarter of 2025, the Department of Health Care Services submitted a final draft of the Hospital Quality Assurance Fee program 9 fee to CMS for approval for the period January 1, 2025 to December 31, 2025 and a subsequent amendment in July 2025. This submission includes the Managed Care-Directed Payment preprint. We are unable to predict the outcome, amount or timing of any related increase that may result from this submission.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estimate that our net reimbursements pursuant to this program will approximate $68 million during the year ended December 31, 2026.</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Mississippi Hospital Access Program</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September, 2023, subject to CMS approval, Mississippi announced a $689 million, two-part Medicaid payment proposal, effective retroactively to July 1, 2023, that would be funded by annual hospital assessments to the state's Medicaid program. These hospital assessments are calculated using a formula provided under state law. The first part of the program, known as the Mississippi Hospital Access Program (“MHAP”), provides direct payments for hospitals that serve patients in the state's Medicaid managed care delivery system. Hospitals are reimbursed near the average commercial rate, which is the upper limit ("UPL") for Medicaid managed care reimbursements. The second part of the program supplements traditional Medicaid payment rates for hospitals providing inpatient and outpatient services up to Medicaid's regulated UPL. In June 2024, CMS approved the MHAP program component for the period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61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July 1, 2024 to June 30, 2025. The UPL component was approved in April, 2024. In September 2025, CMS approved the MHAP program component for the period July 1, 2025 to June 30, 2026. The UPL component was approved in April 2024.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connection with this program, included in our results of operations was approximately $55 million and $48 million recorded during the years ended December 31, 2025 and 2024, respectively.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estimate that our net reimbursements pursuant to these supplemental payment programs will approximate $60 million during the year ended December 31, 2026.</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Florida Medicaid Managed Care Directed Payment Program (“DPP”)</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Florida DPP provides for an additional payment for Medicaid managed care contracted services. For the years ended December 31, 2025 and 2024, our results of operations included approximately $59 million and $46 million recorded in connection with this program (substantially all of which was recorded during the fourth quarters of each year).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estimate that our reimbursements pursuant to this DPP will approximate $53 million during the year ended December 31, 2026. The Florida DPP for the period of October 1, 2024 to September 30, 2025 is under CMS' review for approval. The submitted DPP preprint includes a request to increase the size of the program and related DPP add-on payment levels based on a percentage of average commercial rates. If approved as submitted, we estimate that the aggregate net benefit applicable to our facilities could increase by approximately $47 million on an annual basis. This incremental increase to the Florida DPP program is not reflected in the above Medicaid Supplemental Provider Tax table.</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Illinois Medicaid Supplemental Payment Programs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Illinois Medicaid Supplemental Payment Programs are comprised of three components: (1) Medicaid managed care directed payment program; (2) Medicaid managed care pass-through program, and; (3) Medicaid fee for service supplemental payment program. These programs require various related legislative and regulatory approvals each year.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connection with this program, included in our results of operations was approximately $32 million and $39 million during the years ended December 31, 2025 and 2024, respectively.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estimate that our net reimbursements pursuant to these supplemental payment programs will approximate $31 million during the year ended December 31, 2026. Approval of these programs for the period of January 1, 2026 to December 31, 2026 is under CMS' review.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Indiana Medicaid Managed Care DPP</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Indiana DPP provides for an additional payment for Medicaid managed care contracted services. In connection with this program, included in our results of operations was approximately $32 million and $31 million recorded during the years ended December 31, 2025 and 2024, respectively.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estimate that our net reimbursements pursuant to this program will approximate $34 million during the year ended December 31, 2026.</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Oklahoma (Transition to Managed Care and Implementation of a Medicaid Managed Care DPP)</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current Oklahoma Medicaid supplemental payment program in effect, prior to the planned implementation of the new DPP in 2024, is the Supplemental Hospital Offset Payment Program (“SHOPP”). The SHOPP component will remain in place for certain categories of Medicaid patients that will continue to be enrolled in the traditional Medicaid Fee for Service program.</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May, 2022, Oklahoma enacted legislation that directs the Oklahoma Health Care Authority ("OHCA") to: (i) transition its Medicaid program from a fee for service payment model to a managed care payment model by no later than October 1, 2023, and: (ii) concurrently implement a Medicaid managed care DPP using a managed care gap of 90% of average commercial rates. In December, 2022, the OHCA delayed the implementation date of the Medicaid managed care change and related DPP until April 1, 2024. In September, 2023, CMS approved the DPP program for the 15-month period effective as of April 1, 2024 through June 30, 2025. CMS approval of the DPP program for the period July 1, 2025 to June 30, 2026 is pending.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connection with this program, included in our results of operations was approximately $26 million and $20 million recorded during the years ended December 31, 2025 and 2024, respectively.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estimate that our net reimbursements pursuant to these two supplemental payment programs (i.e. SHOPP and DPP) will approximate $26 million during the year ended December 31, 2026.</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South Carolina Health Access, Workforce and Quality (“HAWQ”) Program</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September 2023, CMS approved the South Carolina HAWQ Program retroactive to July 1, 2023 and subsequently approved by CMS in July, 2024 for the period of July 1, 2024 to June 30, 2025. In December 2025, CMS approved the period July 1, 2025 to June 30, 2026. This program is a Medicaid managed care directed payment program that provides for a rate enhancement to Medicaid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62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managed care encounters. In connection with this program, included in our results of operations was approximately $30 million and $28 million recorded during the years ended December 31, 2025 and 2024, respectively.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estimate that our net reimbursements pursuant to this program will approximate $28 million during the year ended December 31, 2026.</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Michigan Directed Payment Program (“DPP”)</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March 2024, CMS approved the Michigan Medicaid DPP retroactive to October 1, 2023 based on average commercial rates. The Michigan DPP provides for an additional payment for Medicaid managed care contracted services. In connection with this program, included in our results of operations was approximately $50 million and $37 million recorded during the years ended December 31, 2025 and 2024, respectively.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estimate that our net reimbursements pursuant to this program will approximate $45 million during the year ended December 31, 2026. The Michigan DPP for the period of October 1, 2024 to September 30, 2025 was approved by CMS.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Idaho Upper Payment Limit (“UPL”)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April 2024, the Idaho Department of Health and Welfare (“IDHW”) released its updated Medicaid UPL calculation for SFY 2024 (July 1, 2023 to June 30, 2024) and revised its SFY 2023 (July 1, 2022 to June 30, 2023) UPL calculation. Subject to CMS approval, the IDHW plans to continue this UPL program through SFY 2025 (July 1, 2024 to June 30, 2025) at payment levels comparable to SFY 2024. In SFY 2026, the IDHW intends to replace the UPL program with a Medicaid managed care state directed payment program. We are unable to predict whether payments levels under the planned new state directed payment program or a continuation of the UPL program in SFY 2026 will be comparable to the SFY 2025 UPL payment levels.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connection with this program, included in our results of operations was approximately $25 million and $31 million recorded during the years ended December 31, 2025 and 2024, respectively.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estimate that our net reimbursements pursuant to this program will approximate $23 million during the year ended December 31, 2026.</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Washington Safety Net Assessment Program</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April 2, 2024, CMS approved an expanded state directed payment program in Washington whereby payments will now be based on the average commercial rates. The program was approved retroactively for the period January 1, 2024 to December 31, 2024.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connection with this program, included in our results of operations was approximately $47 million and $46 million recorded during the years ended December 31, 2025 and 2024, respectively.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estimate that our net reimbursements pursuant to this expanded program will approximate $40 million during the year ended December 31, 2026. The program for the period of January 1, 2025 to December 31, 2025 was approved by CMS.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New Mexico State Directed Payment Program (“SDP”)</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November, 2024, CMS approved the New Mexico Medicaid SDP, retroactive to July 1, 2024, based on average commercial rates. The New Mexico SDP provides for an additional payment for Medicaid managed care contracted services. The program requires the submission of an annual report that demonstrates that 75% of the incremental net funds were used for the delivery of and access to healthcare services in the state.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New Mexico SDP for the period of January 1, 2025 to December 31, 2025 was approved by CMS.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connection with this program, included in our results of operations was approximately $30 million and $8 million recorded during the years ended December 31, 2025 and 2024, respectively.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estimate that our net reimbursements pursuant to this program will approximate $22 million during the year ended December 31, 2026.</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Tennessee Directed Payment Program (“DPP”)</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Tennessee SB1740, enacted in May, 2024, imposes an annual coverage assessment on covered hospitals for fiscal year 2024-2025. The total assessment on all covered hospitals in the aggregate will be equal to 6% of the federally recognized annual coverage assessment base. The assessment proceeds will be used to fund an increase to the state’s DPP payment pool to be based on average commercial rates.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January, 2025, CMS approved the DPP payment increase for the period July 1, 2024 to December 31, 2024, contingent upon CMS' approval of the state's 1115 Medicaid Waiver amendment. In addition, the DPP program for calendar year 2025 (January 1, 2025 to December 31, 2025) was approved by CMS in April, 2025, also contingent upon CMS' approval of the state's 1115 Medicaid Waiver amendment which was approved by CMS in June, 2025.</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63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connection with this program, included in our results of operations was approximately $92 million and $10 million recorded during the years ended December 31, 2025 and 2024, respectively. $29 million of the 2025 recorded amount relates to the period July 1, 2024 to December 31, 2024.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estimate that our net reimbursements pursuant to this program will approximate $50 million during the year ended December 31, 2026.</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Washington, D.C. State Directed Payment program (“SDP”)</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September, 2025, CMS approved the SDP program for the period October 1, 2024 to September 30, 2025. This SDP program provides for an add-on to in-network Medicaid managed care paid claims.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connection with this program, included in our results of operations was approximately $114 million recorded during the year ended December 31, 2025.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estimate that our net reimbursements pursuant to this program will approximate $107 million during the year ended December 31, 2026.</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Ohio Medicaid Managed Care DPP</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Ohio DPP provides for an additional payment for Medicaid managed care contracted services. In connection with this program, included in our results of operations was approximately $18 million and $22 million recorded during the years ended December 31, 2025 and 2024, respectively.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estimate that our net reimbursements pursuant to this program will approximate $50 million during the year ended December 31, 2026, approximately $16 million of which relates to the period January through December, 2025.</w:t>
      </w:r>
    </w:p>
    <w:p>
      <w:pPr>
        <w:pStyle w:val="TextBody"/>
        <w:bidi w:val="0"/>
        <w:spacing w:before="120" w:after="283"/>
        <w:jc w:val="left"/>
        <w:rPr>
          <w:rFonts w:ascii="Times New Roman" w:hAnsi="Times New Roman"/>
          <w:b/>
          <w:i/>
          <w:color w:val="000000"/>
          <w:sz w:val="20"/>
          <w:u w:val="single"/>
        </w:rPr>
      </w:pPr>
      <w:r>
        <w:rPr>
          <w:rFonts w:ascii="Times New Roman" w:hAnsi="Times New Roman"/>
          <w:b/>
          <w:i/>
          <w:color w:val="000000"/>
          <w:sz w:val="20"/>
          <w:u w:val="single"/>
        </w:rPr>
        <w:t>Texas DSH and Nevada SPA Programs: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Texas DSH</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Upon meeting certain conditions and serving a disproportionately high share of Texas’ low income patients, our qualifying facilities located in Texas receive additional reimbursement from the state’s DSH fund. The Texas DSH program was renewed for the state’s 2026 DSH fiscal year (covering the period of October 1, 2025 through September 30, 2026).</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connection with this program, included in our results of operations was approximately $38 million and $36 million recorded during the years ended December 31, 2025 and 2024, respectively.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estimate that our aggregate net reimbursements earned pursuant to the Texas DSH program will approximate $21 million during the year ended December 31, 2026.</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ACA and subsequent federal legislation provides for a significant reduction in Medicaid disproportionate share payments beginning in federal fiscal year 2028 (see above in Sources of Revenues and Health Care Reform-Medicaid for additional disclosure related to the delay of these DSH reductions). HHS is to determine the amount of Medicaid DSH payment cuts imposed on each state based on a defined methodology. As Medicaid DSH payments to states will be cut, consequently, payments to Medicaid-participating providers, including our hospitals in Texas, will be reduced in the coming years. Based on the CMS final rule published in September, 2019 (as amended by the CARES Act and the CAA), beginning in fiscal year 2026, annual Medicaid DSH payments in Texas could be reduced by approximately 33% from current DSH payment levels. However, states have discretion in the allocation of their respective federal DSH allotment and we do not believe the state's allocation will result in a material decrease to DSH payment levels to our hospitals located in Texas. A series of federal continuing resolutions were passed by the federal government which provided for ongoing federal funding.</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In connection with certain previous DSH and UC adverse federal court decisions, including the </w:t>
      </w:r>
      <w:r>
        <w:rPr>
          <w:rFonts w:ascii="Times New Roman" w:hAnsi="Times New Roman"/>
          <w:i/>
          <w:color w:val="000000"/>
          <w:sz w:val="20"/>
        </w:rPr>
        <w:t>Children’s Hospital Association of Texas v. Azar</w:t>
      </w:r>
      <w:r>
        <w:rPr>
          <w:rFonts w:ascii="Times New Roman" w:hAnsi="Times New Roman"/>
          <w:color w:val="000000"/>
          <w:sz w:val="20"/>
        </w:rPr>
        <w:t>, we continue to maintain reserves in the financial statements for cumulative Medicaid DSH and UC reimbursements related to our behavioral health hospitals located in Texas that amounted to $33 million as of December 31, 2025 and $34 million as of December 31, 2024.</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Nevada State Plan Amendment ("SPA")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CMS initially approved an SPA in Nevada in August, 2014 and this SPA has been approved for additional state fiscal years, including the 2024 fiscal year covering the period of July 1, 2023 through June 30, 2024. CMS approval for the 2025 and 2026 fiscal years, which is still pending, is expected to occur.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connection with this program, included in our results of operations was approximately $18 million and $17 million recorded during the years ended December 31, 2025 and 2024, respectively.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estimate that our net reimbursements pursuant to this program will approximate $17 million during the year ended December 31, 2026.</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64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i/>
          <w:color w:val="000000"/>
          <w:sz w:val="20"/>
          <w:u w:val="single"/>
        </w:rPr>
      </w:pPr>
      <w:r>
        <w:rPr>
          <w:rFonts w:ascii="Times New Roman" w:hAnsi="Times New Roman"/>
          <w:b/>
          <w:i/>
          <w:color w:val="000000"/>
          <w:sz w:val="20"/>
          <w:u w:val="single"/>
        </w:rPr>
        <w:t>Legislation Commonly Known as the One Big Beautiful Bill Act ("OBBBA")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OBBBA was enacted into law on July 4, 2025. This legislation includes material changes to the Medicaid program and other healthcare related programs including but not limited to:</w:t>
      </w:r>
    </w:p>
    <w:p>
      <w:pPr>
        <w:pStyle w:val="TextBody"/>
        <w:bidi w:val="0"/>
        <w:spacing w:before="120" w:after="283"/>
        <w:jc w:val="left"/>
        <w:rPr>
          <w:rFonts w:ascii="Times New Roman" w:hAnsi="Times New Roman"/>
          <w:sz w:val="20"/>
        </w:rPr>
      </w:pPr>
      <w:r>
        <w:rPr>
          <w:rFonts w:ascii="Times New Roman" w:hAnsi="Times New Roman"/>
          <w:b/>
          <w:i/>
          <w:color w:val="000000"/>
          <w:sz w:val="20"/>
        </w:rPr>
        <w:t>Medicaid State Directed Payments (“SDP”)</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states that expanded their Medicaid programs under the ACA ("Expansion States"), the SDP payment rate is capped at 100% of Medicare.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states that did not expand Medicaid under the ACA ("Non-Expansion States"), the SDP rate is capped at 110% of Medicare.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These provisions grandfathered SDP programs already in existence or pending approval from CMS. Beginning with the 2028 state fiscal years, SDP provisions pursuant to the OBBBA are being phased in whereby grandfathered payment plans will be reduced by no more than 10% annually until the applicable Medicare rate is reached.</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Limits on Provider Taxes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Prior law capped Provider Taxes at 6% of net patient revenue. The new law reduces the percentage of revenue that can be taxed as a Provider Tax.</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Provider Tax provisions pursuant to the OBBBA are largely being phased in over a 5-year period.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Expansion States, beginning with the 2028 state fiscal years, this percentage will be reduced by 0.5% each year until it reaches 3.5%. In Non-Expansion States, the Provider Tax percentage will remain unchanged.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Establishes new discretion for CMS to refuse waivers of Provider Tax uniformity requirement.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January 2026, CMS issued its Medicaid Provider Tax Rule final rule changing how state provider taxes are evaluated for compliance with federal requirements. Transition periods for state compliance with the new requirements will vary based on state specific circumstances. We are unable to determine the financial impact on our future Medicaid supplemental payments.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Rural Health Transformation Program</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Establishes a $50 billion rural health grant program for states between fiscal years 2026 and 2030 to be used for payments to rural health facilities. 50% of the fund will go to states equally and 50% will be allocated based on a rural formula determined by the HHS Secretary.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December 2025, The Centers for Medicare &amp; Medicaid Services (CMS) announced that all 50 states will receive awards under the Rural Health Transformation Program. In 2026, states will receive first-year awards from CMS averaging $200 million within a range of $147 million to $281 million. The state of Texas received the highest award amount.</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rPr>
        <w:t>Although certain of our hospitals that are designated by CMS as rural may be eligible for reimbursement pursuant to this fund,</w:t>
      </w:r>
      <w:r>
        <w:rPr>
          <w:color w:val="FF0000"/>
        </w:rPr>
        <w:t xml:space="preserve"> </w:t>
      </w:r>
      <w:r>
        <w:rPr>
          <w:rFonts w:ascii="Times New Roman" w:hAnsi="Times New Roman"/>
          <w:color w:val="000000"/>
          <w:sz w:val="20"/>
        </w:rPr>
        <w:t xml:space="preserve">we are unable to predict if any of our facilities will ultimately qualify for reimbursement and are therefore unable to quantify any potential favorable impact on our future results of operations.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Medicaid Eligibility: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Institutes an 80-hour a month work requirement for all Medicaid individuals ages 19-64 at least every 6 months, with some exceptions.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Requires states to conduct eligibility redeterminations at least every 6 months for Medicaid expansion adults effective no later than January 1, 2027.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Although we cannot predict the potential unfavorable impact on our future results of operations from these changes to Medicaid eligibility requirements, these changes could reduce the overall number of Medicaid enrollees thereby potentially decreasing our Medicaid revenues (including revenues earned pursuant to various state Medicaid supplemental payment programs) while potentially increasing the level of uncompensated care provided by our facilities.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noted above, the OBBBA has specific legislative language that will reduce SDP payments as well as limit Provider Taxes used by states to finance the non-federal share of Medicaid supplemental payments. However, certain OBBBA provisions that would impact payment levels could be subject to some interpretation by CMS and related future federal rulemaking such as the definition of an SDP grandfathered program.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Based upon our current 2025 full year net benefit related to various state Medicaid supplemental payment programs, amounting to approximately $1.339 billion, as reflected on the table above in Summary of Various State Medicaid Supplemental Payment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65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Programs, we estimate that, commencing with the 2028 state fiscal years, our aggregate annual net benefit will be reduced, on an annually increasing and relatively pro rata basis, by approximately $432 million to $480 million by 2032. We cannot predict, among other things, if this legislation will ultimately be implemented as enacted, or if certain states may attempt to modify their respective SDP program in response to the OBBBA legislation. Given the various uncertainties and evolving state-by-state interpretations and computations related to this legislation, our forecasted estimates are subject to change, potentially by material amounts</w:t>
      </w:r>
    </w:p>
    <w:p>
      <w:pPr>
        <w:pStyle w:val="TextBody"/>
        <w:bidi w:val="0"/>
        <w:spacing w:before="120" w:after="283"/>
        <w:jc w:val="left"/>
        <w:rPr>
          <w:rFonts w:ascii="Times New Roman" w:hAnsi="Times New Roman"/>
          <w:b/>
          <w:i/>
          <w:color w:val="000000"/>
          <w:sz w:val="20"/>
          <w:u w:val="single"/>
        </w:rPr>
      </w:pPr>
      <w:r>
        <w:rPr>
          <w:rFonts w:ascii="Times New Roman" w:hAnsi="Times New Roman"/>
          <w:b/>
          <w:i/>
          <w:color w:val="000000"/>
          <w:sz w:val="20"/>
          <w:u w:val="single"/>
        </w:rPr>
        <w:t>Other Risk Factors Related To State Supplemental Medicaid Payments: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outlined above, we receive substantial reimbursement from multiple states in connection with various supplemental Medicaid payment programs. Failure to renew these programs beyond their scheduled termination dates, failure of the public hospitals to provide the necessary IGTs for the states’ share of the DSH programs, failure of our hospitals that currently receive supplemental Medicaid revenues to qualify for future funds under these programs, or reductions in reimbursements, could cause our estimates to differ by material amounts which could have a material adverse effect on our future results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April, 2016, CMS published its final Medicaid Managed Care Rule which explicitly permits but phases out the use of pass-through payments (including supplemental payments) by Medicaid Managed Care Organizations (“MCO”) to hospitals over ten years but allows for a transition of the pass-through payments into value-based payment structures, delivery system reform initiatives or payments tied to services under a MCO contract. Since we are unable to determine the financial impact of this aspect of the final rule, we can provide no assurance that the final rule will not have a material adverse effect on our future results of operations. In November, 2020, CMS issued a final rule permitting pass-through supplemental provider payments during a time-limited period when states transition populations or services from fee-for-service Medicaid to managed care.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receive Medicaid SDP payments from MCOs authorized by CMS under 42 CFR § 438.6(c). Consistent with capitated rates paid by Medicaid state agencies to MCO’s for managing Medicaid beneficiary lives under a risk-based arrangement, SDP program related capitated rates must also be developed by the state in accordance with actuarial soundness standards noted at 42 CFR § 438.4 and non-compliance could result in a reduction to SDP payment levels. In general, Medicaid SDP payments under 42 CFR § 438.6(c) are subject to annual CMS approval via the submission of a preprint application by a state agency which provides details of the SDP payment methodology and conformity with applicable federal regulations. CMS SDP preprint approval, and the timing of such approval, if it occurs, are not certain which can affect the both the SDP payment level and timing of SDP revenue recorded by us.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incur Provider Taxes imposed by states in the form of a licensing fee, assessment or other mandatory payment which are related to: (i) healthcare items or services; (ii) the provision of, or the authority to provide, the health care items or services, or; (iii) the payment for the health care items or services that are used by respective states to finance the non-federal share of SDP’s (or other Medicaid supplemental payment programs). Such Provider Taxes are subject to various federal regulations that limit the scope and amount of the taxes that can be levied by states in order to secure federal matching funds as part of their respective state Medicaid supplemental payment programs. States are subject to CMS both concurrent and retrospective review for their compliance with the applicable Provider Tax regulations and related federal statute. If CMS determines Provider Taxes used by a state Medicaid program to finance the non-federal share of a SDP (or other Medicaid supplemental payment programs) are not in compliance with the applicable Provider Tax regulations and related federal statutes, our SDP payments (and other Medicaid supplemental payments) could be subject to recoupment by the respective state agency when non-compliance is determined by CMS to exist.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believe that the SDP (and other state supplemental payment) programs are designed by each state to be in full compliance with the applicable federal regulations and federal statutes. However, we are unable to provide assurance CMS will determine on a retroactive basis that a state’s SDP (or other Medicaid supplemental payment program) design and Medicaid financing structures is in full compliance with the applicable federal regulations and federal statute(s).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April 22, 2024, CMS issued Medicaid and Children’s Health Insurance Program ("CHIP") Managed Care Access, Finance, and Quality Final Rule (“Managed Care Rule”). CMS intends for the Managed Care Rule to:</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Strengthen standard for timely access to care and states’ monitoring and enforcement efforts;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Enhance quality and fiscal and program integrity standards for state directed payments (“SDPs”);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Specify the scope of in lieu of services and settings to better address health-related social needs;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Further specify medical loss ratio requirements,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Establish a quality rating system for Medicaid and CHIP managed care plans.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SDP provisions included in the Managed Care Rule: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Requires that provider payment levels for state directed payments for inpatient and outpatient hospital services, nursing facility services, and the professional services at an academic medical center not exceed the average commercial rate;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Prohibits the use of post-payment reconciliation processes for state directed payments that are based on fee schedules;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66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Makes explicit in regulation the existing requirement that state directed payments must comply with all federal laws concerning funding sources of the non-federal share,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Requires that states ensure each provider receiving a state directed payment attest that it does not participate in any arrangement that holds taxpayers harmless for the cost of a tax. CMS concurrently released an informational bulletin regarding CMS’ exercise of enforcement discretion until calendar year 2028 for existing health-care related tax programs with certain hold-harmless arrangements involving the redistribution of Medicaid payments.</w:t>
      </w:r>
    </w:p>
    <w:p>
      <w:pPr>
        <w:pStyle w:val="TextBody"/>
        <w:bidi w:val="0"/>
        <w:spacing w:before="120" w:after="283"/>
        <w:jc w:val="left"/>
        <w:rPr>
          <w:rFonts w:ascii="Times New Roman" w:hAnsi="Times New Roman"/>
          <w:b/>
          <w:i/>
          <w:color w:val="000000"/>
          <w:sz w:val="20"/>
          <w:u w:val="single"/>
        </w:rPr>
      </w:pPr>
      <w:r>
        <w:rPr>
          <w:rFonts w:ascii="Times New Roman" w:hAnsi="Times New Roman"/>
          <w:b/>
          <w:i/>
          <w:color w:val="000000"/>
          <w:sz w:val="20"/>
          <w:u w:val="single"/>
        </w:rPr>
        <w:t>Fee-For-Service Short-Doyle Medi-Cal (“SD/MC”) Hospitals Change In Payment Methodology: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Under the California Medicaid prepaid inpatient health plan program, counties are required to ensure delivery of mental health services utilizing a system of county operated and contract providers. The California Medicaid program has adopted a new reimbursement method for inpatient psychiatric services with an effective date of December 12, 2023, incorporated a cost-based ceiling to negotiated rates. This change may require renegotiation of contracts our hospitals have had with counties, retroactive to December 12, 2023, and may also impact prospective rate negotiations. New California Medicaid rates could be materially lower than prior payment rates particularly if counties look to limit payment rates to a cost-based methodology rather than a market-based negotiated rate. We are awaiting formal guidance from California as to the manner in which this change will be implemented and whether the reimbursement method will change prospectively. Further, it is uncertain at this time whether and how counties will retroactively apply this change in method retroactively to December 12, 2023, given the previously negotiated payment terms. We are unable to predict with certainty the impact of this SPA at this time. However, under some scenarios, the adverse financial impact could be material.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disclosed herein, we receive a significant amount of Medicaid and Medicaid managed care revenue from both base payments and supplemental payments. Although we are unable to estimate the impact of the Managed Care Rule on our future results of operations, if implemented as proposed, Managed Care Rule related changes could have a material adverse impact on our future results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Future changes to the terms and conditions of the various programs outlined above could materially reduce our net benefit derived from the programs which could have a material adverse impact on our future results of operations. In addition, Provider Taxes are governed by both federal and state laws and are subject to future legislative changes that, if reduced from current rates in several states, could have a material adverse impact on our future results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6.2% increase to the Medicaid Federal Matching Assistance Percentage (“FMAP”) was included in the Families First Coronavirus Response Act. The CAA of 2023 provided for the transitional reduction of the 6.2% enhanced FMAP during 2023 to 5.0% during the second quarter, 2.5% during the third quarter and 1.5% during the fourth quarter of 2023. </w:t>
      </w:r>
    </w:p>
    <w:p>
      <w:pPr>
        <w:pStyle w:val="TextBody"/>
        <w:bidi w:val="0"/>
        <w:spacing w:before="120" w:after="283"/>
        <w:jc w:val="left"/>
        <w:rPr>
          <w:rFonts w:ascii="Times New Roman" w:hAnsi="Times New Roman"/>
          <w:sz w:val="20"/>
        </w:rPr>
      </w:pPr>
      <w:r>
        <w:rPr>
          <w:rFonts w:ascii="Times New Roman" w:hAnsi="Times New Roman"/>
          <w:b/>
          <w:color w:val="000000"/>
          <w:sz w:val="20"/>
        </w:rPr>
        <w:t>HITECH Act:</w:t>
      </w:r>
      <w:r>
        <w:rPr>
          <w:rFonts w:ascii="Times New Roman" w:hAnsi="Times New Roman"/>
          <w:color w:val="000000"/>
          <w:sz w:val="20"/>
        </w:rPr>
        <w:t xml:space="preserve"> In July 2010, HHS published final regulations implementing the health information technology provisions of the American Recovery and Reinvestment Act (referred to as the “HITECH Act”). The final regulation defines the “meaningful use” of Electronic Health Records (“EHR”) and establishes the requirements for the Medicare and Medicaid EHR payment incentive programs. The final rule established an initial set of standards and certification criteria. The implementation period for these Medicare and Medicaid incentive payments started in federal fiscal year 2011 and can end as late as 2016 for Medicare and 2021 for the state Medicaid programs. State Medicaid program participation in this federally funded incentive program is voluntary but all of the states in which our eligible hospitals operate have chosen to participate. Our acute care hospitals qualified for these EHR incentive payments upon implementation of the EHR application assuming they meet the “meaningful use” criteria. The government’s ultimate goal is to promote more effective (quality) and efficient healthcare delivery through the use of technology to reduce the total cost of healthcare for all Americans and utilizing the cost savings to expand access to the healthcare system.</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of our acute care hospitals have met the applicable meaningful use criteria. However, under the HITECH Act, hospitals must continue to meet the applicable meaningful use criteria in each fiscal year or they will be subject to a market basket update reduction in a subsequent fiscal year. Failure of our acute care hospitals to continue to meet the applicable meaningful use criteria would have an adverse effect on our future net revenues and results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2019 IPPS final rule, CMS overhauled the Medicare and Medicaid EHR Incentive Program to focus on interoperability, improve flexibility, relieve burden and place emphasis on measures that require the electronic exchange of health information between providers and patients. We can provide no assurance that the changes will not have a material adverse effect on our future results of operations.</w:t>
      </w:r>
    </w:p>
    <w:p>
      <w:pPr>
        <w:pStyle w:val="TextBody"/>
        <w:bidi w:val="0"/>
        <w:spacing w:before="120" w:after="283"/>
        <w:jc w:val="left"/>
        <w:rPr>
          <w:rFonts w:ascii="Times New Roman" w:hAnsi="Times New Roman"/>
          <w:sz w:val="20"/>
        </w:rPr>
      </w:pPr>
      <w:r>
        <w:rPr>
          <w:rFonts w:ascii="Times New Roman" w:hAnsi="Times New Roman"/>
          <w:b/>
          <w:color w:val="000000"/>
          <w:sz w:val="20"/>
        </w:rPr>
        <w:t>Managed Care:</w:t>
      </w:r>
      <w:r>
        <w:rPr>
          <w:rFonts w:ascii="Times New Roman" w:hAnsi="Times New Roman"/>
          <w:color w:val="000000"/>
          <w:sz w:val="20"/>
        </w:rPr>
        <w:t xml:space="preserve"> A significant portion of our net patient revenues are generated from managed care companies, which include health maintenance organizations, preferred provider organizations and managed Medicare (referred to as Medicare Part C or Medicare Advantage) and Medicaid programs. In general, we expect the percentage of our business from managed care programs to continue to grow. The consequent growth in managed care networks and the resulting impact of these networks on the operating results of our facilities vary among the markets in which we operate. Typically, we receive lower payments per patient from managed care payers than we do from traditional indemnity insurers, however, during the past few years we have secured price increases from many of our commercial payers including managed care companies.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67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color w:val="000000"/>
          <w:sz w:val="20"/>
        </w:rPr>
        <w:t>Commercial Insurance:</w:t>
      </w:r>
      <w:r>
        <w:rPr>
          <w:rFonts w:ascii="Times New Roman" w:hAnsi="Times New Roman"/>
          <w:color w:val="000000"/>
          <w:sz w:val="20"/>
        </w:rPr>
        <w:t xml:space="preserve"> Our hospitals also provide services to individuals covered by private health care insurance. Private insurance carriers typically make direct payments to hospitals or, in some cases, reimburse their policy holders, based upon the particular hospital’s established charges and the particular coverage provided in the insurance policy. Private insurance reimbursement varies among payers and states and is generally based on contracts negotiated between the hospital and the payer.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Commercial insurers are continuing efforts to limit the payments for hospital services by adopting discounted payment mechanisms, including predetermined payment or DRG-based payment systems, for more inpatient and outpatient services. To the extent that such efforts are successful and reduce the insurers’ reimbursement to hospitals and the costs of providing services to their beneficiaries, such reduced levels of reimbursement may have a negative impact on the operating results of our hospitals.</w:t>
      </w:r>
    </w:p>
    <w:p>
      <w:pPr>
        <w:pStyle w:val="TextBody"/>
        <w:bidi w:val="0"/>
        <w:spacing w:before="120" w:after="283"/>
        <w:jc w:val="left"/>
        <w:rPr>
          <w:rFonts w:ascii="Times New Roman" w:hAnsi="Times New Roman"/>
          <w:sz w:val="20"/>
        </w:rPr>
      </w:pPr>
      <w:r>
        <w:rPr>
          <w:rFonts w:ascii="Times New Roman" w:hAnsi="Times New Roman"/>
          <w:b/>
          <w:color w:val="000000"/>
          <w:sz w:val="20"/>
        </w:rPr>
        <w:t xml:space="preserve">Surprise Billing Interim Final Rule: </w:t>
      </w:r>
      <w:r>
        <w:rPr>
          <w:rFonts w:ascii="Times New Roman" w:hAnsi="Times New Roman"/>
          <w:color w:val="000000"/>
          <w:sz w:val="20"/>
        </w:rPr>
        <w:t>On September 30, 2021, the Department of Labor, and the Department of the Treasury, along with the Office of Personnel Management (“OPM”), released an interim final rule with comment period, entitled “Requirements Related to Surprise Billing; Part II.” This rule is related to Title I (the “No Surprises Act”) of Division BB of the Consolidated Appropriations Act, 2021, and establishes new protections from surprise billing and excessive cost sharing for consumers receiving health care items/services. It implements additional protections against surprise medical bills under the No Surprises Act, including provisions related to the independent dispute resolution ("IDR") process, good faith estimates for uninsured (or self-pay) individuals, the patient-provider dispute resolution process, and expanded rights to external review. On February 28, 2022, a district judge in the Eastern District of Texas invalidated portions of the rule governing aspects of the IDR process. In light of this decision, the government issued a final rule on August 19, 2022 eliminating the rebuttable presumption in favor of the qualifying payment amount by the IDR entity and providing additional factors the IDR entity should consider when choosing between two competing offers. CMS regulations and guidance implementing the IDR process has been subject to a significant amount of provider-initiated litigation. As a result, portions of those regulations and guidance materials have been vacated by a federal district court, causing CMS to, on several occasions, pause and resume IDR process operations, causing significant delay in the processing of claims. On October 27, 2023, HHS, the Department of Labor, the Department of the Treasury, and OPM issued a proposed rule intended to improve the functioning of the federal IDR process. Additionally, arguments made by the plaintiffs in such litigation have included allegations that CMS’s regulations and guidance materials are favorable to payers. We cannot predict the impact of the proposed rule on our operations at this time.</w:t>
      </w:r>
    </w:p>
    <w:p>
      <w:pPr>
        <w:pStyle w:val="TextBody"/>
        <w:bidi w:val="0"/>
        <w:spacing w:before="120" w:after="283"/>
        <w:jc w:val="left"/>
        <w:rPr>
          <w:rFonts w:ascii="Times New Roman" w:hAnsi="Times New Roman"/>
          <w:sz w:val="20"/>
        </w:rPr>
      </w:pPr>
      <w:r>
        <w:rPr>
          <w:rFonts w:ascii="Times New Roman" w:hAnsi="Times New Roman"/>
          <w:b/>
          <w:color w:val="000000"/>
          <w:sz w:val="20"/>
        </w:rPr>
        <w:t>Other Sources:</w:t>
      </w:r>
      <w:r>
        <w:rPr>
          <w:rFonts w:ascii="Times New Roman" w:hAnsi="Times New Roman"/>
          <w:color w:val="000000"/>
          <w:sz w:val="20"/>
        </w:rPr>
        <w:t xml:space="preserve"> Our hospitals provide services to individuals that do not have any form of health care coverage. Such patients are evaluated, at the time of service or shortly thereafter, for their ability to pay based upon federal and state poverty guidelines, qualifications for Medicaid or other state assistance programs, as well as our local hospitals’ indigent and charity care policy. Patients without health care coverage who do not qualify for Medicaid or indigent care write-offs are offered substantial discounts in an effort to settle their outstanding account balances.</w:t>
      </w:r>
    </w:p>
    <w:p>
      <w:pPr>
        <w:pStyle w:val="TextBody"/>
        <w:bidi w:val="0"/>
        <w:spacing w:before="120" w:after="283"/>
        <w:jc w:val="left"/>
        <w:rPr>
          <w:rFonts w:ascii="Times New Roman" w:hAnsi="Times New Roman"/>
          <w:sz w:val="20"/>
        </w:rPr>
      </w:pPr>
      <w:r>
        <w:rPr>
          <w:rFonts w:ascii="Times New Roman" w:hAnsi="Times New Roman"/>
          <w:b/>
          <w:color w:val="000000"/>
          <w:sz w:val="20"/>
        </w:rPr>
        <w:t>Health Care Reform:</w:t>
      </w:r>
      <w:r>
        <w:rPr>
          <w:rFonts w:ascii="Times New Roman" w:hAnsi="Times New Roman"/>
          <w:color w:val="000000"/>
          <w:sz w:val="20"/>
        </w:rPr>
        <w:t xml:space="preserve"> Listed below are the Medicare, Medicaid and other health care industry changes which have been, or are scheduled to be, implemented as a result of the Legislation.</w:t>
      </w:r>
    </w:p>
    <w:p>
      <w:pPr>
        <w:pStyle w:val="TextBody"/>
        <w:bidi w:val="0"/>
        <w:spacing w:before="120" w:after="283"/>
        <w:jc w:val="left"/>
        <w:rPr>
          <w:rFonts w:ascii="Times New Roman" w:hAnsi="Times New Roman"/>
          <w:sz w:val="20"/>
        </w:rPr>
      </w:pPr>
      <w:r>
        <w:rPr>
          <w:rFonts w:ascii="Times New Roman" w:hAnsi="Times New Roman"/>
          <w:b/>
          <w:i/>
          <w:color w:val="000000"/>
          <w:sz w:val="20"/>
        </w:rPr>
        <w:t>Medicaid Federal DSH Allotment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ACA (amended by subsequent federal legislation) requires annual aggregate reductions in federal Medicaid DSH allotment. In FFY 2028, DSH payments are scheduled to be reduced by $8 billion.</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Value-Based Purchasing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is a trend in the healthcare industry toward value-based purchasing of healthcare services. These value-based purchasing programs include both public reporting of quality data and preventable adverse events tied to the quality and efficiency of care provided by facilities. Governmental programs including Medicare and Medicaid currently require hospitals to report certain quality data to receive full reimbursement updates. In addition, Medicare does not reimburse for care related to certain preventable adverse events. Many large commercial payers currently require hospitals to report quality data, and several commercial payers do not reimburse hospitals for certain preventable adverse events.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Legislation required HHS to implement a value-based purchasing program for inpatient hospital services which became effective on October 1, 2012. The Legislation requires HHS to reduce inpatient hospital payments for all discharges by 2% in FFY 2017 and subsequent years. HHS will pool the amount collected from these reductions to fund payments to reward hospitals that meet or exceed certain quality performance standards established by HHS. HHS will determine the amount each hospital that meets or exceeds the quality performance standards will receive from the pool of dollars created by these payment reductions. As part of the FFY 2022 IPPS final rule and FFY 2023 final rule, as discussed above, and as a result of the COVID-19 pandemic, CMS has implemented a budget neutral payment policy to fully offset the 2% VBP withhold during each of FFY 2022 and FFY 2023. In FFY 2024, as part of the FFY 2024 IPPS final rule, CMS removed the budget neutral policy that was in place in FFY 2022 and FFY 2023.</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Hospital Acquired Conditions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Legislation prohibits the use of federal funds under the Medicaid program to reimburse providers for medical assistance provided to treat hospital acquired conditions (“HAC”). Beginning in FFY 2015, hospitals that fall into the top 25% of national risk-adjusted HAC rates for all hospitals in the previous year will receive a 1% reduction in their total Medicare payments. As part of the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68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FFY 2023 final rule discussed above, and as a result of the on-going COVID-19 pandemic, CMS suppressed all nine measures in the HAC Reduction Program for the FY 2023 program year and eliminated the HAC reduction program’s one percent payment penalty. In FFY 2024, as part of the FFY 2024 IPPS final rule, CMS eliminated the suppression of the applicable HAC measures and as a result reinstated the HAC reduction program.</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Readmission Reduction Program</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Legislation, Congress also mandated implementation of the hospital readmission reduction program (“HRRP”). Hospitals with excessive readmissions for conditions designated by HHS will receive reduced payments for all inpatient discharges, not just discharges relating to the conditions subject to the excessive readmission standard. The HRRP currently assesses penalties on hospitals having excess readmission rates for heart failure, myocardial infarction, pneumonia, acute exacerbation of chronic obstructive pulmonary disease ("COPD") and elective total hip arthroplasty ("THA") and/or total knee arthroplasty ("TKA"), excluding planned readmissions, when compared to expected rates. In the fiscal year 2015 IPPS final rule, CMS added readmissions for coronary artery bypass graft ("CABG") surgical procedures beginning in fiscal year 2017. To account for excess readmissions, an applicable hospital's base operating DRG payment amount is adjusted for each discharge occurring during the fiscal year. Readmissions payment adjustment factors can be no more than a 3% reduction. As part of the FFY 2023 IPPS final rule discussed above, CMS modified all of the condition-specific readmission measures to include an adjustment for patient history of COVID-19 for FFY 2024.</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Accountable Care Organizations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Legislation requires HHS to establish a Medicare Shared Savings Program that promotes accountability and coordination of care through the creation of accountable care organizations (“ACOs”). The ACO program allows providers (including hospitals), physicians and other designated professionals and suppliers to voluntarily work together to invest in infrastructure and redesign delivery processes to achieve high quality and efficient delivery of services. The program is intended to produce savings as a result of improved quality and operational efficiency. ACOs that achieve quality performance standards established by HHS will be eligible to share in a portion of the amounts saved by the Medicare program. CMS also developed and implemented more advanced ACO payment models that require ACOs to assume greater risk for attributed beneficiaries. Through various subsidiaries, we participate in ACOs in many of our acute care hospital markets.</w:t>
      </w:r>
    </w:p>
    <w:p>
      <w:pPr>
        <w:pStyle w:val="TextBody"/>
        <w:bidi w:val="0"/>
        <w:spacing w:before="120" w:after="283"/>
        <w:jc w:val="left"/>
        <w:rPr>
          <w:rFonts w:ascii="Times New Roman" w:hAnsi="Times New Roman"/>
          <w:sz w:val="20"/>
        </w:rPr>
      </w:pPr>
      <w:r>
        <w:rPr>
          <w:rFonts w:ascii="Times New Roman" w:hAnsi="Times New Roman"/>
          <w:b/>
          <w:i/>
          <w:color w:val="000000"/>
          <w:sz w:val="20"/>
        </w:rPr>
        <w:t>Infectious Disease Outbreaks, Pandemics, or Other Public Health Emergencies or Crisis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business and financial results may be harmed by an international, national or localized outbreak of a highly contagious or epidemic disease, including but not limited to, COVID-19 or similar corona viruses, Ebola or Zika. Such outbreaks may stress the capacity of all or a part of our health care facilities, could result in an abnormally high demand for health care services which may require that resources be diverted from one part of operations to another, or disrupt the supply chain for equipment and supplies necessary for operations. In addition, unaffected individuals may decide to defer elective procedures or otherwise avoid medical treatment, resulting in reduced patient volumes and operating revenues.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to statutory and regulatory changes to the Medicare program and each of the state Medicaid programs, our operations and reimbursement may be affected by administrative rulings, new or novel interpretations and determinations of existing laws and regulations, post-payment audits, requirements for utilization review and new governmental funding restrictions, all of which may materially increase or decrease program payments as well as affect the cost of providing services and the timing of payments to our facilities. The final determination of amounts we receive under the Medicare and Medicaid programs often takes many years, because of audits by the program representatives, providers’ rights of appeal and the application of numerous technical reimbursement provisions. We believe that we have made adequate provisions for such potential adjustments. Nevertheless, until final adjustments are made, certain issues remain unresolved and previously determined allowances could become either inadequate or more than ultimately required.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Finally, we expect continued third-party efforts to aggressively manage reimbursement levels and cost controls. Reductions in reimbursement amounts received from third-party payers could have a material adverse effect on our financial position and our results.</w:t>
      </w:r>
    </w:p>
    <w:p>
      <w:pPr>
        <w:pStyle w:val="TextBody"/>
        <w:bidi w:val="0"/>
        <w:spacing w:before="120" w:after="283"/>
        <w:jc w:val="left"/>
        <w:rPr>
          <w:rFonts w:ascii="Times New Roman" w:hAnsi="Times New Roman"/>
          <w:b/>
          <w:color w:val="000000"/>
          <w:sz w:val="20"/>
          <w:u w:val="single"/>
        </w:rPr>
      </w:pPr>
      <w:r>
        <w:rPr>
          <w:rFonts w:ascii="Times New Roman" w:hAnsi="Times New Roman"/>
          <w:b/>
          <w:color w:val="000000"/>
          <w:sz w:val="20"/>
          <w:u w:val="single"/>
        </w:rPr>
        <w:t>Other Operating Results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69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Interest Expense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reflected on the schedule below, interest expense was $156 million during 2025 and $186 million during 2024 (amounts in thousands):</w:t>
      </w:r>
    </w:p>
    <w:tbl>
      <w:tblPr>
        <w:tblW w:w="7379" w:type="dxa"/>
        <w:jc w:val="left"/>
        <w:tblInd w:w="0" w:type="dxa"/>
        <w:tblLayout w:type="fixed"/>
        <w:tblCellMar>
          <w:top w:w="28" w:type="dxa"/>
          <w:left w:w="28" w:type="dxa"/>
          <w:bottom w:w="28" w:type="dxa"/>
          <w:right w:w="28" w:type="dxa"/>
        </w:tblCellMar>
      </w:tblPr>
      <w:tblGrid>
        <w:gridCol w:w="4726"/>
        <w:gridCol w:w="146"/>
        <w:gridCol w:w="211"/>
        <w:gridCol w:w="781"/>
        <w:gridCol w:w="166"/>
        <w:gridCol w:w="146"/>
        <w:gridCol w:w="211"/>
        <w:gridCol w:w="781"/>
        <w:gridCol w:w="211"/>
      </w:tblGrid>
      <w:tr>
        <w:trPr/>
        <w:tc>
          <w:tcPr>
            <w:tcW w:w="47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7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Revolving credit &amp; demand notes (a.)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18,770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Tranche A term loan, extinguished (a.)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113,934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Tranche A term loan, 2029 (a.)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67,304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20,001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$800 million, 2.65% Senior Notes due 2030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21,426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$700 million, 1.65% Senior Notes due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11,725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$500 million, 2.65% Senior Notes due 2032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13,380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$500 million, 4.625% Senior Notes due 2029 (b.)</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6,113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$500 million, 5.05% Senior Notes due 2034 (c.)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25,408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6,705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7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Subtotal - revolving credit, term loan A and Senior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176,775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212,054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Amortization of financing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5,021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combined 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9,381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Capitalized interest on major projects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(38,922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(1,425</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156,068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186,109</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On September 26, 2024, we entered into the tenth amendment to our credit agreement dated November 15, 2010, as amended and restated at various times from March, 2011 to June, 2022 (the "Credit Agreement"). The tenth amendment provides for, among other things, the following: (i) an extension of the maturity date to September 26, 2029; (ii) a $100 million increase in the revolving credit facility to $1.3 billion of aggregate borrowing capacity (which as of December 31, 2025, had $889 million of aggregate available borrowing capacity, net of $408 million of borrowings outstanding and $3 million of letters of credit), and; (iii) a $1.0 billion reduction in the outstanding borrowings pursuant to the tranche A term loan facility, to $1.2 billion from $2.2 billion previously (which had $1.16 billion of outstanding borrowings as of December 31, 2025), utilizing the proceeds generated from the September, 2024, issuance of the below-mentioned senior notes due in 2029 and 2034.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September, 2024, we completed the offering of $500 million aggregate principal amount of 4.625% Senior Notes due in 2029.</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September, 2024, we completed the offering of $500 million aggregate principal amount of 5.050% Senior Notes due in 2034.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Interest expense decreased by $30 million, or 16%, during 2025 to $156 million as compared to $186 million during 2024. The decrease was primarily due to: (i) a net $35 million decrease in aggregate interest expense on our revolving credit, term loan A and senior notes, resulting from a decrease in our aggregate average cost of borrowings pursuant to these facilities (3.94% during 2025 as compared to 4.65% during 2024), as well as a decrease in the aggregate average outstanding borrowings ($4.40 billion during 2025 as compared to $4.47 billion during 2024), partially offset by; (ii) a $5 million increase resulting from an decrease in capitalized interest on major projects.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average effective interest rate, including amortization of deferred financing costs, on borrowings outstanding under our revolving credit, term loan A and senior notes, which amounted to approximately $4.40 billion as of 2025 and $4.47 billion as of 2024, were 4.1% during 2025 and 4.8% during 2024.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Provision for Income Taxes and Effective Tax Rates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effective tax rates, as calculated by dividing the provision for income taxes by income before income taxes, were as follows for each of the years ended December 31, 2025 and 2024 (dollar amounts in thousands):</w:t>
      </w:r>
    </w:p>
    <w:p>
      <w:pPr>
        <w:pStyle w:val="TextBody"/>
        <w:bidi w:val="0"/>
        <w:jc w:val="left"/>
        <w:rPr/>
      </w:pPr>
      <w:r>
        <w:rPr/>
        <w:t> </w:t>
      </w:r>
    </w:p>
    <w:tbl>
      <w:tblPr>
        <w:tblW w:w="5695" w:type="dxa"/>
        <w:jc w:val="left"/>
        <w:tblInd w:w="0" w:type="dxa"/>
        <w:tblLayout w:type="fixed"/>
        <w:tblCellMar>
          <w:top w:w="28" w:type="dxa"/>
          <w:left w:w="28" w:type="dxa"/>
          <w:bottom w:w="28" w:type="dxa"/>
          <w:right w:w="28" w:type="dxa"/>
        </w:tblCellMar>
      </w:tblPr>
      <w:tblGrid>
        <w:gridCol w:w="2386"/>
        <w:gridCol w:w="146"/>
        <w:gridCol w:w="211"/>
        <w:gridCol w:w="931"/>
        <w:gridCol w:w="271"/>
        <w:gridCol w:w="146"/>
        <w:gridCol w:w="211"/>
        <w:gridCol w:w="931"/>
        <w:gridCol w:w="271"/>
        <w:gridCol w:w="191"/>
      </w:tblGrid>
      <w:tr>
        <w:trPr/>
        <w:tc>
          <w:tcPr>
            <w:tcW w:w="23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3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for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460,959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334,827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before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1,972,141</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1,497,936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Effective tax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provision for income taxes increased $126 million during 2025, as compared to 2024, due primarily to: (i) the increase in the provision for income taxes resulting from the $474 million increase in income before income taxes, and; (ii) a $12 million increase in the provision for income taxes due to a decrease in the net benefit recorded in connection with ASU 2016-09 ($4.2 million net benefit recorded during 2025 as compared to $15.9 million during 2024). Excluding the impact of ASU 2019-09, our effective tax rates were 23.9% and 23.8% during 2025 and 2024, respectively.</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70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Effects of Inflation and Seasonality</w:t>
      </w:r>
    </w:p>
    <w:p>
      <w:pPr>
        <w:pStyle w:val="TextBody"/>
        <w:bidi w:val="0"/>
        <w:spacing w:before="120" w:after="283"/>
        <w:jc w:val="left"/>
        <w:rPr>
          <w:rFonts w:ascii="Times New Roman" w:hAnsi="Times New Roman"/>
          <w:sz w:val="20"/>
        </w:rPr>
      </w:pPr>
      <w:r>
        <w:rPr>
          <w:rFonts w:ascii="Times New Roman" w:hAnsi="Times New Roman"/>
          <w:b/>
          <w:color w:val="000000"/>
          <w:sz w:val="20"/>
        </w:rPr>
        <w:t>Seasonality</w:t>
      </w:r>
      <w:r>
        <w:rPr>
          <w:rFonts w:ascii="Times New Roman" w:hAnsi="Times New Roman"/>
          <w:color w:val="000000"/>
          <w:sz w:val="20"/>
        </w:rPr>
        <w:t xml:space="preserve"> —Our acute care services business is typically seasonal, with higher patient volumes and net patient service revenue in the first and fourth quarters of the year. This seasonality occurs because, generally, more people become ill during the winter months, which results in significant increases in the number of patients treated in our hospitals during those months.</w:t>
      </w:r>
    </w:p>
    <w:p>
      <w:pPr>
        <w:pStyle w:val="TextBody"/>
        <w:bidi w:val="0"/>
        <w:spacing w:before="120" w:after="283"/>
        <w:jc w:val="left"/>
        <w:rPr>
          <w:rFonts w:ascii="Times New Roman" w:hAnsi="Times New Roman"/>
          <w:sz w:val="20"/>
        </w:rPr>
      </w:pPr>
      <w:r>
        <w:rPr>
          <w:rFonts w:ascii="Times New Roman" w:hAnsi="Times New Roman"/>
          <w:b/>
          <w:color w:val="000000"/>
          <w:sz w:val="20"/>
        </w:rPr>
        <w:t xml:space="preserve">Inflation </w:t>
      </w:r>
      <w:r>
        <w:rPr>
          <w:rFonts w:ascii="Times New Roman" w:hAnsi="Times New Roman"/>
          <w:color w:val="000000"/>
          <w:sz w:val="20"/>
        </w:rPr>
        <w:t xml:space="preserve">— See disclosure above in </w:t>
      </w:r>
      <w:r>
        <w:rPr>
          <w:rFonts w:ascii="Times New Roman" w:hAnsi="Times New Roman"/>
          <w:i/>
          <w:color w:val="000000"/>
          <w:sz w:val="20"/>
        </w:rPr>
        <w:t>Results of Operations-Clinical Staffing, Inflation, future Medicaid reductions and Tariffs.</w:t>
      </w:r>
      <w:r>
        <w:rPr>
          <w:rFonts w:ascii="Times New Roman" w:hAnsi="Times New Roman"/>
          <w:color w:val="000000"/>
          <w:sz w:val="20"/>
        </w:rPr>
        <w:t xml:space="preserve">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Liquidity</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Year ended December 31, 2025 as compared to December 31, 2024:</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Net cash provided by operating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cash provided by operating activities was $1.864 billion during 2025 as compared to $2.067 billion during 2024. The net decrease of $203 million was primarily attributable to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favorable change of $300 million resulting from an increase in net income plus/minus depreciation and amortization expense, stock-based compensation expense, unrealized gain on non-marketable securities, losses/gains on sales of assets and businesses, and costs related to the extinguishment of debt;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 unfavorable change of $385 million in accounts receivable (due, in part, to a $145 million increase in net receivables recorded in connection with various Medicaid supplemental payment programs and a $50 million increase in accounts receivable related to two relatively recently opened hospitals in Las Vegas, NV, and Washington, D.C.);</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 unfavorable change of $67 million in payments made in settlement of self-insurance claims, net of commercial insurance reimbursements,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$51 million of other combined net unfavorable changes. </w:t>
      </w:r>
    </w:p>
    <w:p>
      <w:pPr>
        <w:pStyle w:val="TextBody"/>
        <w:bidi w:val="0"/>
        <w:spacing w:before="240" w:after="283"/>
        <w:jc w:val="left"/>
        <w:rPr>
          <w:rFonts w:ascii="Times New Roman" w:hAnsi="Times New Roman"/>
          <w:sz w:val="20"/>
        </w:rPr>
      </w:pPr>
      <w:r>
        <w:rPr>
          <w:rFonts w:ascii="Times New Roman" w:hAnsi="Times New Roman"/>
          <w:b/>
          <w:i/>
          <w:color w:val="000000"/>
          <w:sz w:val="20"/>
        </w:rPr>
        <w:t>Days sales outstanding (“DSO”):</w:t>
      </w:r>
      <w:r>
        <w:rPr>
          <w:rFonts w:ascii="Times New Roman" w:hAnsi="Times New Roman"/>
          <w:color w:val="000000"/>
          <w:sz w:val="20"/>
        </w:rPr>
        <w:t xml:space="preserve"> Our DSO are calculated by dividing our net revenue by the number of days in the year. The result is divided into the accounts receivable balance at the end of the year. Our DSO were 55 days at December 31, 2025 and 50 days at December 31, 2024.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Net cash used in investing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cash used in investing activities was $1.071 billion during 2025 and $911 million during 2024.</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2025: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$1.071 billion of net cash used in investing activities during 2025 consisted of:</w:t>
      </w:r>
    </w:p>
    <w:p>
      <w:pPr>
        <w:pStyle w:val="TextBody"/>
        <w:bidi w:val="0"/>
        <w:spacing w:before="60" w:after="283"/>
        <w:jc w:val="left"/>
        <w:rPr>
          <w:color w:val="000000"/>
        </w:rPr>
      </w:pPr>
      <w:r>
        <w:rPr>
          <w:color w:val="000000"/>
        </w:rPr>
        <w:t>•</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$1.015 billion spent on capital expenditures including capital expenditures for equipment, renovations and new projects at various existing facilities;</w:t>
      </w:r>
    </w:p>
    <w:p>
      <w:pPr>
        <w:pStyle w:val="TextBody"/>
        <w:bidi w:val="0"/>
        <w:spacing w:before="60" w:after="283"/>
        <w:jc w:val="left"/>
        <w:rPr>
          <w:color w:val="000000"/>
        </w:rPr>
      </w:pPr>
      <w:r>
        <w:rPr>
          <w:color w:val="000000"/>
        </w:rPr>
        <w:t>•</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 xml:space="preserve">$63 million received in connection with the sale of certain equity securities; </w:t>
      </w:r>
    </w:p>
    <w:p>
      <w:pPr>
        <w:pStyle w:val="TextBody"/>
        <w:bidi w:val="0"/>
        <w:spacing w:before="60" w:after="283"/>
        <w:jc w:val="left"/>
        <w:rPr>
          <w:color w:val="000000"/>
        </w:rPr>
      </w:pPr>
      <w:r>
        <w:rPr>
          <w:color w:val="000000"/>
        </w:rPr>
        <w:t>•</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$52 million paid in connection with net cash outflows from forward exchange contracts that hedge our investment in the U.K. against movements in exchange rates;</w:t>
      </w:r>
    </w:p>
    <w:p>
      <w:pPr>
        <w:pStyle w:val="TextBody"/>
        <w:bidi w:val="0"/>
        <w:spacing w:before="60" w:after="283"/>
        <w:jc w:val="left"/>
        <w:rPr>
          <w:color w:val="000000"/>
        </w:rPr>
      </w:pPr>
      <w:r>
        <w:rPr>
          <w:color w:val="000000"/>
        </w:rPr>
        <w:t>•</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$48 million spent on the acquisition of businesses and property, and;</w:t>
      </w:r>
    </w:p>
    <w:p>
      <w:pPr>
        <w:pStyle w:val="TextBody"/>
        <w:bidi w:val="0"/>
        <w:spacing w:before="60" w:after="283"/>
        <w:jc w:val="left"/>
        <w:rPr>
          <w:color w:val="000000"/>
        </w:rPr>
      </w:pPr>
      <w:r>
        <w:rPr>
          <w:color w:val="000000"/>
        </w:rPr>
        <w:t>•</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$25 million spent in connection with the purchase and development of an enterprise resource planning application;</w:t>
      </w:r>
    </w:p>
    <w:p>
      <w:pPr>
        <w:pStyle w:val="TextBody"/>
        <w:bidi w:val="0"/>
        <w:spacing w:before="60" w:after="283"/>
        <w:jc w:val="left"/>
        <w:rPr>
          <w:color w:val="000000"/>
        </w:rPr>
      </w:pPr>
      <w:r>
        <w:rPr>
          <w:color w:val="000000"/>
        </w:rPr>
        <w:t>•</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$16 million of proceeds received from sales of assets and businesses, and;</w:t>
      </w:r>
    </w:p>
    <w:p>
      <w:pPr>
        <w:pStyle w:val="TextBody"/>
        <w:bidi w:val="0"/>
        <w:spacing w:before="60" w:after="283"/>
        <w:jc w:val="left"/>
        <w:rPr>
          <w:color w:val="000000"/>
        </w:rPr>
      </w:pPr>
      <w:r>
        <w:rPr>
          <w:color w:val="000000"/>
        </w:rPr>
        <w:t>•</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 xml:space="preserve">$10 million spent in connection with our minority ownership interest in a healthcare generative artificial intelligence company.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2024: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$911 million of net cash used in investing activities during 2024 consisted of:</w:t>
      </w:r>
    </w:p>
    <w:p>
      <w:pPr>
        <w:pStyle w:val="TextBody"/>
        <w:bidi w:val="0"/>
        <w:spacing w:before="60" w:after="283"/>
        <w:jc w:val="left"/>
        <w:rPr>
          <w:color w:val="000000"/>
        </w:rPr>
      </w:pPr>
      <w:r>
        <w:rPr>
          <w:color w:val="000000"/>
        </w:rPr>
        <w:t>•</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$944 million spent on capital expenditures including capital expenditures for equipment, renovations and new projects at various existing facilities;</w:t>
      </w:r>
    </w:p>
    <w:p>
      <w:pPr>
        <w:pStyle w:val="TextBody"/>
        <w:bidi w:val="0"/>
        <w:spacing w:before="60" w:after="283"/>
        <w:jc w:val="left"/>
        <w:rPr>
          <w:color w:val="000000"/>
        </w:rPr>
      </w:pPr>
      <w:r>
        <w:rPr>
          <w:color w:val="000000"/>
        </w:rPr>
        <w:t>•</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$39 million of proceeds received from sales of assets and businesses;</w:t>
      </w:r>
    </w:p>
    <w:p>
      <w:pPr>
        <w:pStyle w:val="TextBody"/>
        <w:bidi w:val="0"/>
        <w:spacing w:before="60" w:after="283"/>
        <w:jc w:val="left"/>
        <w:rPr>
          <w:color w:val="000000"/>
        </w:rPr>
      </w:pPr>
      <w:r>
        <w:rPr>
          <w:color w:val="000000"/>
        </w:rPr>
        <w:t>•</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$19 million spent on the acquisition of businesses and property, and;</w:t>
      </w:r>
    </w:p>
    <w:p>
      <w:pPr>
        <w:pStyle w:val="TextBody"/>
        <w:bidi w:val="0"/>
        <w:spacing w:before="60" w:after="283"/>
        <w:jc w:val="left"/>
        <w:rPr>
          <w:color w:val="000000"/>
        </w:rPr>
      </w:pPr>
      <w:r>
        <w:rPr>
          <w:color w:val="000000"/>
        </w:rPr>
        <w:t>•</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$13 million received in connection with net cash inflows from forward exchange contracts that hedge our investment in the U.K. against movements in exchange rates;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71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Net cash used in financing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cash used in financing activities was $750 million during 2025 and $1.145 billion during 2024.</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2025: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$750 million of net cash used in financing activities during 2025 consisted of the following:</w:t>
      </w:r>
    </w:p>
    <w:p>
      <w:pPr>
        <w:pStyle w:val="TextBody"/>
        <w:bidi w:val="0"/>
        <w:spacing w:before="60" w:after="283"/>
        <w:jc w:val="left"/>
        <w:rPr>
          <w:color w:val="000000"/>
        </w:rPr>
      </w:pPr>
      <w:r>
        <w:rPr>
          <w:color w:val="000000"/>
        </w:rPr>
        <w:t>•</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spent $968 million to repurchase shares of our Class B Common Stock in connection with: (i) open market purchases pursuant to our stock repurchase program ($899 million), and; (ii) income tax withholding obligations related to stock-based compensation programs ($69 million);</w:t>
      </w:r>
    </w:p>
    <w:p>
      <w:pPr>
        <w:pStyle w:val="TextBody"/>
        <w:bidi w:val="0"/>
        <w:spacing w:before="60" w:after="283"/>
        <w:jc w:val="left"/>
        <w:rPr>
          <w:color w:val="000000"/>
        </w:rPr>
      </w:pPr>
      <w:r>
        <w:rPr>
          <w:color w:val="000000"/>
        </w:rPr>
        <w:t>•</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generated $286 million of proceeds from additional borrowings as follows: (i) $278 million pursuant to our revolving credit facility, and; (ii) $8 million of proceeds related to other debt facilities;</w:t>
      </w:r>
    </w:p>
    <w:p>
      <w:pPr>
        <w:pStyle w:val="TextBody"/>
        <w:bidi w:val="0"/>
        <w:spacing w:before="60" w:after="283"/>
        <w:jc w:val="left"/>
        <w:rPr>
          <w:color w:val="000000"/>
        </w:rPr>
      </w:pPr>
      <w:r>
        <w:rPr>
          <w:color w:val="000000"/>
        </w:rPr>
        <w:t>•</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spent $44 million on net repayments of debt as follows: (i) $30 million related to our tranche A term loan facility, and; (ii) $14 million related to other debt facilities;</w:t>
      </w:r>
    </w:p>
    <w:p>
      <w:pPr>
        <w:pStyle w:val="TextBody"/>
        <w:bidi w:val="0"/>
        <w:spacing w:before="60" w:after="283"/>
        <w:jc w:val="left"/>
        <w:rPr>
          <w:color w:val="000000"/>
        </w:rPr>
      </w:pPr>
      <w:r>
        <w:rPr>
          <w:color w:val="000000"/>
        </w:rPr>
        <w:t>•</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generated $17 million from the issuance of shares of our Class B Common Stock pursuant to the terms of employee stock purchase plans;</w:t>
      </w:r>
    </w:p>
    <w:p>
      <w:pPr>
        <w:pStyle w:val="TextBody"/>
        <w:bidi w:val="0"/>
        <w:spacing w:before="60" w:after="283"/>
        <w:jc w:val="left"/>
        <w:rPr>
          <w:color w:val="000000"/>
        </w:rPr>
      </w:pPr>
      <w:r>
        <w:rPr>
          <w:color w:val="000000"/>
        </w:rPr>
        <w:t>•</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 xml:space="preserve">spent $51 million to pay quarterly cash dividends of $.20 per share; </w:t>
      </w:r>
    </w:p>
    <w:p>
      <w:pPr>
        <w:pStyle w:val="TextBody"/>
        <w:bidi w:val="0"/>
        <w:spacing w:before="60" w:after="283"/>
        <w:jc w:val="left"/>
        <w:rPr>
          <w:color w:val="000000"/>
        </w:rPr>
      </w:pPr>
      <w:r>
        <w:rPr>
          <w:color w:val="000000"/>
        </w:rPr>
        <w:t>•</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received $23 million, net of purchases, from the sale of ownership interests to minority members, and;</w:t>
      </w:r>
    </w:p>
    <w:p>
      <w:pPr>
        <w:pStyle w:val="TextBody"/>
        <w:bidi w:val="0"/>
        <w:spacing w:before="60" w:after="283"/>
        <w:jc w:val="left"/>
        <w:rPr>
          <w:color w:val="000000"/>
        </w:rPr>
      </w:pPr>
      <w:r>
        <w:rPr>
          <w:color w:val="000000"/>
        </w:rPr>
        <w:t>•</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spent $12 million to pay profit distributions related to noncontrolling interests in majority owned businesses.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2024: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$1.145 billion of net cash used in financing activities during 2024 consisted of the following:</w:t>
      </w:r>
    </w:p>
    <w:p>
      <w:pPr>
        <w:pStyle w:val="TextBody"/>
        <w:bidi w:val="0"/>
        <w:spacing w:before="60" w:after="283"/>
        <w:jc w:val="left"/>
        <w:rPr>
          <w:color w:val="000000"/>
        </w:rPr>
      </w:pPr>
      <w:r>
        <w:rPr>
          <w:color w:val="000000"/>
        </w:rPr>
        <w:t>•</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spent $2.640 billion on net repayments of debt as follows: (i) $2.259 billion related to our previous tranche A term loan facility which was extinguished in September, 2024, and replaced with a new $1.2 billion tranche A term loan facility; (ii) $366 million related to our revolving credit facility, and; (iii) $15 million related to other debt facilities;</w:t>
      </w:r>
    </w:p>
    <w:p>
      <w:pPr>
        <w:pStyle w:val="TextBody"/>
        <w:bidi w:val="0"/>
        <w:spacing w:before="60" w:after="283"/>
        <w:jc w:val="left"/>
        <w:rPr>
          <w:color w:val="000000"/>
        </w:rPr>
      </w:pPr>
      <w:r>
        <w:rPr>
          <w:color w:val="000000"/>
        </w:rPr>
        <w:t>•</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generated $2.210 billion of proceeds from additional borrowings as follows: (i) $1.200 billion related to our new tranche A term loan facility, as mentioned above; (ii) generated approximately $500 million of net proceeds (before expenses) related to the public offering, in September, 2024, of 4.625% senior secured notes due in 2029; (iii) generated approximately $498 million of net proceeds (before expenses) related to the public offering, in September, 2024, of 5.050% senior secured notes due in 2034, and; (iv) $12 million of proceeds related to other debt facilities;</w:t>
      </w:r>
    </w:p>
    <w:p>
      <w:pPr>
        <w:pStyle w:val="TextBody"/>
        <w:bidi w:val="0"/>
        <w:spacing w:before="60" w:after="283"/>
        <w:jc w:val="left"/>
        <w:rPr>
          <w:color w:val="000000"/>
        </w:rPr>
      </w:pPr>
      <w:r>
        <w:rPr>
          <w:color w:val="000000"/>
        </w:rPr>
        <w:t>•</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spent $671 million to repurchase shares of our Class B Common Stock in connection with: (i) open market purchases pursuant to our stock repurchase program ($599 million), and; (ii) income tax withholding obligations related to stock-based compensation programs ($72 million);</w:t>
      </w:r>
    </w:p>
    <w:p>
      <w:pPr>
        <w:pStyle w:val="TextBody"/>
        <w:bidi w:val="0"/>
        <w:spacing w:before="60" w:after="283"/>
        <w:jc w:val="left"/>
        <w:rPr>
          <w:color w:val="000000"/>
        </w:rPr>
      </w:pPr>
      <w:r>
        <w:rPr>
          <w:color w:val="000000"/>
        </w:rPr>
        <w:t>•</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 xml:space="preserve">spent $53 million to pay quarterly cash dividends of $.20 per share; </w:t>
      </w:r>
    </w:p>
    <w:p>
      <w:pPr>
        <w:pStyle w:val="TextBody"/>
        <w:bidi w:val="0"/>
        <w:spacing w:before="60" w:after="283"/>
        <w:jc w:val="left"/>
        <w:rPr>
          <w:color w:val="000000"/>
        </w:rPr>
      </w:pPr>
      <w:r>
        <w:rPr>
          <w:color w:val="000000"/>
        </w:rPr>
        <w:t>•</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generated $15 million from the issuance of shares of our Class B Common Stock pursuant to the terms of employee stock purchase plans;</w:t>
      </w:r>
    </w:p>
    <w:p>
      <w:pPr>
        <w:pStyle w:val="TextBody"/>
        <w:bidi w:val="0"/>
        <w:spacing w:before="60" w:after="283"/>
        <w:jc w:val="left"/>
        <w:rPr>
          <w:color w:val="000000"/>
        </w:rPr>
      </w:pPr>
      <w:r>
        <w:rPr>
          <w:color w:val="000000"/>
        </w:rPr>
        <w:t>•</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received $13 million from the sale of ownership interests to minority members;</w:t>
      </w:r>
    </w:p>
    <w:p>
      <w:pPr>
        <w:pStyle w:val="TextBody"/>
        <w:bidi w:val="0"/>
        <w:spacing w:before="60" w:after="283"/>
        <w:jc w:val="left"/>
        <w:rPr>
          <w:color w:val="000000"/>
        </w:rPr>
      </w:pPr>
      <w:r>
        <w:rPr>
          <w:color w:val="000000"/>
        </w:rPr>
        <w:t>•</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spent $13 million to pay financing costs, and;</w:t>
      </w:r>
    </w:p>
    <w:p>
      <w:pPr>
        <w:pStyle w:val="TextBody"/>
        <w:bidi w:val="0"/>
        <w:spacing w:before="60" w:after="283"/>
        <w:jc w:val="left"/>
        <w:rPr>
          <w:color w:val="000000"/>
        </w:rPr>
      </w:pPr>
      <w:r>
        <w:rPr>
          <w:color w:val="000000"/>
        </w:rPr>
        <w:t>•</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spent $7 million to pay profit distributions related to noncontrolling interests in majority owned businesses.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2026 Expected Capital Expenditures: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2026, we expect to spend approximately $950 million to $1.1 billion on capital expenditures which includes expenditures for capital equipment, construction of new facilities, and renovations and expansions at existing hospitals. We believe that our capital expenditure program is adequate to expand, improve and equip our existing hospitals. We expect to finance all capital expenditures and acquisitions with internally generated funds and/or additional funds, as discussed below.</w:t>
      </w:r>
    </w:p>
    <w:p>
      <w:pPr>
        <w:pStyle w:val="TextBody"/>
        <w:bidi w:val="0"/>
        <w:spacing w:before="120" w:after="283"/>
        <w:jc w:val="left"/>
        <w:rPr>
          <w:rFonts w:ascii="Times New Roman" w:hAnsi="Times New Roman"/>
          <w:b/>
          <w:i/>
          <w:color w:val="000000"/>
          <w:sz w:val="20"/>
          <w:u w:val="single"/>
        </w:rPr>
      </w:pPr>
      <w:r>
        <w:rPr>
          <w:rFonts w:ascii="Times New Roman" w:hAnsi="Times New Roman"/>
          <w:b/>
          <w:i/>
          <w:color w:val="000000"/>
          <w:sz w:val="20"/>
          <w:u w:val="single"/>
        </w:rPr>
        <w:t>Capital Resources: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Credit Facilities and Outstanding Debt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September 2024, we entered into a tenth amendment ("Tenth Amendment") to our credit agreement ("Credit Agreement"), dated as of November 15, 2010, as amended and restated at various times from March, 2011 to June, 2022, among UHS, as borrower, the several banks and other financial institutions or entities from time to time parties thereto, as lenders, and JPMorgan Chase Bank, N.A., as administrative agent. The Tenth Amendment provided for: (i) an extension of the maturity date to September 26, 2029; (ii) a new revolving credit facility of up to $1.3 billion (which as of December 31, 2025, had $889 million of aggregate available borrowing capacity, net of $408 million of borrowings outstanding and $3 million of letters of credit), and; (iii) a new replacement tranche A term loan facility ("Tranche A Term Loan") of up to $1.2 billion (which had $1.16 billion of outstanding borrowings as of December 31, 2025).</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72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Pursuant to the terms of the Tenth Amendment, the Tranche A Term Loan provides for installment payments of $7.5 million per quarter commencing on December 31, 2024 through September 30, 2026, and $15.0 million per quarter commencing on December 31, 2026 through June 30, 2029. The unpaid principal balance at June 30, 2029 (scheduled to be $975.0 million) is payable on the September 26, 2029 scheduled maturity date of the Credit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Revolving credit and Tranche A Term Loan borrowings under the Credit Agreement bear interest at our election at either (1) the ABR rate which is defined as the rate per annum equal to the greatest of (a) the lender’s prime rate, (b) the greater of the federal funds effective rate and the overnight bank funding rate, plus 0.5% and (c) one month term SOFR rate plus 1.1%, in each case, plus an applicable margin based upon our consolidated leverage ratio at the end of each quarter ranging from 0.25% to 0.625%, or (2) the one, three or six month term SOFR rate plus 0.1% (at our election), plus an applicable margin based upon our consolidated leverage ratio at the end of each quarter ranging from 1.25% to 1.625%. As of December 31, 2025, the applicable margins were 0.25% for ABR-based loans and 1.25% for SOFR-based loans under the revolving credit and term loan A facilities. The revolving credit facility includes a $125 million sub-limit for letters of credit. The Credit Agreement is secured by certain assets of the Company and our material subsidiaries (which generally excludes asset classes such as substantially all of the patient-related accounts receivable of our acute care hospitals, if sold to a receivables facility pursuant to the Credit Agreement, and certain real estate assets and assets held in joint-ventures with third parties) and is guaranteed by our material subsidiaries.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Credit Agreement includes a material adverse change clause that must be represented at each draw. The Credit Agreement also contains covenants that include a limitation on sales of assets, mergers, change of ownership, liens, indebtedness, transactions with affiliates, dividends and stock repurchases; and requires compliance with financial covenants including maximum leverage. We were in compliance with all required covenants as of December 31, 2025 and December 31, 2024.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December 31, 2025, we had combined aggregate principal of $3.0 billion from the following senior secured notes: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$700 million of aggregate principal amount of 1.65% senior secured notes due in September, 2026 ("2026 Notes") which were issued on August 24, 2021. Interest on the 2026 Notes is payable on March 1st and September 1st until the maturity date of September 1, 2026.</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$500 million of aggregate principal amount of 4.625% senior secured notes due in October, 2029 ("2029 Notes") which were issued on September 26, 2024. Interest on the 2029 Notes is payable on April 15th and October 15th, commencing April 15, 2025 until the maturity date of October 15, 2029.</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$800 million of aggregate principal amount of 2.65% senior secured notes due in October, 2030 ("2030 Notes") which were issued on September 21, 2020. Interest on the 2030 Notes is payable on April 15th and October 15th, until the maturity date of October 15, 2030.</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$500 million of aggregate principal amount of 2.65% senior secured notes due in January, 2032 ("2032 Notes") which were issued on August 24, 2021. Interest on the 2032 Notes is payable on January 15th and July 15th until the maturity date of January 15, 2032.</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$500 million of aggregate principal amount of 5.050% senior secured notes due in October, 2034 ("2034 Notes") which were issued on September 26, 2024. Interest on the 2034 Notes is payable on April 15th and October 15th, commencing on April 15, 2025 until the maturity date of October 15, 2034.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2026, 2029, 2030, 2032 and 2034 Notes (collectively "All the Notes") are guaranteed (the “Guarantees”) on a senior secured basis by all of our existing and future direct and indirect subsidiaries that guarantee our Credit Agreement, other first lien obligations, or any junior lien obligations (the "Subsidiary Guarantors"). All the Notes and the Guarantees are secured by first-priority liens, subject to permitted liens, on certain of the Company’s and the Subsidiary Guarantors’ assets now owned or acquired in the future by the Company or the Subsidiary Guarantors (other than real property, accounts receivable sold pursuant to a Company-related receivables facility (as defined in the Indenture pursuant to which All the Notes were issued (the “Indentures”), and certain other excluded assets). The Company’s obligations with respect to All the Notes, the obligations of the Subsidiary Guarantors under the Guarantees, and the performance of all of the Company’s and the Subsidiary Guarantors’ other obligations under the Indentures, are secured equally and ratably with the Company’s and the Subsidiary Guarantors’ obligations under the Credit Agreement. However, the liens on the collateral securing All the Notes and the Guarantees will be released if: (i) All the Notes have investment grade ratings; (ii) no default has occurred and is continuing, and; (iii) the liens on the collateral securing all first lien obligations (including the Credit Agreement and All the Notes) and any junior lien obligations are released or the collateral under the Credit Agreement, any other first lien obligations and any junior lien obligations is released or no longer required to be pledged. The liens on any collateral securing All the Notes and the Guarantees will also be released if the liens on that collateral securing the Credit Agreement, other first lien obligations and any junior lien obligations are released.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connection with an asset purchase and sale agreement, and related lease agreements, completed with Universal Health Realty Income Trust ("Trust") in December 2021, our consolidated balance sheets at December 31, 2025 and December 31, 2024 reflect financial liabilities, which are included in debt, of approximately $70 million and $74 million, respectively. In connection with that transaction, as a result of our purchase option within the lease agreements related to two of our facilities, the asset purchase and sale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73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transaction was accounted for as a failed sale leaseback in accordance with U.S. GAAP and we have accounted for the transaction as a financing arrangement. Our lease payments payable to the Trust are recorded to interest expense and as a reduction of the outstanding financial liability, and the amount allocated to interest expense is determined based upon our incremental borrowing rate and the outstanding financial liability.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At December 31, 2025, the carrying value and fair value of our debt were approximately $4.8 billion and $4.6 billion, respectively. At December 31, 2024, the carrying value and fair value of our debt were approximately $4.5 billion and $4.2 billion, respectively. The fair value of our debt was computed based upon quotes received from financial institutions. We consider these to be “level 2” in the fair value hierarchy as outlined in the authoritative guidance for disclosures in connection with debt instruments.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total debt as a percentage of total capitalization was approximately 40% at each of December 31, 2025 and December 31, 2024.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expect to finance all capital expenditures and acquisitions and pay dividends and potentially repurchase shares of our common stock utilizing internally generated and additional funds. Additional funds may be obtained through: (i) borrowings under our existing revolving credit facility, which had $965 million of available borrowing capacity as of December 31, 2025, or through refinancing the existing Credit Agreement; (ii) the issuance of other short-term and/or long-term debt, and/or; (iii) the issuance of equity.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$700 million, 1.65% senior notes ("2026 Notes") mature on September 1, 2026. Market interest rates have increased significantly since the 2026 Notes were issued in 2021. We expect that we will refinance the 2026 Notes at significantly higher interest rates which will significantly increase our interest expense thereby decreasing our net income attributable to UHS.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believe that our operating cash flows, cash and cash equivalents, available commitments under existing agreements, as well as access to the capital markets, provide us with sufficient capital resources to fund our operating, investing and financing requirements for the next twelve months. However, in the event we need to access the capital markets or other sources of financing, there can be no assurance that we will be able to obtain financing on acceptable terms or within an acceptable time. Our inability to obtain financing on terms acceptable to us could have a material unfavorable impact on our results of operations, financial condition and liquidity.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Supplemental Guarantor Financial Information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December 31, 2025, we had combined aggregate principal of $3.0 billion from All the Notes:</w:t>
      </w:r>
    </w:p>
    <w:p>
      <w:pPr>
        <w:pStyle w:val="TextBody"/>
        <w:bidi w:val="0"/>
        <w:spacing w:before="60" w:after="283"/>
        <w:jc w:val="left"/>
        <w:rPr>
          <w:color w:val="000000"/>
        </w:rPr>
      </w:pPr>
      <w:r>
        <w:rPr>
          <w:color w:val="000000"/>
        </w:rPr>
        <w:t>•</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$700 million aggregate principal amount of the 2026 Notes;</w:t>
      </w:r>
    </w:p>
    <w:p>
      <w:pPr>
        <w:pStyle w:val="TextBody"/>
        <w:bidi w:val="0"/>
        <w:spacing w:before="60" w:after="283"/>
        <w:jc w:val="left"/>
        <w:rPr>
          <w:color w:val="000000"/>
        </w:rPr>
      </w:pPr>
      <w:r>
        <w:rPr>
          <w:color w:val="000000"/>
        </w:rPr>
        <w:t>•</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$500 million aggregate principal amount of the 2029 Notes;</w:t>
      </w:r>
    </w:p>
    <w:p>
      <w:pPr>
        <w:pStyle w:val="TextBody"/>
        <w:bidi w:val="0"/>
        <w:spacing w:before="60" w:after="283"/>
        <w:jc w:val="left"/>
        <w:rPr>
          <w:color w:val="000000"/>
        </w:rPr>
      </w:pPr>
      <w:r>
        <w:rPr>
          <w:color w:val="000000"/>
        </w:rPr>
        <w:t>•</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$800 million aggregate principal amount of the 2030 Notes;</w:t>
      </w:r>
    </w:p>
    <w:p>
      <w:pPr>
        <w:pStyle w:val="TextBody"/>
        <w:bidi w:val="0"/>
        <w:spacing w:before="60" w:after="283"/>
        <w:jc w:val="left"/>
        <w:rPr>
          <w:color w:val="000000"/>
        </w:rPr>
      </w:pPr>
      <w:r>
        <w:rPr>
          <w:color w:val="000000"/>
        </w:rPr>
        <w:t>•</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$500 million of aggregate principal amount of the 2032 Notes, and;</w:t>
      </w:r>
    </w:p>
    <w:p>
      <w:pPr>
        <w:pStyle w:val="TextBody"/>
        <w:bidi w:val="0"/>
        <w:spacing w:before="60" w:after="283"/>
        <w:jc w:val="left"/>
        <w:rPr>
          <w:color w:val="000000"/>
        </w:rPr>
      </w:pPr>
      <w:r>
        <w:rPr>
          <w:color w:val="000000"/>
        </w:rPr>
        <w:t>•</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$500 million of aggregate principal amount of the 2034 Notes.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the Notes are fully and unconditionally guaranteed pursuant to the Guarantees on a senior secured basis by the Subsidiary Guarantors. All the Notes and the Guarantees are secured by first-priority liens, subject to permitted liens, on certain of the Company’s and the Subsidiary Guarantors’ assets now owned or acquired in the future by the Company or the Subsidiary Guarantors (other than real property, accounts receivable sold pursuant to the Company’s existing receivables facility (as defined in the Indentures pursuant to which All the Notes were issued), and certain other excluded assets). The Company’s obligations with respect to All the Notes, the obligations of the Subsidiary Guarantors under the Guarantees, and the performance of all of the Company’s and the Subsidiary Guarantors’ other obligations under the Indentures, are secured equally and ratably with the Company’s and the Subsidiary Guarantors’ obligations under the Credit Agreement and All the Notes by a perfected first-priority security interest, subject to permitted liens, in the collateral owned by the Company and its Subsidiary Guarantors, whether now owned or hereafter acquired. However, the liens on the collateral securing All the Notes and the Guarantees will be released if: (i) All the Notes have investment grade ratings; (ii) no default has occurred and is continuing, and; (iii) the liens on the collateral securing all first lien obligations (including the Credit Agreement and All the Notes) and any junior lien obligations are released or the collateral under the Credit Agreement, any other first lien obligations and any junior lien obligations is released or no longer required to be pledged. The liens on any collateral securing All the Notes and the Guarantees will also be released if the liens on that collateral securing the Credit Agreement, other first lien obligations and any junior lien obligations are released.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All the Notes will be structurally subordinated to all obligations of our existing and future subsidiaries that are not and do not become Subsidiary Guarantors of All the Notes. No appraisal of the value of the collateral has been made, and the value of the collateral in the event of liquidation will depend on market and economic conditions, the availability of buyers and other factors. Consequently, liquidating the collateral securing All the Notes may not produce proceeds in an amount sufficient to pay any amounts due on All the Notes.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and our subsidiaries may be able to incur significant additional indebtedness in the future. Although our Credit Agreement contains restrictions on the incurrence of additional indebtedness and our Credit Agreement and All the Notes contain restrictions on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74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incur liens to secure additional indebtedness, these restrictions are subject to a number of qualifications and exceptions, and the additional indebtedness incurred in compliance with these restrictions could be substantial. These restrictions also will not prevent us from incurring obligations that do not constitute indebtedness. In addition, if we incur any additional indebtedness secured by liens that rank equally with All the Notes, subject to collateral arrangements, the holders of that debt will be entitled to share ratably with holders of All the Notes in any proceeds distributed in connection with any insolvency, liquidation, reorganization, dissolution or other winding up of our company. This may have the effect of reducing the amount of proceeds paid to holders of All the Notes.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Federal and state fraudulent transfer and conveyance statutes may apply to the issuance of All the Notes and the incurrence of the Guarantees. Under federal bankruptcy law and comparable provisions of state fraudulent transfer or conveyance laws, which may vary from state to state, All the Notes or the Guarantees (or the grant of collateral securing any such obligations) could be voided as a fraudulent transfer or conveyance if we or any of the Subsidiary Guarantors, as applicable, (a) issued All the Notes or incurred the Guarantees with the intent of hindering, delaying or defrauding creditors or (b) under certain circumstances received less than reasonably equivalent value or fair consideration in return for either issuing All the Notes or incurring the Guarantees.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Basis of Presentation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tables include summarized financial information of Universal Health Services, Inc. and the other obligors in respect of debt issued by Universal Health Services, Inc. The summarized financial information of each obligor group is presented on a combined basis with balances and transactions within the obligor group eliminated. Investments in and the equity in earnings of non-guarantor subsidiaries, which would otherwise be consolidated in accordance with GAAP, are excluded from the below summarized financial information pursuant to SEC Regulation S-X Rule 13-01.</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summarized balance sheet information for the consolidated obligor group of debt issued by Universal Health Services, Inc. is presented in the table below:</w:t>
      </w:r>
    </w:p>
    <w:tbl>
      <w:tblPr>
        <w:tblW w:w="6413" w:type="dxa"/>
        <w:jc w:val="left"/>
        <w:tblInd w:w="0" w:type="dxa"/>
        <w:tblLayout w:type="fixed"/>
        <w:tblCellMar>
          <w:top w:w="28" w:type="dxa"/>
          <w:left w:w="28" w:type="dxa"/>
          <w:bottom w:w="28" w:type="dxa"/>
          <w:right w:w="28" w:type="dxa"/>
        </w:tblCellMar>
      </w:tblPr>
      <w:tblGrid>
        <w:gridCol w:w="2122"/>
        <w:gridCol w:w="348"/>
        <w:gridCol w:w="1542"/>
        <w:gridCol w:w="160"/>
        <w:gridCol w:w="160"/>
        <w:gridCol w:w="348"/>
        <w:gridCol w:w="1542"/>
        <w:gridCol w:w="191"/>
      </w:tblGrid>
      <w:tr>
        <w:trPr/>
        <w:tc>
          <w:tcPr>
            <w:tcW w:w="2122"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542"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54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1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9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1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 thousands)</w:t>
            </w:r>
          </w:p>
        </w:tc>
        <w:tc>
          <w:tcPr>
            <w:tcW w:w="18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2025</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3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2,746,857</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2,279,988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Noncurrent assets (1)</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9,453,432</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9,214,924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3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2,837,781</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1,870,563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Noncurrent liabilities</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4,828,865</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5,451,167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Due to non-guarantors</w:t>
            </w:r>
          </w:p>
        </w:tc>
        <w:tc>
          <w:tcPr>
            <w:tcW w:w="3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1,235,522</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912,958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22" w:type="dxa"/>
            <w:gridSpan w:val="7"/>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 Includes goodwill of $3,262 million as of December 31, 2025 and 2024.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summarized results of operations information for the consolidated obligor group of debt issued by Universal Health Services, Inc. is presented in the table below:</w:t>
      </w:r>
    </w:p>
    <w:tbl>
      <w:tblPr>
        <w:tblW w:w="6869" w:type="dxa"/>
        <w:jc w:val="left"/>
        <w:tblInd w:w="0" w:type="dxa"/>
        <w:tblLayout w:type="fixed"/>
        <w:tblCellMar>
          <w:top w:w="28" w:type="dxa"/>
          <w:left w:w="28" w:type="dxa"/>
          <w:bottom w:w="28" w:type="dxa"/>
          <w:right w:w="28" w:type="dxa"/>
        </w:tblCellMar>
      </w:tblPr>
      <w:tblGrid>
        <w:gridCol w:w="2386"/>
        <w:gridCol w:w="335"/>
        <w:gridCol w:w="1645"/>
        <w:gridCol w:w="166"/>
        <w:gridCol w:w="146"/>
        <w:gridCol w:w="335"/>
        <w:gridCol w:w="1645"/>
        <w:gridCol w:w="211"/>
      </w:tblGrid>
      <w:tr>
        <w:trPr/>
        <w:tc>
          <w:tcPr>
            <w:tcW w:w="238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64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64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3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Twelve Months Ended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8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Twelve Months Ended</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3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 thousands)</w:t>
            </w:r>
          </w:p>
        </w:tc>
        <w:tc>
          <w:tcPr>
            <w:tcW w:w="19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revenues</w:t>
            </w:r>
          </w:p>
        </w:tc>
        <w:tc>
          <w:tcPr>
            <w:tcW w:w="3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13,798,773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12,642,381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charges</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12,012,189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11,200,769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 net</w:t>
            </w:r>
          </w:p>
        </w:tc>
        <w:tc>
          <w:tcPr>
            <w:tcW w:w="3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206,845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248,568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 net</w:t>
            </w:r>
          </w:p>
        </w:tc>
        <w:tc>
          <w:tcPr>
            <w:tcW w:w="3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(134,903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3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3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1,302,496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920,944</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Affiliates Whose Securities Collateralize the Senior Secured Notes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the Notes and the Guarantees are secured by, among other things, pledges of the capital stock of our subsidiaries held by us or by our secured Guarantors, in each case other than certain excluded assets and subject to permitted liens. Such collateral securities are secured equally and ratably with our and the Guarantors’ obligations under our Credit Agreement. For a list of our subsidiaries the capital stock of which has been pledged to secure All the Notes, see Exhibit 22.1 to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Upon the occurrence and during the continuance of an event of default under the indentures governing All the Notes, subject to the terms of the Security Agreement relating to All the Notes provide for (among other available remedies) the foreclosure upon and sale of the Collateral (including the pledged stock) and the distribution of the net proceeds of any such sale to the holders of All the Notes, the lenders under the Credit Agreement and the holders of any other permitted first priority secured obligations on a pro rata basis, subject to any prior liens on the collateral.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 appraisal of the value of the collateral securities has been made, and the value of the collateral securities in the event of liquidation will depend on market and economic conditions, the availability of buyers and other factors. Consequently, liquidating the collateral securities securing All the Notes may not produce proceeds in an amount sufficient to pay any amounts due on All the Notes.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75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security agreement relating to All the Notes provides that the representative of the lenders under our Credit Agreement will initially control actions with respect to that collateral and, consequently, exercise of any right, remedy or power with respect to enforcing interests in or realizing upon such collateral will initially be at the direction of the representative of the lenders.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 trading market exists for the capital stock pledged as collateral.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assets, liabilities and results of operations of the combined affiliates whose securities are pledged as collateral are not materially different than the corresponding amounts presented in the consolidated financial information of Universal Health Services, Inc.</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Contractual Obligations and Off-Balance Sheet Arrangements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December 31, 2025 we were party to certain off balance sheet arrangements consisting of standby letters of credit and surety bonds which totaled $177 million consisting of: (i) $156 million related to our self-insurance programs, and; (ii) $21 million of other debt and public utility guarantees.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Obligations under operating leases for real property, real property master leases and equipment amount to $868 million as of December 31, 2025. The real property master leases are leases for buildings on or near hospital property for which we guarantee a certain level of rental income. We sublease space in these buildings and any amounts received from these subleases are offset against the expense. In addition, we lease certain hospital facilities from Universal Health Realty Income Trust (the “Trust”) with terms scheduled to expire in 2026, 2033 and 2040. These leases contain various renewal options, as disclosed in </w:t>
      </w:r>
      <w:r>
        <w:rPr>
          <w:rFonts w:ascii="Times New Roman" w:hAnsi="Times New Roman"/>
          <w:i/>
          <w:color w:val="000000"/>
          <w:sz w:val="20"/>
        </w:rPr>
        <w:t>Note 9 to the Consolidated Financial Statements-Relationship with Universal Health Realty Income Trust and Other Related Party Transactions</w:t>
      </w:r>
      <w:r>
        <w:rPr>
          <w:rFonts w:ascii="Times New Roman" w:hAnsi="Times New Roman"/>
          <w:color w:val="000000"/>
          <w:sz w:val="20"/>
        </w:rPr>
        <w:t xml:space="preserve">. We also lease two free-standing emergency departments and space in certain medical office buildings which are owned by the Trust. In addition, we lease the real property of certain other facilities from non-related parties as indicated in </w:t>
      </w:r>
      <w:r>
        <w:rPr>
          <w:rFonts w:ascii="Times New Roman" w:hAnsi="Times New Roman"/>
          <w:i/>
          <w:color w:val="000000"/>
          <w:sz w:val="20"/>
        </w:rPr>
        <w:t>Item 2. Properties,</w:t>
      </w:r>
      <w:r>
        <w:rPr>
          <w:rFonts w:ascii="Times New Roman" w:hAnsi="Times New Roman"/>
          <w:color w:val="000000"/>
          <w:sz w:val="20"/>
        </w:rPr>
        <w:t xml:space="preserve"> as included herein.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represents the scheduled maturities of our contractual obligations as of December 31, 2025:</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140"/>
        <w:gridCol w:w="146"/>
        <w:gridCol w:w="211"/>
        <w:gridCol w:w="931"/>
        <w:gridCol w:w="146"/>
        <w:gridCol w:w="146"/>
        <w:gridCol w:w="211"/>
        <w:gridCol w:w="931"/>
        <w:gridCol w:w="146"/>
        <w:gridCol w:w="146"/>
        <w:gridCol w:w="211"/>
        <w:gridCol w:w="781"/>
        <w:gridCol w:w="146"/>
        <w:gridCol w:w="146"/>
        <w:gridCol w:w="211"/>
        <w:gridCol w:w="931"/>
        <w:gridCol w:w="146"/>
        <w:gridCol w:w="146"/>
        <w:gridCol w:w="211"/>
        <w:gridCol w:w="931"/>
        <w:gridCol w:w="191"/>
      </w:tblGrid>
      <w:tr>
        <w:trPr/>
        <w:tc>
          <w:tcPr>
            <w:tcW w:w="314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14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728"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Payments Due by Period (dollars in thousands)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4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Less than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After</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14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1 year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5 years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debt obligations (a)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4,752,551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748,158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142,280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2,729,886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1,132,227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40"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Estimated future interest payments on debt</w:t>
              <w:br/>
              <w:t>   outstanding as of December 31, 2025 (b)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932,680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177,961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340,351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211,753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202,615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Construction commitments (c)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Purchase and other obligations (d)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352,586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103,571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120,620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87,435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40,960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leases (e)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868,661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86,261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127,016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86,656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568,728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Estimated future payments for defined benefit</w:t>
              <w:br/>
              <w:t>   pension plan, and other retirement plan (f)</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153,666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102,490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Health and dental unpaid claims (g)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136,972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136,972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1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contractual cash obligations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7,204,426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1,281,431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746,287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3,129,688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2,047,020</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w:t>
      </w:r>
    </w:p>
    <w:p>
      <w:pPr>
        <w:pStyle w:val="TextBody"/>
        <w:bidi w:val="0"/>
        <w:spacing w:before="0" w:after="0"/>
        <w:jc w:val="left"/>
        <w:rPr/>
      </w:pPr>
      <w:r>
        <w:rPr>
          <w:rFonts w:ascii="Times New Roman" w:hAnsi="Times New Roman"/>
          <w:color w:val="000000"/>
          <w:sz w:val="20"/>
        </w:rPr>
        <w:t xml:space="preserve">Reflects debt outstanding, after unamortized financing costs, as of December 31, 2025 as discussed in </w:t>
      </w:r>
      <w:r>
        <w:rPr>
          <w:rFonts w:ascii="Times New Roman" w:hAnsi="Times New Roman"/>
          <w:i/>
          <w:color w:val="000000"/>
          <w:sz w:val="20"/>
        </w:rPr>
        <w:t>Note 4 to the Consolidated Financial Statements</w:t>
      </w:r>
      <w:r>
        <w:rPr>
          <w:rFonts w:ascii="Times New Roman" w:hAnsi="Times New Roman"/>
          <w:color w:val="000000"/>
          <w:sz w:val="2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(b)</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Assumes that all debt outstanding as of December 31, 2025, including borrowings under our Credit Agreement, remain outstanding until the final maturity of the debt agreements at the same interest rates (some of which are floating) which were in effect as of December 31, 2025. We have the right to repay borrowings upon short notice and without penalty, pursuant to the terms of the Credit Agreement.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(c)</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Our share of the estimated construction cost of two behavioral health care facilities completed in 2025 that, subject to approval of certain regulatory conditions, we are required to build pursuant to joint-venture agreements with third parties. In addition, we had various other projects under construction as of December 31, 2025. Because we can terminate substantially all of the construction contracts related to the various other projects at any time without paying a termination fee, these costs are excluded from the table above.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(d)</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Consists of: (i) $159 million related to the ongoing operation of an electronic health records application and purchase and implementation of a revenue cycle and other applications for our facilities; (ii) $70 million related to the development, implementation and operation of an enterprise resource planning application; (iii) $54 million in healthcare infrastructure in Washington D.C. in connection with various agreements with the District of Columbia, as discussed below; (iv) $35 million related to long-term contracts with third-parties consisting primarily of certain revenue cycle data processing services for our acute care facilities; (v) $24 million for administrative software applications, and; (vi) $10 million for other software applications.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(e)</w:t>
      </w:r>
    </w:p>
    <w:p>
      <w:pPr>
        <w:pStyle w:val="TextBody"/>
        <w:bidi w:val="0"/>
        <w:jc w:val="left"/>
        <w:rPr/>
      </w:pPr>
      <w:r>
        <w:rPr>
          <w:rFonts w:ascii="Times New Roman" w:hAnsi="Times New Roman"/>
          <w:color w:val="000000"/>
          <w:sz w:val="20"/>
        </w:rPr>
        <w:t xml:space="preserve">Reflects our future minimum operating lease payment obligations related to our operating lease agreements outstanding as of December 31, 2025 as discussed in </w:t>
      </w:r>
      <w:r>
        <w:rPr>
          <w:rFonts w:ascii="Times New Roman" w:hAnsi="Times New Roman"/>
          <w:i/>
          <w:color w:val="000000"/>
          <w:sz w:val="20"/>
        </w:rPr>
        <w:t>Note 7 to the Consolidated Financial Statements</w:t>
      </w:r>
      <w:r>
        <w:rPr>
          <w:rFonts w:ascii="Times New Roman" w:hAnsi="Times New Roman"/>
          <w:color w:val="000000"/>
          <w:sz w:val="20"/>
        </w:rPr>
        <w:t xml:space="preserve">. Some of the lease agreements provide us with the option to renew the lease and our future lease obligations would change if we exercised these renewal options. In connection with these operating lease commitments, our consolidated balance sheet as of December 31, 2025 includes right of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76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jc w:val="left"/>
        <w:rPr/>
      </w:pPr>
      <w:r>
        <w:rPr>
          <w:rFonts w:ascii="Times New Roman" w:hAnsi="Times New Roman"/>
          <w:color w:val="000000"/>
          <w:sz w:val="20"/>
        </w:rPr>
        <w:t>use assets amounting to $379 million and aggregate operating lease liabilities of $414 million ($73 million included in current liabilities and $341 million included in noncurrent liabilities).</w:t>
      </w:r>
      <w:r>
        <w:rPr>
          <w:color w:val="000000"/>
        </w:rPr>
        <w:t xml:space="preserve">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(f)</w:t>
      </w:r>
    </w:p>
    <w:p>
      <w:pPr>
        <w:pStyle w:val="TextBody"/>
        <w:bidi w:val="0"/>
        <w:spacing w:before="0" w:after="0"/>
        <w:jc w:val="left"/>
        <w:rPr/>
      </w:pPr>
      <w:r>
        <w:rPr>
          <w:rFonts w:ascii="Times New Roman" w:hAnsi="Times New Roman"/>
          <w:color w:val="000000"/>
          <w:sz w:val="20"/>
        </w:rPr>
        <w:t xml:space="preserve">Consists of $127 million of estimated future payments related to our non-contributory, defined benefit pension plan (estimated through 2080), as disclosed in </w:t>
      </w:r>
      <w:r>
        <w:rPr>
          <w:rFonts w:ascii="Times New Roman" w:hAnsi="Times New Roman"/>
          <w:i/>
          <w:color w:val="000000"/>
          <w:sz w:val="20"/>
        </w:rPr>
        <w:t>Note 8 to the Consolidated Financial Statements</w:t>
      </w:r>
      <w:r>
        <w:rPr>
          <w:rFonts w:ascii="Times New Roman" w:hAnsi="Times New Roman"/>
          <w:color w:val="000000"/>
          <w:sz w:val="20"/>
        </w:rPr>
        <w:t>, and $27 million of estimated future payments related to other retirement plan liabilities ($25 million of liabilities recorded in other non-current liabilities as of December 31, 2025 in connection with these retirement plans).</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(g)</w:t>
      </w:r>
    </w:p>
    <w:p>
      <w:pPr>
        <w:pStyle w:val="TextBody"/>
        <w:bidi w:val="0"/>
        <w:jc w:val="left"/>
        <w:rPr>
          <w:rFonts w:ascii="Times New Roman" w:hAnsi="Times New Roman"/>
          <w:color w:val="000000"/>
          <w:sz w:val="20"/>
        </w:rPr>
      </w:pPr>
      <w:r>
        <w:rPr>
          <w:rFonts w:ascii="Times New Roman" w:hAnsi="Times New Roman"/>
          <w:color w:val="000000"/>
          <w:sz w:val="20"/>
        </w:rPr>
        <w:t>Consists of accrued and unpaid estimated claims expense incurred in connection with our commercial health insurers and self-insured employee benefit plans.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As of December 31, 2025, the total net accrual for our self-insured professional and general liability claims was $449 million, of which $125 million is included in other current liabilities and $324 million is included in other non-current liabilities. We exclude the $449 million for professional and general liability claims from the contractual obligations table because there are no significant contractual obligations associated with these liabilities and because of the uncertainty of the dollar amounts to be ultimately paid as well as the timing of such payments. Please see </w:t>
      </w:r>
      <w:r>
        <w:rPr>
          <w:rFonts w:ascii="Times New Roman" w:hAnsi="Times New Roman"/>
          <w:i/>
          <w:color w:val="000000"/>
          <w:sz w:val="20"/>
        </w:rPr>
        <w:t>Self-Insured/Other Insurance Risks</w:t>
      </w:r>
      <w:r>
        <w:rPr>
          <w:rFonts w:ascii="Times New Roman" w:hAnsi="Times New Roman"/>
          <w:color w:val="000000"/>
          <w:sz w:val="20"/>
        </w:rPr>
        <w:t xml:space="preserve"> above for additional disclosure related to our professional and general liability claims and reserves.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2020, we entered into various agreements with the District of Columbia (the “District”) related to the development, leasing and operation of an acute care hospital and certain other facilities/structures on land owned by the District (“District Facilities”). Pursuant to the agreements, on behalf of the District, we served as manager for development and construction of the District Facilities, which were funded entirely by the District. The District Facilities had an aggregate cost of approximately $417 million, substantially all of which has been incurred as of December 31, 2025. Construction of the acute care hospital (Cedar Hill Regional Medical Center) was completed and the hospital opened on April 15, 2025.</w:t>
      </w:r>
    </w:p>
    <w:p>
      <w:pPr>
        <w:pStyle w:val="TextBody"/>
        <w:bidi w:val="0"/>
        <w:spacing w:before="120" w:after="283"/>
        <w:jc w:val="left"/>
        <w:rPr>
          <w:rFonts w:ascii="Times New Roman" w:hAnsi="Times New Roman"/>
          <w:sz w:val="20"/>
        </w:rPr>
      </w:pPr>
      <w:r>
        <w:rPr>
          <w:rFonts w:ascii="Times New Roman" w:hAnsi="Times New Roman"/>
          <w:color w:val="000000"/>
          <w:sz w:val="20"/>
        </w:rPr>
        <w:t>We are leasing the District Facilities for a nominal rental amount for a period of 75 years and are obligated to operate the District Facilities during the lease term. We have certain lease termination rights in connection with the District Facilities beginning on the tenth anniversary of the lease commencement date for various and decreasing amounts as provided for in the agreements. Additionally, any time after the 10</w:t>
      </w:r>
      <w:r>
        <w:rPr>
          <w:rFonts w:ascii="Times New Roman" w:hAnsi="Times New Roman"/>
          <w:color w:val="000000"/>
          <w:sz w:val="13"/>
        </w:rPr>
        <w:t xml:space="preserve">th </w:t>
      </w:r>
      <w:r>
        <w:rPr>
          <w:rFonts w:ascii="Times New Roman" w:hAnsi="Times New Roman"/>
          <w:color w:val="000000"/>
          <w:sz w:val="20"/>
        </w:rPr>
        <w:t>anniversary of the lease term, we have a right to purchase the District Facilities for a price equal to the greater of fair market value of the District Facilities or the amount necessary to defease the bonds issued by the District to fund the construction of the District Facilities. The lease agreement also entitles the District to participation rent should certain specified earnings before interest, taxes, depreciation and amortization thresholds be achieved by the acute care hospital.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Additionally, we have committed to expend no less than $75 million (approximately $21 million of which has been incurred as of December 31, 2025), over a projected 12-year period, in healthcare infrastructure including expenditures related to the District Facilities as well as other healthcare related expenditures in certain specified areas of Washington, D.C. This financial commitment is included in “Purchase and other obligations” as reflected on the contractual obligations table above. Pursuant to the agreements, the District is entitled to certain termination fees and other amounts as specified in the agreements in the event we, within certain specified periods of time, cease to operate the acute care hospital or there is a transfer of control of us or our subsidiary operating the hospital. </w:t>
      </w:r>
    </w:p>
    <w:p>
      <w:pPr>
        <w:pStyle w:val="TextBody"/>
        <w:bidi w:val="0"/>
        <w:spacing w:before="120" w:after="283"/>
        <w:jc w:val="left"/>
        <w:rPr>
          <w:rFonts w:ascii="Times New Roman" w:hAnsi="Times New Roman"/>
          <w:b/>
          <w:color w:val="000000"/>
          <w:sz w:val="20"/>
        </w:rPr>
      </w:pPr>
      <w:bookmarkStart w:id="13" w:name="item_7a_quantitative_qualitative_disclos"/>
      <w:bookmarkEnd w:id="13"/>
      <w:r>
        <w:rPr>
          <w:rFonts w:ascii="Times New Roman" w:hAnsi="Times New Roman"/>
          <w:b/>
          <w:color w:val="000000"/>
          <w:sz w:val="20"/>
        </w:rPr>
        <w:t>ITEM 7A. Quantitative and Qualitative Disclosures About Market Risk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manage our ratio of fixed and floating rate debt with the objective of achieving a mix that management believes is appropriate. To manage this risk in a cost-effective manner, we, from time to time, enter into interest rate swap agreements in which we agree to exchange various combinations of fixed and/or variable interest rates based on agreed upon notional amounts. We account for our derivative and hedging activities using the Financial Accounting Standard Board’s guidance which requires all derivative instruments, including certain derivative instruments embedded in other contracts, to be carried at fair value on the balance sheet. For derivative transactions designated as hedges, we formally document all relationships between the hedging instrument and the related hedged item, as well as its risk-management objective and strategy for undertaking each hedge transaction.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Derivative instruments designated in a hedge relationship to mitigate exposure to variability in expected future cash flows, or other types of forecasted transactions, are considered cash flow hedges. Cash flow hedges are accounted for by recording the fair value of the derivative instrument on the balance sheet as either an asset or liability, with a corresponding amount recorded in accumulated other comprehensive income (“AOCI”) within shareholders’ equity. Amounts are reclassified from AOCI to the income statement in the period or periods the hedged transaction affects earnings. From time to time, we use interest rate derivatives in our cash flow hedge transactions. Such derivatives are designed to be highly effective in offsetting changes in the cash flows related to the hedged liability.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hedge transactions that do not qualify for the short-cut method, at the hedge’s inception and on a regular basis thereafter, a formal assessment is performed to determine whether changes in the fair values or cash flows of the derivative instruments have been highly effective in offsetting changes in cash flows of the hedged items and whether they are expected to be highly effective in the future.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fair value of interest rate swap agreements approximates the amount at which they could be settled, based on estimates obtained from the counterparties. When applicable, we assess the effectiveness of our hedge instruments on a quarterly basis.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77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Although we do not anticipate nonperformance by our counterparties to interest rate swap agreements, the counterparties expose us to credit risk in the event of nonperformance. We do not hold or issue derivative financial instruments for trading purposes.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When applicable, we measure our interest rate swaps at fair value on a recurring basis. The fair value of our interest rate swaps is based on quotes from our counterparties. We consider those inputs to be “level 2” in the fair value hierarchy as outlined in the authoritative guidance for disclosures in connection with derivative instruments and hedging activities.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table below presents information about our long-term financial instruments that are sensitive to changes in interest rates as of December 31, 2025. For debt obligations, the table presents principal cash flows and related weighted-average interest rates by contractual maturity dates.</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Maturity Date, Fiscal Year Ending December 31</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(dollar amounts in thousands)</w:t>
      </w:r>
    </w:p>
    <w:p>
      <w:pPr>
        <w:pStyle w:val="TextBody"/>
        <w:bidi w:val="0"/>
        <w:jc w:val="left"/>
        <w:rPr/>
      </w:pPr>
      <w:r>
        <w:rPr/>
        <w:t> </w:t>
      </w:r>
    </w:p>
    <w:tbl>
      <w:tblPr>
        <w:tblW w:w="10329" w:type="dxa"/>
        <w:jc w:val="left"/>
        <w:tblInd w:w="0" w:type="dxa"/>
        <w:tblLayout w:type="fixed"/>
        <w:tblCellMar>
          <w:top w:w="28" w:type="dxa"/>
          <w:left w:w="28" w:type="dxa"/>
          <w:bottom w:w="28" w:type="dxa"/>
          <w:right w:w="28" w:type="dxa"/>
        </w:tblCellMar>
      </w:tblPr>
      <w:tblGrid>
        <w:gridCol w:w="946"/>
        <w:gridCol w:w="146"/>
        <w:gridCol w:w="196"/>
        <w:gridCol w:w="691"/>
        <w:gridCol w:w="256"/>
        <w:gridCol w:w="146"/>
        <w:gridCol w:w="196"/>
        <w:gridCol w:w="601"/>
        <w:gridCol w:w="256"/>
        <w:gridCol w:w="146"/>
        <w:gridCol w:w="196"/>
        <w:gridCol w:w="601"/>
        <w:gridCol w:w="256"/>
        <w:gridCol w:w="146"/>
        <w:gridCol w:w="196"/>
        <w:gridCol w:w="826"/>
        <w:gridCol w:w="256"/>
        <w:gridCol w:w="146"/>
        <w:gridCol w:w="196"/>
        <w:gridCol w:w="691"/>
        <w:gridCol w:w="256"/>
        <w:gridCol w:w="146"/>
        <w:gridCol w:w="196"/>
        <w:gridCol w:w="826"/>
        <w:gridCol w:w="256"/>
        <w:gridCol w:w="146"/>
        <w:gridCol w:w="196"/>
        <w:gridCol w:w="826"/>
        <w:gridCol w:w="391"/>
      </w:tblGrid>
      <w:tr>
        <w:trPr/>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9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2027</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2028</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2029</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2030</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Thereafter</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Long-term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Fixed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9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710,658</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10,744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11,535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508,696</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807,994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1,132,228</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3,181,855</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9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Average interest rates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Variable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9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37,500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60,000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60,000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1,413,196</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1,570,696</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9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Average interest rates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9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Interest rate swaps: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9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Notional amount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9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Average interest rates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As calculated based upon our variable rate debt outstanding as of December 31, 2025 that is subject to interest rate fluctuations, each 1% change in interest rates would impact our pre-tax income by approximately $16 million. </w:t>
      </w:r>
    </w:p>
    <w:p>
      <w:pPr>
        <w:pStyle w:val="TextBody"/>
        <w:bidi w:val="0"/>
        <w:spacing w:before="120" w:after="283"/>
        <w:jc w:val="left"/>
        <w:rPr>
          <w:rFonts w:ascii="Times New Roman" w:hAnsi="Times New Roman"/>
          <w:sz w:val="20"/>
        </w:rPr>
      </w:pPr>
      <w:bookmarkStart w:id="14" w:name="item_8_financial_statements_supplementar"/>
      <w:bookmarkEnd w:id="14"/>
      <w:r>
        <w:rPr>
          <w:rFonts w:ascii="Times New Roman" w:hAnsi="Times New Roman"/>
          <w:b/>
          <w:color w:val="000000"/>
          <w:sz w:val="20"/>
        </w:rPr>
        <w:t xml:space="preserve">ITEM 8. </w:t>
      </w:r>
      <w:r>
        <w:rPr>
          <w:rFonts w:ascii="Times New Roman" w:hAnsi="Times New Roman"/>
          <w:b/>
          <w:i/>
          <w:color w:val="000000"/>
          <w:sz w:val="20"/>
        </w:rPr>
        <w:t>Financial Statements and Supplementary Data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Consolidated Balance Sheets, Consolidated Statements of Income, Consolidated Statements of Changes in Equity, Consolidated Statements of Cash Flows and Consolidated Statements of Comprehensive Income, together with the reports of PricewaterhouseCoopers LLP, independent registered public accounting firm, are included elsewhere herein. Reference is made to the “Index to Financial Statements and Financial Statement Schedule.”</w:t>
      </w:r>
    </w:p>
    <w:p>
      <w:pPr>
        <w:pStyle w:val="TextBody"/>
        <w:bidi w:val="0"/>
        <w:spacing w:before="120" w:after="283"/>
        <w:jc w:val="left"/>
        <w:rPr>
          <w:rFonts w:ascii="Times New Roman" w:hAnsi="Times New Roman"/>
          <w:sz w:val="20"/>
        </w:rPr>
      </w:pPr>
      <w:bookmarkStart w:id="15" w:name="item_9_changes_in_disagreements_with_acc"/>
      <w:bookmarkEnd w:id="15"/>
      <w:r>
        <w:rPr>
          <w:rFonts w:ascii="Times New Roman" w:hAnsi="Times New Roman"/>
          <w:b/>
          <w:color w:val="000000"/>
          <w:sz w:val="20"/>
        </w:rPr>
        <w:t xml:space="preserve">ITEM 9. </w:t>
      </w:r>
      <w:r>
        <w:rPr>
          <w:rFonts w:ascii="Times New Roman" w:hAnsi="Times New Roman"/>
          <w:b/>
          <w:i/>
          <w:color w:val="000000"/>
          <w:sz w:val="20"/>
        </w:rPr>
        <w:t>Changes in and Disagreements with Accountants on Accounting and Financial Disclosure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120" w:after="283"/>
        <w:jc w:val="left"/>
        <w:rPr>
          <w:rFonts w:ascii="Times New Roman" w:hAnsi="Times New Roman"/>
          <w:sz w:val="20"/>
        </w:rPr>
      </w:pPr>
      <w:bookmarkStart w:id="16" w:name="item_9a_controls_procedures"/>
      <w:bookmarkEnd w:id="16"/>
      <w:r>
        <w:rPr>
          <w:rFonts w:ascii="Times New Roman" w:hAnsi="Times New Roman"/>
          <w:b/>
          <w:color w:val="000000"/>
          <w:sz w:val="20"/>
        </w:rPr>
        <w:t xml:space="preserve">ITEM 9A. </w:t>
      </w:r>
      <w:r>
        <w:rPr>
          <w:rFonts w:ascii="Times New Roman" w:hAnsi="Times New Roman"/>
          <w:b/>
          <w:i/>
          <w:color w:val="000000"/>
          <w:sz w:val="20"/>
        </w:rPr>
        <w:t>Controls</w:t>
      </w:r>
      <w:r>
        <w:rPr>
          <w:rFonts w:ascii="Times New Roman" w:hAnsi="Times New Roman"/>
          <w:color w:val="000000"/>
          <w:sz w:val="20"/>
        </w:rPr>
        <w:t xml:space="preserve"> </w:t>
      </w:r>
      <w:r>
        <w:rPr>
          <w:rFonts w:ascii="Times New Roman" w:hAnsi="Times New Roman"/>
          <w:b/>
          <w:i/>
          <w:color w:val="000000"/>
          <w:sz w:val="20"/>
        </w:rPr>
        <w:t>and Procedures.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December 31, 2025, under the supervision and with the participation of our management, including our Chief Executive Officer (“CEO”) and Chief Financial Officer (“CFO”), we performed an evaluation of the effectiveness of our disclosure controls and procedures as defined in Rule 13a-15(e) or Rule 15d-15(e) of the Securities Exchange Act of 1934, as amended. Based on this evaluation, the CEO and CFO have concluded that our disclosure controls and procedures are effective to ensure that material information is recorded, processed, summarized and reported by management on a timely basis in order to comply with our disclosure obligations under the Securities Exchange Act of 1934, as amended, and the SEC rules thereunder.</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Changes in Internal Control Over Financial Reporting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have been no changes in our internal control over financial reporting or in other factors during the fourth quarter of 2025 that have materially affected, or are reasonably likely to materially affect, our internal control over financial reporting.</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Management’s Report on Internal Control Over Financial Reporting</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Management is responsible for establishing and maintaining an adequate system of internal control over our financial reporting. In order to evaluate the effectiveness of internal control over financial reporting, as required by Section 404 of the Sarbanes-Oxley Act, management has conducted an assessment, including testing, using the criteria on </w:t>
      </w:r>
      <w:r>
        <w:rPr>
          <w:rFonts w:ascii="Times New Roman" w:hAnsi="Times New Roman"/>
          <w:i/>
          <w:color w:val="000000"/>
          <w:sz w:val="20"/>
        </w:rPr>
        <w:t>Internal Control—Integrated Framework (2013)</w:t>
      </w:r>
      <w:r>
        <w:rPr>
          <w:rFonts w:ascii="Times New Roman" w:hAnsi="Times New Roman"/>
          <w:color w:val="000000"/>
          <w:sz w:val="20"/>
        </w:rPr>
        <w:t xml:space="preserve">, issued by the Committee of Sponsoring Organizations of the Treadway Commission (COSO). Our system of internal control over financial reporting is designed to provide reasonable assurance regarding the reliability of financial reporting and the preparation and fair presentation of financial statements for external purposes in accordance with U.S. generally accepted accounting principles.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Because of its inherent limitations, internal control over financial reporting may not prevent or detect misstatements. Also, projections of any evaluation of effectiveness of internal control over financial reporting to future periods are subject to the risk that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78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controls may become inadequate because of changes in conditions, or that the degree of compliance with the policies or procedures may deteriorate.</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Based on its assessment, management has concluded that we maintained effective internal control over financial reporting as of December 31, 2025, based on criteria in </w:t>
      </w:r>
      <w:r>
        <w:rPr>
          <w:rFonts w:ascii="Times New Roman" w:hAnsi="Times New Roman"/>
          <w:i/>
          <w:color w:val="000000"/>
          <w:sz w:val="20"/>
        </w:rPr>
        <w:t>Internal Control—Integrated Framework (2013)</w:t>
      </w:r>
      <w:r>
        <w:rPr>
          <w:rFonts w:ascii="Times New Roman" w:hAnsi="Times New Roman"/>
          <w:color w:val="000000"/>
          <w:sz w:val="20"/>
        </w:rPr>
        <w:t>, issued by the COSO. The effectiveness of the Company’s internal control over financial reporting as of December 31, 2025 has been audited by PricewaterhouseCoopers LLP, an independent registered public accounting firm as stated in its report which appears herein.</w:t>
      </w:r>
    </w:p>
    <w:p>
      <w:pPr>
        <w:pStyle w:val="TextBody"/>
        <w:bidi w:val="0"/>
        <w:spacing w:before="120" w:after="283"/>
        <w:jc w:val="left"/>
        <w:rPr>
          <w:rFonts w:ascii="Times New Roman" w:hAnsi="Times New Roman"/>
          <w:sz w:val="20"/>
        </w:rPr>
      </w:pPr>
      <w:bookmarkStart w:id="17" w:name="item_9b_or_information"/>
      <w:bookmarkEnd w:id="17"/>
      <w:r>
        <w:rPr>
          <w:rFonts w:ascii="Times New Roman" w:hAnsi="Times New Roman"/>
          <w:b/>
          <w:color w:val="000000"/>
          <w:sz w:val="20"/>
        </w:rPr>
        <w:t xml:space="preserve">ITEM 9B </w:t>
      </w:r>
      <w:r>
        <w:rPr>
          <w:rFonts w:ascii="Times New Roman" w:hAnsi="Times New Roman"/>
          <w:b/>
          <w:i/>
          <w:color w:val="000000"/>
          <w:sz w:val="20"/>
        </w:rPr>
        <w:t>Other</w:t>
      </w:r>
      <w:r>
        <w:rPr>
          <w:rFonts w:ascii="Times New Roman" w:hAnsi="Times New Roman"/>
          <w:color w:val="000000"/>
          <w:sz w:val="20"/>
        </w:rPr>
        <w:t xml:space="preserve"> </w:t>
      </w:r>
      <w:r>
        <w:rPr>
          <w:rFonts w:ascii="Times New Roman" w:hAnsi="Times New Roman"/>
          <w:b/>
          <w:i/>
          <w:color w:val="000000"/>
          <w:sz w:val="20"/>
        </w:rPr>
        <w:t>Information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 of the Company’s directors or officers adopted, modified or terminated a Rule 10b5-1 trading arrangement or a non-Rule 10b5-1 trading arrangement during the Company’s quarter ended December 31, 2025, as such terms are defined under Item 408(a) of Regulation S-K.</w:t>
      </w:r>
    </w:p>
    <w:p>
      <w:pPr>
        <w:pStyle w:val="TextBody"/>
        <w:bidi w:val="0"/>
        <w:spacing w:before="120" w:after="283"/>
        <w:jc w:val="left"/>
        <w:rPr>
          <w:rFonts w:ascii="Times New Roman" w:hAnsi="Times New Roman"/>
          <w:sz w:val="20"/>
        </w:rPr>
      </w:pPr>
      <w:r>
        <w:rPr>
          <w:rFonts w:ascii="Times New Roman" w:hAnsi="Times New Roman"/>
          <w:b/>
          <w:color w:val="000000"/>
          <w:sz w:val="20"/>
        </w:rPr>
        <w:t xml:space="preserve">ITEM 9C </w:t>
      </w:r>
      <w:r>
        <w:rPr>
          <w:rFonts w:ascii="Times New Roman" w:hAnsi="Times New Roman"/>
          <w:b/>
          <w:i/>
          <w:color w:val="000000"/>
          <w:sz w:val="20"/>
        </w:rPr>
        <w:t>Disclosure Regarding Foreign Jurisdictions that Prevent Inspections. Other Information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120" w:after="283"/>
        <w:jc w:val="left"/>
        <w:rPr/>
      </w:pPr>
      <w:bookmarkStart w:id="18" w:name="item_9c_disclosure_regarding_foreign"/>
      <w:bookmarkEnd w:id="18"/>
      <w:r>
        <w:rPr/>
        <w:t> </w:t>
      </w:r>
    </w:p>
    <w:p>
      <w:pPr>
        <w:pStyle w:val="TextBody"/>
        <w:bidi w:val="0"/>
        <w:spacing w:before="120" w:after="283"/>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79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19" w:name="part_iii"/>
      <w:bookmarkEnd w:id="19"/>
      <w:r>
        <w:rPr>
          <w:rFonts w:ascii="Times New Roman" w:hAnsi="Times New Roman"/>
          <w:b/>
          <w:color w:val="000000"/>
          <w:sz w:val="20"/>
        </w:rPr>
        <w:t>PART</w:t>
      </w:r>
      <w:r>
        <w:rPr>
          <w:rFonts w:ascii="Times New Roman" w:hAnsi="Times New Roman"/>
          <w:color w:val="000000"/>
          <w:sz w:val="20"/>
        </w:rPr>
        <w:t xml:space="preserve"> </w:t>
      </w:r>
      <w:r>
        <w:rPr>
          <w:rFonts w:ascii="Times New Roman" w:hAnsi="Times New Roman"/>
          <w:b/>
          <w:color w:val="000000"/>
          <w:sz w:val="20"/>
        </w:rPr>
        <w:t>III</w:t>
      </w:r>
    </w:p>
    <w:p>
      <w:pPr>
        <w:pStyle w:val="TextBody"/>
        <w:bidi w:val="0"/>
        <w:spacing w:before="120" w:after="283"/>
        <w:jc w:val="left"/>
        <w:rPr>
          <w:rFonts w:ascii="Times New Roman" w:hAnsi="Times New Roman"/>
          <w:sz w:val="20"/>
        </w:rPr>
      </w:pPr>
      <w:bookmarkStart w:id="20" w:name="item_10_directors_executive_ficers_corpo"/>
      <w:bookmarkEnd w:id="20"/>
      <w:r>
        <w:rPr>
          <w:rFonts w:ascii="Times New Roman" w:hAnsi="Times New Roman"/>
          <w:b/>
          <w:color w:val="000000"/>
          <w:sz w:val="20"/>
        </w:rPr>
        <w:t xml:space="preserve">ITEM 10. </w:t>
      </w:r>
      <w:r>
        <w:rPr>
          <w:rFonts w:ascii="Times New Roman" w:hAnsi="Times New Roman"/>
          <w:b/>
          <w:i/>
          <w:color w:val="000000"/>
          <w:sz w:val="20"/>
        </w:rPr>
        <w:t>Directors, Executive Officers and Corporate Governance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is hereby incorporated by reference the information to appear under the captions “Election of Directors”, “Section 16(a) Beneficial Ownership Reporting Compliance” and “Corporate Governance” in our Proxy Statement, to be filed with the Securities and Exchange Commission within 120 days after December 31, 2025. See also “Executive Officers of the Registrant” appearing in Item 1 hereof.</w:t>
      </w:r>
    </w:p>
    <w:p>
      <w:pPr>
        <w:pStyle w:val="TextBody"/>
        <w:bidi w:val="0"/>
        <w:spacing w:before="120" w:after="283"/>
        <w:jc w:val="left"/>
        <w:rPr>
          <w:rFonts w:ascii="Times New Roman" w:hAnsi="Times New Roman"/>
          <w:sz w:val="20"/>
        </w:rPr>
      </w:pPr>
      <w:bookmarkStart w:id="21" w:name="item_11_executive_compensation"/>
      <w:bookmarkEnd w:id="21"/>
      <w:r>
        <w:rPr>
          <w:rFonts w:ascii="Times New Roman" w:hAnsi="Times New Roman"/>
          <w:b/>
          <w:color w:val="000000"/>
          <w:sz w:val="20"/>
        </w:rPr>
        <w:t xml:space="preserve">ITEM 11. </w:t>
      </w:r>
      <w:r>
        <w:rPr>
          <w:rFonts w:ascii="Times New Roman" w:hAnsi="Times New Roman"/>
          <w:b/>
          <w:i/>
          <w:color w:val="000000"/>
          <w:sz w:val="20"/>
        </w:rPr>
        <w:t>Executive Compensation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is hereby incorporated by reference the information to appear under the caption “Executive Compensation” in our Proxy Statement to be filed with the Securities and Exchange Commission within 120 days after December 31, 2025.</w:t>
      </w:r>
    </w:p>
    <w:p>
      <w:pPr>
        <w:pStyle w:val="TextBody"/>
        <w:bidi w:val="0"/>
        <w:spacing w:before="120" w:after="283"/>
        <w:jc w:val="left"/>
        <w:rPr>
          <w:rFonts w:ascii="Times New Roman" w:hAnsi="Times New Roman"/>
          <w:sz w:val="20"/>
        </w:rPr>
      </w:pPr>
      <w:bookmarkStart w:id="22" w:name="item_12_security_ownership_certain_benef"/>
      <w:bookmarkEnd w:id="22"/>
      <w:r>
        <w:rPr>
          <w:rFonts w:ascii="Times New Roman" w:hAnsi="Times New Roman"/>
          <w:b/>
          <w:color w:val="000000"/>
          <w:sz w:val="20"/>
        </w:rPr>
        <w:t xml:space="preserve">ITEM 12. </w:t>
      </w:r>
      <w:r>
        <w:rPr>
          <w:rFonts w:ascii="Times New Roman" w:hAnsi="Times New Roman"/>
          <w:b/>
          <w:i/>
          <w:color w:val="000000"/>
          <w:sz w:val="20"/>
        </w:rPr>
        <w:t>Security Ownership of Certain Beneficial Owners and Management and Related Stockholder Matters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is hereby incorporated by reference the information to appear under the caption “Security Ownership of Certain Beneficial Owners and Management” and “Executive Compensation” in our Proxy Statement, to be filed with the Securities and Exchange Commission within 120 days after December 31, 2025.</w:t>
      </w:r>
    </w:p>
    <w:p>
      <w:pPr>
        <w:pStyle w:val="TextBody"/>
        <w:bidi w:val="0"/>
        <w:spacing w:before="120" w:after="283"/>
        <w:jc w:val="left"/>
        <w:rPr>
          <w:rFonts w:ascii="Times New Roman" w:hAnsi="Times New Roman"/>
          <w:sz w:val="20"/>
        </w:rPr>
      </w:pPr>
      <w:bookmarkStart w:id="23" w:name="item_13_certain_relationships_related_tr"/>
      <w:bookmarkEnd w:id="23"/>
      <w:r>
        <w:rPr>
          <w:rFonts w:ascii="Times New Roman" w:hAnsi="Times New Roman"/>
          <w:b/>
          <w:color w:val="000000"/>
          <w:sz w:val="20"/>
        </w:rPr>
        <w:t xml:space="preserve">ITEM 13. </w:t>
      </w:r>
      <w:r>
        <w:rPr>
          <w:rFonts w:ascii="Times New Roman" w:hAnsi="Times New Roman"/>
          <w:b/>
          <w:i/>
          <w:color w:val="000000"/>
          <w:sz w:val="20"/>
        </w:rPr>
        <w:t>Certain Relationships and Related Transactions, and Director Independence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is hereby incorporated by reference the information to appear under the captions “Certain Relationships and Related Transactions” and “Corporate Governance” in our Proxy Statement, to be filed with the Securities and Exchange Commission within 120 days after December 31, 2025.</w:t>
      </w:r>
    </w:p>
    <w:p>
      <w:pPr>
        <w:pStyle w:val="TextBody"/>
        <w:bidi w:val="0"/>
        <w:spacing w:before="120" w:after="283"/>
        <w:jc w:val="left"/>
        <w:rPr>
          <w:rFonts w:ascii="Times New Roman" w:hAnsi="Times New Roman"/>
          <w:sz w:val="20"/>
        </w:rPr>
      </w:pPr>
      <w:bookmarkStart w:id="24" w:name="item_14_principal_accountant_fees_servic"/>
      <w:bookmarkEnd w:id="24"/>
      <w:r>
        <w:rPr>
          <w:rFonts w:ascii="Times New Roman" w:hAnsi="Times New Roman"/>
          <w:b/>
          <w:color w:val="000000"/>
          <w:sz w:val="20"/>
        </w:rPr>
        <w:t xml:space="preserve">ITEM 14. </w:t>
      </w:r>
      <w:r>
        <w:rPr>
          <w:rFonts w:ascii="Times New Roman" w:hAnsi="Times New Roman"/>
          <w:b/>
          <w:i/>
          <w:color w:val="000000"/>
          <w:sz w:val="20"/>
        </w:rPr>
        <w:t>Principal Accountant Fees and Services.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is hereby incorporated by reference the information to appear under the caption “Relationship with Independent Auditors” in our Proxy Statement, to be filed with the Securities and Exchange Commission within 120 days after December 31, 2025.</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80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25" w:name="part_iv"/>
      <w:bookmarkEnd w:id="25"/>
      <w:r>
        <w:rPr>
          <w:rFonts w:ascii="Times New Roman" w:hAnsi="Times New Roman"/>
          <w:b/>
          <w:color w:val="000000"/>
          <w:sz w:val="20"/>
        </w:rPr>
        <w:t>PART</w:t>
      </w:r>
      <w:r>
        <w:rPr>
          <w:rFonts w:ascii="Times New Roman" w:hAnsi="Times New Roman"/>
          <w:color w:val="000000"/>
          <w:sz w:val="20"/>
        </w:rPr>
        <w:t xml:space="preserve"> </w:t>
      </w:r>
      <w:r>
        <w:rPr>
          <w:rFonts w:ascii="Times New Roman" w:hAnsi="Times New Roman"/>
          <w:b/>
          <w:color w:val="000000"/>
          <w:sz w:val="20"/>
        </w:rPr>
        <w:t>IV</w:t>
      </w:r>
    </w:p>
    <w:p>
      <w:pPr>
        <w:pStyle w:val="TextBody"/>
        <w:bidi w:val="0"/>
        <w:spacing w:before="120" w:after="283"/>
        <w:jc w:val="left"/>
        <w:rPr>
          <w:rFonts w:ascii="Times New Roman" w:hAnsi="Times New Roman"/>
          <w:sz w:val="20"/>
        </w:rPr>
      </w:pPr>
      <w:bookmarkStart w:id="26" w:name="item_15_exhibits_financial_statement_sch"/>
      <w:bookmarkEnd w:id="26"/>
      <w:r>
        <w:rPr>
          <w:rFonts w:ascii="Times New Roman" w:hAnsi="Times New Roman"/>
          <w:b/>
          <w:color w:val="000000"/>
          <w:sz w:val="20"/>
        </w:rPr>
        <w:t xml:space="preserve">ITEM 15. </w:t>
      </w:r>
      <w:r>
        <w:rPr>
          <w:rFonts w:ascii="Times New Roman" w:hAnsi="Times New Roman"/>
          <w:b/>
          <w:i/>
          <w:color w:val="000000"/>
          <w:sz w:val="20"/>
        </w:rPr>
        <w:t>Exhibits and Financial Statement Schedules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(a) Documents filed as part of this report:</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(1) Financial Statements: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See “Index to Financial Statements and Financial Statement Schedule.”</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(2) Financial Statement Schedules: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See “Index to Financial Statements and Financial Statement Schedule.”</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(3) Exhibits:</w:t>
      </w:r>
    </w:p>
    <w:tbl>
      <w:tblPr>
        <w:tblW w:w="10205" w:type="dxa"/>
        <w:jc w:val="left"/>
        <w:tblInd w:w="0" w:type="dxa"/>
        <w:tblLayout w:type="fixed"/>
        <w:tblCellMar>
          <w:top w:w="28" w:type="dxa"/>
          <w:left w:w="28" w:type="dxa"/>
          <w:bottom w:w="28" w:type="dxa"/>
          <w:right w:w="28" w:type="dxa"/>
        </w:tblCellMar>
      </w:tblPr>
      <w:tblGrid>
        <w:gridCol w:w="409"/>
        <w:gridCol w:w="146"/>
        <w:gridCol w:w="9650"/>
      </w:tblGrid>
      <w:tr>
        <w:trPr/>
        <w:tc>
          <w:tcPr>
            <w:tcW w:w="409"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9650" w:type="dxa"/>
            <w:tcBorders/>
            <w:shd w:fill="FFFFFF" w:val="clear"/>
            <w:vAlign w:val="center"/>
          </w:tcPr>
          <w:p>
            <w:pPr>
              <w:pStyle w:val="TableContents"/>
              <w:bidi w:val="0"/>
              <w:spacing w:before="0" w:after="283"/>
              <w:jc w:val="left"/>
              <w:rPr>
                <w:sz w:val="4"/>
                <w:szCs w:val="4"/>
              </w:rPr>
            </w:pPr>
            <w:r>
              <w:rPr>
                <w:sz w:val="4"/>
                <w:szCs w:val="4"/>
              </w:rPr>
            </w:r>
          </w:p>
        </w:tc>
      </w:tr>
      <w:tr>
        <w:trPr/>
        <w:tc>
          <w:tcPr>
            <w:tcW w:w="4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u w:val="single"/>
              </w:rPr>
            </w:pPr>
            <w:r>
              <w:rPr>
                <w:rFonts w:ascii="Times New Roman" w:hAnsi="Times New Roman"/>
                <w:b/>
                <w:color w:val="000000"/>
                <w:sz w:val="20"/>
                <w:u w:val="single"/>
              </w:rPr>
              <w:t>No.</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65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u w:val="single"/>
              </w:rPr>
            </w:pPr>
            <w:r>
              <w:rPr>
                <w:rFonts w:ascii="Times New Roman" w:hAnsi="Times New Roman"/>
                <w:b/>
                <w:color w:val="000000"/>
                <w:sz w:val="20"/>
                <w:u w:val="single"/>
              </w:rPr>
              <w:t>Description</w:t>
            </w:r>
          </w:p>
        </w:tc>
      </w:tr>
      <w:tr>
        <w:trPr/>
        <w:tc>
          <w:tcPr>
            <w:tcW w:w="4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3.1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650" w:type="dxa"/>
            <w:tcBorders/>
            <w:tcMar>
              <w:top w:w="0" w:type="dxa"/>
              <w:left w:w="0" w:type="dxa"/>
              <w:bottom w:w="0" w:type="dxa"/>
              <w:right w:w="0" w:type="dxa"/>
            </w:tcMar>
            <w:vAlign w:val="center"/>
          </w:tcPr>
          <w:p>
            <w:pPr>
              <w:pStyle w:val="TableContents"/>
              <w:bidi w:val="0"/>
              <w:spacing w:before="0" w:after="283"/>
              <w:jc w:val="left"/>
              <w:rPr/>
            </w:pPr>
            <w:hyperlink r:id="rId3">
              <w:r>
                <w:rPr>
                  <w:rStyle w:val="InternetLink"/>
                  <w:rFonts w:ascii="Times New Roman" w:hAnsi="Times New Roman"/>
                  <w:color w:val="0000FF"/>
                  <w:sz w:val="20"/>
                  <w:u w:val="single"/>
                </w:rPr>
                <w:t>Registrant’s Restated Certificate of Incorporation, and Amendments thereto, previously filed as Exhibit 3.1 to the Company’s Quarterly Report on Form 10-Q for the quarter ended June 30, 1997, are incorporated herein by reference.</w:t>
              </w:r>
            </w:hyperlink>
          </w:p>
        </w:tc>
      </w:tr>
      <w:tr>
        <w:trPr/>
        <w:tc>
          <w:tcPr>
            <w:tcW w:w="40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650"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650" w:type="dxa"/>
            <w:tcBorders/>
            <w:tcMar>
              <w:top w:w="0" w:type="dxa"/>
              <w:left w:w="0" w:type="dxa"/>
              <w:bottom w:w="0" w:type="dxa"/>
              <w:right w:w="0" w:type="dxa"/>
            </w:tcMar>
            <w:vAlign w:val="center"/>
          </w:tcPr>
          <w:p>
            <w:pPr>
              <w:pStyle w:val="TableContents"/>
              <w:bidi w:val="0"/>
              <w:spacing w:before="0" w:after="283"/>
              <w:jc w:val="left"/>
              <w:rPr/>
            </w:pPr>
            <w:hyperlink r:id="rId4">
              <w:r>
                <w:rPr>
                  <w:rStyle w:val="InternetLink"/>
                  <w:rFonts w:ascii="Times New Roman" w:hAnsi="Times New Roman"/>
                  <w:color w:val="0000FF"/>
                  <w:sz w:val="20"/>
                  <w:u w:val="single"/>
                </w:rPr>
                <w:t>Amended and Restated Bylaws of Registrant, previously filed as Exhibit 3.1 to the Company’s Current Report on Form 8-K dated September 21, 2022, is incorporated herein by reference.</w:t>
              </w:r>
            </w:hyperlink>
          </w:p>
        </w:tc>
      </w:tr>
      <w:tr>
        <w:trPr/>
        <w:tc>
          <w:tcPr>
            <w:tcW w:w="40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650"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3.3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650" w:type="dxa"/>
            <w:tcBorders/>
            <w:tcMar>
              <w:top w:w="0" w:type="dxa"/>
              <w:left w:w="0" w:type="dxa"/>
              <w:bottom w:w="0" w:type="dxa"/>
              <w:right w:w="0" w:type="dxa"/>
            </w:tcMar>
            <w:vAlign w:val="center"/>
          </w:tcPr>
          <w:p>
            <w:pPr>
              <w:pStyle w:val="TableContents"/>
              <w:bidi w:val="0"/>
              <w:spacing w:before="0" w:after="283"/>
              <w:jc w:val="left"/>
              <w:rPr/>
            </w:pPr>
            <w:hyperlink r:id="rId5">
              <w:r>
                <w:rPr>
                  <w:rStyle w:val="InternetLink"/>
                  <w:rFonts w:ascii="Times New Roman" w:hAnsi="Times New Roman"/>
                  <w:color w:val="0000FF"/>
                  <w:sz w:val="20"/>
                  <w:u w:val="single"/>
                </w:rPr>
                <w:t>Amendment to the Registrant’s Restated Certificate of Incorporation previously filed as Exhibit 3.1 to the Company’s Current Report on Form 8-K dated July 3, 2001 is incorporated herein by reference.</w:t>
              </w:r>
            </w:hyperlink>
          </w:p>
        </w:tc>
      </w:tr>
      <w:tr>
        <w:trPr/>
        <w:tc>
          <w:tcPr>
            <w:tcW w:w="40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650"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650" w:type="dxa"/>
            <w:tcBorders/>
            <w:tcMar>
              <w:top w:w="0" w:type="dxa"/>
              <w:left w:w="0" w:type="dxa"/>
              <w:bottom w:w="0" w:type="dxa"/>
              <w:right w:w="0" w:type="dxa"/>
            </w:tcMar>
            <w:vAlign w:val="center"/>
          </w:tcPr>
          <w:p>
            <w:pPr>
              <w:pStyle w:val="TableContents"/>
              <w:bidi w:val="0"/>
              <w:spacing w:before="0" w:after="283"/>
              <w:jc w:val="left"/>
              <w:rPr/>
            </w:pPr>
            <w:hyperlink r:id="rId6">
              <w:r>
                <w:rPr>
                  <w:rStyle w:val="InternetLink"/>
                  <w:rFonts w:ascii="Times New Roman" w:hAnsi="Times New Roman"/>
                  <w:color w:val="0000FF"/>
                  <w:sz w:val="20"/>
                  <w:u w:val="single"/>
                </w:rPr>
                <w:t>Description of Securities of the Registrant</w:t>
              </w:r>
            </w:hyperlink>
            <w:hyperlink r:id="rId7">
              <w:r>
                <w:rPr>
                  <w:rStyle w:val="InternetLink"/>
                  <w:rFonts w:ascii="Times New Roman" w:hAnsi="Times New Roman"/>
                  <w:color w:val="000000"/>
                  <w:sz w:val="20"/>
                </w:rPr>
                <w:t xml:space="preserve"> </w:t>
              </w:r>
            </w:hyperlink>
            <w:hyperlink r:id="rId8">
              <w:r>
                <w:rPr>
                  <w:rStyle w:val="InternetLink"/>
                  <w:rFonts w:ascii="Times New Roman" w:hAnsi="Times New Roman"/>
                  <w:color w:val="0000FF"/>
                  <w:sz w:val="20"/>
                  <w:u w:val="single"/>
                </w:rPr>
                <w:t>previously filed as Exhibit 4.5 to the Company’s Annual Report on Form 10-K for the year ended December 31, 2019, is incorporated herein by reference.</w:t>
              </w:r>
            </w:hyperlink>
          </w:p>
        </w:tc>
      </w:tr>
      <w:tr>
        <w:trPr/>
        <w:tc>
          <w:tcPr>
            <w:tcW w:w="40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650"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650" w:type="dxa"/>
            <w:tcBorders/>
            <w:tcMar>
              <w:top w:w="0" w:type="dxa"/>
              <w:left w:w="0" w:type="dxa"/>
              <w:bottom w:w="0" w:type="dxa"/>
              <w:right w:w="0" w:type="dxa"/>
            </w:tcMar>
            <w:vAlign w:val="center"/>
          </w:tcPr>
          <w:p>
            <w:pPr>
              <w:pStyle w:val="TableContents"/>
              <w:bidi w:val="0"/>
              <w:spacing w:before="0" w:after="283"/>
              <w:jc w:val="left"/>
              <w:rPr/>
            </w:pPr>
            <w:hyperlink r:id="rId9">
              <w:r>
                <w:rPr>
                  <w:rStyle w:val="InternetLink"/>
                  <w:rFonts w:ascii="Times New Roman" w:hAnsi="Times New Roman"/>
                  <w:color w:val="0000FF"/>
                  <w:sz w:val="20"/>
                  <w:u w:val="single"/>
                </w:rPr>
                <w:t>Indenture, dated as of September 21, 2020, by and among the Company, the Subsidiary Guarantors party thereto, MUFG Union Bank, N.A., as trustee, and JPMorgan Chase Bank, N.A., as collateral agent., previously filed as Exhibit 4.1 to the Company’s Current Report on Form 8-K dated September 21, 2020, is incorporated herein by reference.</w:t>
              </w:r>
            </w:hyperlink>
          </w:p>
        </w:tc>
      </w:tr>
      <w:tr>
        <w:trPr/>
        <w:tc>
          <w:tcPr>
            <w:tcW w:w="40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650"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650" w:type="dxa"/>
            <w:tcBorders/>
            <w:tcMar>
              <w:top w:w="0" w:type="dxa"/>
              <w:left w:w="0" w:type="dxa"/>
              <w:bottom w:w="0" w:type="dxa"/>
              <w:right w:w="0" w:type="dxa"/>
            </w:tcMar>
            <w:vAlign w:val="center"/>
          </w:tcPr>
          <w:p>
            <w:pPr>
              <w:pStyle w:val="TableContents"/>
              <w:bidi w:val="0"/>
              <w:spacing w:before="0" w:after="283"/>
              <w:jc w:val="left"/>
              <w:rPr/>
            </w:pPr>
            <w:hyperlink r:id="rId10">
              <w:r>
                <w:rPr>
                  <w:rStyle w:val="InternetLink"/>
                  <w:rFonts w:ascii="Times New Roman" w:hAnsi="Times New Roman"/>
                  <w:color w:val="0000FF"/>
                  <w:sz w:val="20"/>
                  <w:u w:val="single"/>
                </w:rPr>
                <w:t>Additional Authorized Representative Joinder Agreement, dated as of September 21, 2020, among the Company, the Subsidiary Guarantors party thereto, JPMorgan Chase Bank, N.A., as collateral agent, the Authorized Representatives specified therein and MUFG Union Bank, N.A., as trustee, as an Additional Authorized Representative, previously filed as Exhibit 4.2 to the Company’s Current Report on Form 8-K dated September 21, 2020, is incorporated herein by reference</w:t>
              </w:r>
            </w:hyperlink>
            <w:r>
              <w:rPr>
                <w:rFonts w:ascii="Times New Roman" w:hAnsi="Times New Roman"/>
                <w:color w:val="212529"/>
                <w:sz w:val="20"/>
              </w:rPr>
              <w:t>.</w:t>
            </w:r>
          </w:p>
        </w:tc>
      </w:tr>
      <w:tr>
        <w:trPr/>
        <w:tc>
          <w:tcPr>
            <w:tcW w:w="40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650"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650" w:type="dxa"/>
            <w:tcBorders/>
            <w:tcMar>
              <w:top w:w="0" w:type="dxa"/>
              <w:left w:w="0" w:type="dxa"/>
              <w:bottom w:w="0" w:type="dxa"/>
              <w:right w:w="0" w:type="dxa"/>
            </w:tcMar>
            <w:vAlign w:val="center"/>
          </w:tcPr>
          <w:p>
            <w:pPr>
              <w:pStyle w:val="TableContents"/>
              <w:bidi w:val="0"/>
              <w:spacing w:before="0" w:after="283"/>
              <w:jc w:val="left"/>
              <w:rPr/>
            </w:pPr>
            <w:hyperlink r:id="rId11">
              <w:r>
                <w:rPr>
                  <w:rStyle w:val="InternetLink"/>
                  <w:rFonts w:ascii="Times New Roman" w:hAnsi="Times New Roman"/>
                  <w:color w:val="0000FF"/>
                  <w:sz w:val="20"/>
                  <w:u w:val="single"/>
                </w:rPr>
                <w:t>Indenture, dated as of August 24, 2021, by and among the Company, the Subsidiary Guarantors party thereto, U.S. Bank National Association, as Trustee, and JPMorgan Chase Bank, N.A., as collateral agent, previously filed as Exhibit 4.1 to the Company’s Current Report on Form 8-K dated August 24, 2021, is incorporated herein by reference.</w:t>
              </w:r>
            </w:hyperlink>
          </w:p>
        </w:tc>
      </w:tr>
      <w:tr>
        <w:trPr/>
        <w:tc>
          <w:tcPr>
            <w:tcW w:w="40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650"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650" w:type="dxa"/>
            <w:tcBorders/>
            <w:tcMar>
              <w:top w:w="0" w:type="dxa"/>
              <w:left w:w="0" w:type="dxa"/>
              <w:bottom w:w="0" w:type="dxa"/>
              <w:right w:w="0" w:type="dxa"/>
            </w:tcMar>
            <w:vAlign w:val="center"/>
          </w:tcPr>
          <w:p>
            <w:pPr>
              <w:pStyle w:val="TableContents"/>
              <w:bidi w:val="0"/>
              <w:spacing w:before="0" w:after="283"/>
              <w:jc w:val="left"/>
              <w:rPr/>
            </w:pPr>
            <w:hyperlink r:id="rId12">
              <w:r>
                <w:rPr>
                  <w:rStyle w:val="InternetLink"/>
                  <w:rFonts w:ascii="Times New Roman" w:hAnsi="Times New Roman"/>
                  <w:color w:val="0000FF"/>
                  <w:sz w:val="20"/>
                  <w:u w:val="single"/>
                </w:rPr>
                <w:t>Additional Authorized Representative Joinder Agreement, dated as of August 24, 2021, among U.S. Bank National Association, as Trustee and Additional Authorized Representative, the Company, the Subsidiary Guarantors party thereto, and JPMorgan Chase Bank, N.A., as collateral agent and administrative agent, previously filed as Exhibit 4.2 to the Company’s Current Report on Form 8-K dated August 24, 2021, is incorporated herein by reference.</w:t>
              </w:r>
            </w:hyperlink>
          </w:p>
        </w:tc>
      </w:tr>
      <w:tr>
        <w:trPr/>
        <w:tc>
          <w:tcPr>
            <w:tcW w:w="40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650"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650" w:type="dxa"/>
            <w:tcBorders/>
            <w:tcMar>
              <w:top w:w="0" w:type="dxa"/>
              <w:left w:w="0" w:type="dxa"/>
              <w:bottom w:w="0" w:type="dxa"/>
              <w:right w:w="0" w:type="dxa"/>
            </w:tcMar>
            <w:vAlign w:val="center"/>
          </w:tcPr>
          <w:p>
            <w:pPr>
              <w:pStyle w:val="TableContents"/>
              <w:bidi w:val="0"/>
              <w:spacing w:before="0" w:after="283"/>
              <w:jc w:val="left"/>
              <w:rPr/>
            </w:pPr>
            <w:hyperlink r:id="rId13">
              <w:r>
                <w:rPr>
                  <w:rStyle w:val="InternetLink"/>
                  <w:rFonts w:ascii="Times New Roman" w:hAnsi="Times New Roman"/>
                  <w:color w:val="0000FF"/>
                  <w:sz w:val="20"/>
                  <w:u w:val="single"/>
                </w:rPr>
                <w:t>Supplemental Indenture, dated as of August 24, 2021, among the Company, the Subsidiary Guarantors party thereto, U.S. Bank National Association (as successor to MUFG Union Bank, N.A.), as trustee, and JPMorgan Chase Bank, N.A., as collateral agent, to the indenture, dated as of September 21, 2020, governing the Existing 2030 Notes, previously filed as Exhibit 4.3 to the Company’s Current Report on Form 8-K dated August 24, 2021, is incorporated herein by reference.</w:t>
              </w:r>
            </w:hyperlink>
          </w:p>
        </w:tc>
      </w:tr>
      <w:tr>
        <w:trPr/>
        <w:tc>
          <w:tcPr>
            <w:tcW w:w="40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650"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4.7</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650" w:type="dxa"/>
            <w:tcBorders/>
            <w:tcMar>
              <w:top w:w="0" w:type="dxa"/>
              <w:left w:w="0" w:type="dxa"/>
              <w:bottom w:w="0" w:type="dxa"/>
              <w:right w:w="0" w:type="dxa"/>
            </w:tcMar>
            <w:vAlign w:val="center"/>
          </w:tcPr>
          <w:p>
            <w:pPr>
              <w:pStyle w:val="TableContents"/>
              <w:bidi w:val="0"/>
              <w:spacing w:before="0" w:after="283"/>
              <w:jc w:val="left"/>
              <w:rPr/>
            </w:pPr>
            <w:hyperlink r:id="rId14">
              <w:r>
                <w:rPr>
                  <w:rStyle w:val="InternetLink"/>
                  <w:rFonts w:ascii="Times New Roman" w:hAnsi="Times New Roman"/>
                  <w:color w:val="0000FF"/>
                  <w:sz w:val="20"/>
                  <w:u w:val="single"/>
                </w:rPr>
                <w:t>Second Supplemental Indenture, dated as of June 23, 2022, among the Company, the Subsidiary Guarantors party thereto, U.S. Bank Trust Company and National Association (as successor to U.S. Bank National Association), as trustee to the indenture, dated as of September 21, 2020, previously filed as Exhibit 4.1 to the Company’s Current Report on Form 8-K dated June 27, 2022, is incorporated herein by reference.</w:t>
              </w:r>
            </w:hyperlink>
          </w:p>
        </w:tc>
      </w:tr>
      <w:tr>
        <w:trPr/>
        <w:tc>
          <w:tcPr>
            <w:tcW w:w="40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650"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4.8</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650" w:type="dxa"/>
            <w:tcBorders/>
            <w:tcMar>
              <w:top w:w="0" w:type="dxa"/>
              <w:left w:w="0" w:type="dxa"/>
              <w:bottom w:w="0" w:type="dxa"/>
              <w:right w:w="0" w:type="dxa"/>
            </w:tcMar>
            <w:vAlign w:val="center"/>
          </w:tcPr>
          <w:p>
            <w:pPr>
              <w:pStyle w:val="TableContents"/>
              <w:bidi w:val="0"/>
              <w:spacing w:before="0" w:after="283"/>
              <w:jc w:val="left"/>
              <w:rPr/>
            </w:pPr>
            <w:hyperlink r:id="rId15">
              <w:r>
                <w:rPr>
                  <w:rStyle w:val="InternetLink"/>
                  <w:rFonts w:ascii="Times New Roman" w:hAnsi="Times New Roman"/>
                  <w:color w:val="0000FF"/>
                  <w:sz w:val="20"/>
                  <w:u w:val="single"/>
                </w:rPr>
                <w:t>First Supplemental Indenture, dated as of June 23, 2022, among the Company, the Subsidiary Guarantors party thereto, and U.S. Bank Trust Company, National Association (as successor to U.S. Bank National Association), as trustee, to the indenture, dated as of August 24, 2021, previously filed as Exhibit 4.2 to the Company’s Current Report on Form 8-K dated June 27, 2022, is incorporated herein by reference.</w:t>
              </w:r>
            </w:hyperlink>
          </w:p>
        </w:tc>
      </w:tr>
      <w:tr>
        <w:trPr/>
        <w:tc>
          <w:tcPr>
            <w:tcW w:w="40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650"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center"/>
        <w:rPr>
          <w:rFonts w:ascii="Times New Roman" w:hAnsi="Times New Roman"/>
          <w:color w:val="000000"/>
          <w:sz w:val="20"/>
        </w:rPr>
      </w:pPr>
      <w:r>
        <w:rPr>
          <w:rFonts w:ascii="Times New Roman" w:hAnsi="Times New Roman"/>
          <w:color w:val="000000"/>
          <w:sz w:val="20"/>
        </w:rPr>
        <w:t>81</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01"/>
        <w:gridCol w:w="146"/>
        <w:gridCol w:w="9558"/>
      </w:tblGrid>
      <w:tr>
        <w:trPr/>
        <w:tc>
          <w:tcPr>
            <w:tcW w:w="50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9558" w:type="dxa"/>
            <w:tcBorders/>
            <w:shd w:fill="FFFFFF" w:val="clear"/>
            <w:vAlign w:val="center"/>
          </w:tcPr>
          <w:p>
            <w:pPr>
              <w:pStyle w:val="TableContents"/>
              <w:bidi w:val="0"/>
              <w:spacing w:before="0" w:after="283"/>
              <w:jc w:val="left"/>
              <w:rPr>
                <w:sz w:val="4"/>
                <w:szCs w:val="4"/>
              </w:rPr>
            </w:pPr>
            <w:r>
              <w:rPr>
                <w:sz w:val="4"/>
                <w:szCs w:val="4"/>
              </w:rPr>
            </w:r>
          </w:p>
        </w:tc>
      </w:tr>
      <w:tr>
        <w:trPr/>
        <w:tc>
          <w:tcPr>
            <w:tcW w:w="5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u w:val="single"/>
              </w:rPr>
            </w:pPr>
            <w:r>
              <w:rPr>
                <w:rFonts w:ascii="Times New Roman" w:hAnsi="Times New Roman"/>
                <w:b/>
                <w:color w:val="000000"/>
                <w:sz w:val="20"/>
                <w:u w:val="single"/>
              </w:rPr>
              <w:t>No.</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55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u w:val="single"/>
              </w:rPr>
            </w:pPr>
            <w:r>
              <w:rPr>
                <w:rFonts w:ascii="Times New Roman" w:hAnsi="Times New Roman"/>
                <w:b/>
                <w:color w:val="000000"/>
                <w:sz w:val="20"/>
                <w:u w:val="single"/>
              </w:rPr>
              <w:t>Description</w:t>
            </w:r>
          </w:p>
        </w:tc>
      </w:tr>
      <w:tr>
        <w:trPr/>
        <w:tc>
          <w:tcPr>
            <w:tcW w:w="5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4.9</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558" w:type="dxa"/>
            <w:tcBorders/>
            <w:tcMar>
              <w:top w:w="0" w:type="dxa"/>
              <w:left w:w="0" w:type="dxa"/>
              <w:bottom w:w="0" w:type="dxa"/>
              <w:right w:w="0" w:type="dxa"/>
            </w:tcMar>
            <w:vAlign w:val="center"/>
          </w:tcPr>
          <w:p>
            <w:pPr>
              <w:pStyle w:val="TableContents"/>
              <w:bidi w:val="0"/>
              <w:spacing w:before="0" w:after="283"/>
              <w:jc w:val="left"/>
              <w:rPr/>
            </w:pPr>
            <w:hyperlink r:id="rId16">
              <w:r>
                <w:rPr>
                  <w:rStyle w:val="InternetLink"/>
                  <w:rFonts w:ascii="Times New Roman" w:hAnsi="Times New Roman"/>
                  <w:color w:val="0000FF"/>
                  <w:sz w:val="20"/>
                  <w:u w:val="single"/>
                </w:rPr>
                <w:t>Third Supplemental Indenture, dated as of November 4, 2022, among the Company, the Subsidiary Guarantors party thereto and U.S. Bank Trust Company, National Association (as successor to U.S. Bank National Association), as trustee, to the indenture, dated as of September 21, 2020, previously filed as Exhibit 4.1 to the Company’s Quarterly Report on Form 10-Q dated November 8, 2022, is incorporated herein by reference.</w:t>
              </w:r>
            </w:hyperlink>
          </w:p>
        </w:tc>
      </w:tr>
      <w:tr>
        <w:trPr/>
        <w:tc>
          <w:tcPr>
            <w:tcW w:w="50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55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4.10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558" w:type="dxa"/>
            <w:tcBorders/>
            <w:tcMar>
              <w:top w:w="0" w:type="dxa"/>
              <w:left w:w="0" w:type="dxa"/>
              <w:bottom w:w="0" w:type="dxa"/>
              <w:right w:w="0" w:type="dxa"/>
            </w:tcMar>
            <w:vAlign w:val="center"/>
          </w:tcPr>
          <w:p>
            <w:pPr>
              <w:pStyle w:val="TableContents"/>
              <w:bidi w:val="0"/>
              <w:spacing w:before="0" w:after="283"/>
              <w:jc w:val="left"/>
              <w:rPr/>
            </w:pPr>
            <w:hyperlink r:id="rId17">
              <w:r>
                <w:rPr>
                  <w:rStyle w:val="InternetLink"/>
                  <w:rFonts w:ascii="Times New Roman" w:hAnsi="Times New Roman"/>
                  <w:color w:val="0000FF"/>
                  <w:sz w:val="20"/>
                  <w:u w:val="single"/>
                </w:rPr>
                <w:t>Second Supplemental Indenture, dated as of November 4, 2022, among the Company, the Subsidiary Guarantors party thereto and U.S. Bank Trust Company, National Association (as successor to U.S. Bank National Association), as trustee, to the indenture, dated as of August 24, 2021, previously filed as Exhibit 4.2 to the Company’s Quarterly Report on Form 10-Q dated November 8, 2022, is incorporated herein by reference.</w:t>
              </w:r>
            </w:hyperlink>
          </w:p>
        </w:tc>
      </w:tr>
      <w:tr>
        <w:trPr/>
        <w:tc>
          <w:tcPr>
            <w:tcW w:w="50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55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4.11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558" w:type="dxa"/>
            <w:tcBorders/>
            <w:tcMar>
              <w:top w:w="0" w:type="dxa"/>
              <w:left w:w="0" w:type="dxa"/>
              <w:bottom w:w="0" w:type="dxa"/>
              <w:right w:w="0" w:type="dxa"/>
            </w:tcMar>
            <w:vAlign w:val="center"/>
          </w:tcPr>
          <w:p>
            <w:pPr>
              <w:pStyle w:val="TableContents"/>
              <w:bidi w:val="0"/>
              <w:spacing w:before="0" w:after="283"/>
              <w:jc w:val="left"/>
              <w:rPr/>
            </w:pPr>
            <w:hyperlink r:id="rId18">
              <w:r>
                <w:rPr>
                  <w:rStyle w:val="InternetLink"/>
                  <w:rFonts w:ascii="Times New Roman" w:hAnsi="Times New Roman"/>
                  <w:color w:val="0000FF"/>
                  <w:sz w:val="20"/>
                  <w:u w:val="single"/>
                </w:rPr>
                <w:t>Indenture, dated as of September 26, 2024, among the Company, the Subsidiary Guarantors party thereto, U.S. Bank Trust Company, National Association, as trustee, and JPMorgan Chase Bank, N.A., as collateral agent, previously filed as Exhibit 4.1 to the Company’s Current Report on Form 8-K dated October 1, 2024, is incorporated herein by reference.</w:t>
              </w:r>
            </w:hyperlink>
          </w:p>
        </w:tc>
      </w:tr>
      <w:tr>
        <w:trPr/>
        <w:tc>
          <w:tcPr>
            <w:tcW w:w="50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55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4.12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558" w:type="dxa"/>
            <w:tcBorders/>
            <w:tcMar>
              <w:top w:w="0" w:type="dxa"/>
              <w:left w:w="0" w:type="dxa"/>
              <w:bottom w:w="0" w:type="dxa"/>
              <w:right w:w="0" w:type="dxa"/>
            </w:tcMar>
            <w:vAlign w:val="center"/>
          </w:tcPr>
          <w:p>
            <w:pPr>
              <w:pStyle w:val="TableContents"/>
              <w:bidi w:val="0"/>
              <w:spacing w:before="0" w:after="283"/>
              <w:jc w:val="left"/>
              <w:rPr/>
            </w:pPr>
            <w:hyperlink r:id="rId19">
              <w:r>
                <w:rPr>
                  <w:rStyle w:val="InternetLink"/>
                  <w:rFonts w:ascii="Times New Roman" w:hAnsi="Times New Roman"/>
                  <w:color w:val="0000FF"/>
                  <w:sz w:val="20"/>
                  <w:u w:val="single"/>
                </w:rPr>
                <w:t>First Supplemental Indenture, dated as of September 26, 2024, among the Company, the Subsidiary Guarantors party thereto, U.S. Bank Trust Company, National Association, as trustee, and JPMorgan Chase Bank, N.A., as collateral agent, to the indenture, dated as of September 26, 2024, governing the Issuer’s 4.625% Senior Secured Notes due 2029 and the Issuer’s 5.050% Senior Secured Notes due 2034, previously filed as Exhibit 4.2 to the Company’s Current Report on Form 8-K dated October 1, 2024, is incorporated herein by reference.</w:t>
              </w:r>
            </w:hyperlink>
          </w:p>
        </w:tc>
      </w:tr>
      <w:tr>
        <w:trPr/>
        <w:tc>
          <w:tcPr>
            <w:tcW w:w="50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55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4.13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558" w:type="dxa"/>
            <w:tcBorders/>
            <w:tcMar>
              <w:top w:w="0" w:type="dxa"/>
              <w:left w:w="0" w:type="dxa"/>
              <w:bottom w:w="0" w:type="dxa"/>
              <w:right w:w="0" w:type="dxa"/>
            </w:tcMar>
            <w:vAlign w:val="center"/>
          </w:tcPr>
          <w:p>
            <w:pPr>
              <w:pStyle w:val="TableContents"/>
              <w:bidi w:val="0"/>
              <w:spacing w:before="0" w:after="283"/>
              <w:jc w:val="left"/>
              <w:rPr/>
            </w:pPr>
            <w:hyperlink r:id="rId20">
              <w:r>
                <w:rPr>
                  <w:rStyle w:val="InternetLink"/>
                  <w:rFonts w:ascii="Times New Roman" w:hAnsi="Times New Roman"/>
                  <w:color w:val="0000FF"/>
                  <w:sz w:val="20"/>
                  <w:u w:val="single"/>
                </w:rPr>
                <w:t>Additional Authorized Representative Joinder Agreement, dated as of September 26, 2024, among U.S. Bank Trust Company, National Association, as trustee and additional authorized representative for the holders of the Notes, the Issuer, the Subsidiary Guarantors party thereto, and JPMorgan Chase Bank, N.A., as collateral agent and administrative agent, previously filed as Exhibit 4.5 to the Company’s Current Report on Form 8-K dated October 1, 2024, is incorporated herein by reference.</w:t>
              </w:r>
            </w:hyperlink>
          </w:p>
        </w:tc>
      </w:tr>
      <w:tr>
        <w:trPr/>
        <w:tc>
          <w:tcPr>
            <w:tcW w:w="50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55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10.1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558" w:type="dxa"/>
            <w:tcBorders/>
            <w:tcMar>
              <w:top w:w="0" w:type="dxa"/>
              <w:left w:w="0" w:type="dxa"/>
              <w:bottom w:w="0" w:type="dxa"/>
              <w:right w:w="0" w:type="dxa"/>
            </w:tcMar>
            <w:vAlign w:val="center"/>
          </w:tcPr>
          <w:p>
            <w:pPr>
              <w:pStyle w:val="TableContents"/>
              <w:bidi w:val="0"/>
              <w:spacing w:before="0" w:after="283"/>
              <w:jc w:val="left"/>
              <w:rPr/>
            </w:pPr>
            <w:hyperlink w:anchor="uhs-ex10_1.htm">
              <w:r>
                <w:rPr>
                  <w:rStyle w:val="InternetLink"/>
                  <w:rFonts w:ascii="Times New Roman" w:hAnsi="Times New Roman"/>
                  <w:color w:val="0000FF"/>
                  <w:sz w:val="20"/>
                  <w:u w:val="single"/>
                </w:rPr>
                <w:t>Agreement, dated December 10, 2025, to renew Advisory Agreement dated as of December 24, 1986, and amended and restated effective as of January 1, 2019 between Universal Health Realty Income Trust and UHS of Delaware, Inc.</w:t>
              </w:r>
            </w:hyperlink>
          </w:p>
        </w:tc>
      </w:tr>
      <w:tr>
        <w:trPr/>
        <w:tc>
          <w:tcPr>
            <w:tcW w:w="50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55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10.2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558" w:type="dxa"/>
            <w:tcBorders/>
            <w:tcMar>
              <w:top w:w="0" w:type="dxa"/>
              <w:left w:w="0" w:type="dxa"/>
              <w:bottom w:w="0" w:type="dxa"/>
              <w:right w:w="0" w:type="dxa"/>
            </w:tcMar>
            <w:vAlign w:val="center"/>
          </w:tcPr>
          <w:p>
            <w:pPr>
              <w:pStyle w:val="TableContents"/>
              <w:bidi w:val="0"/>
              <w:spacing w:before="0" w:after="283"/>
              <w:jc w:val="left"/>
              <w:rPr/>
            </w:pPr>
            <w:hyperlink r:id="rId21">
              <w:r>
                <w:rPr>
                  <w:rStyle w:val="InternetLink"/>
                  <w:rFonts w:ascii="Times New Roman" w:hAnsi="Times New Roman"/>
                  <w:color w:val="0000FF"/>
                  <w:sz w:val="20"/>
                  <w:u w:val="single"/>
                </w:rPr>
                <w:t>Agreement, dated as of December 4, 2019, to renew Advisory Agreement, dated as of December 24, 1986, and amended and restated effective as of January 1, 2019 between Universal Health Realty Income Trust and UHS of Delaware, Inc., previously filed as Exhibit 10.3 to the Company’s Annual Report on Form 10-K for the year ended December 31, 2018, is incorporated herein by reference.</w:t>
              </w:r>
            </w:hyperlink>
          </w:p>
        </w:tc>
      </w:tr>
      <w:tr>
        <w:trPr/>
        <w:tc>
          <w:tcPr>
            <w:tcW w:w="50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55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10.3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55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Form of Leases, including Form of Master Lease Document for Leases, between certain subsidiaries of the Company and Universal Health Realty Income Trust, filed as Exhibit 10.3 to Amendment No. 3 of the Registration Statement on Form S-11 and Form S-2 of Registrant and Universal Health Realty Income Trust (Registration No. 33-7872), is incorporated herein by reference (P).</w:t>
            </w:r>
          </w:p>
        </w:tc>
      </w:tr>
      <w:tr>
        <w:trPr/>
        <w:tc>
          <w:tcPr>
            <w:tcW w:w="50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55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10.4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55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Corporate Guaranty of Obligations of Subsidiaries Pursuant to Leases and Contract of Acquisition, dated December 24, 1986, issued by the Company in favor of Universal Health Realty Income Trust, previously filed as Exhibit 10.5 to the Company’s Current Report on Form 8-K dated December 24, 1986, is incorporated herein by reference (P).</w:t>
            </w:r>
          </w:p>
        </w:tc>
      </w:tr>
      <w:tr>
        <w:trPr/>
        <w:tc>
          <w:tcPr>
            <w:tcW w:w="50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55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558" w:type="dxa"/>
            <w:tcBorders/>
            <w:tcMar>
              <w:top w:w="0" w:type="dxa"/>
              <w:left w:w="0" w:type="dxa"/>
              <w:bottom w:w="0" w:type="dxa"/>
              <w:right w:w="0" w:type="dxa"/>
            </w:tcMar>
            <w:vAlign w:val="center"/>
          </w:tcPr>
          <w:p>
            <w:pPr>
              <w:pStyle w:val="TableContents"/>
              <w:bidi w:val="0"/>
              <w:spacing w:before="0" w:after="283"/>
              <w:jc w:val="left"/>
              <w:rPr/>
            </w:pPr>
            <w:hyperlink r:id="rId22">
              <w:r>
                <w:rPr>
                  <w:rStyle w:val="InternetLink"/>
                  <w:rFonts w:ascii="Times New Roman" w:hAnsi="Times New Roman"/>
                  <w:color w:val="0000FF"/>
                  <w:sz w:val="20"/>
                  <w:u w:val="single"/>
                </w:rPr>
                <w:t>Universal Health Services, Inc. Executive Retirement Income Plan dated January 1, 1993, previously filed as Exhibit 10.7 to the Company’s Annual Report on Form 10-K for the year ended December 31, 2002, is incorporated herein by reference.</w:t>
              </w:r>
            </w:hyperlink>
          </w:p>
        </w:tc>
      </w:tr>
      <w:tr>
        <w:trPr/>
        <w:tc>
          <w:tcPr>
            <w:tcW w:w="50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55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558" w:type="dxa"/>
            <w:tcBorders/>
            <w:tcMar>
              <w:top w:w="0" w:type="dxa"/>
              <w:left w:w="0" w:type="dxa"/>
              <w:bottom w:w="0" w:type="dxa"/>
              <w:right w:w="0" w:type="dxa"/>
            </w:tcMar>
            <w:vAlign w:val="center"/>
          </w:tcPr>
          <w:p>
            <w:pPr>
              <w:pStyle w:val="TableContents"/>
              <w:bidi w:val="0"/>
              <w:spacing w:before="0" w:after="283"/>
              <w:jc w:val="left"/>
              <w:rPr/>
            </w:pPr>
            <w:hyperlink r:id="rId23">
              <w:r>
                <w:rPr>
                  <w:rStyle w:val="InternetLink"/>
                  <w:rFonts w:ascii="Times New Roman" w:hAnsi="Times New Roman"/>
                  <w:color w:val="0000FF"/>
                  <w:sz w:val="20"/>
                  <w:u w:val="single"/>
                </w:rPr>
                <w:t>Universal Health Services, Inc. Supplemental Executive Retirement Income Plan effective as of June 1, 2018, dated as of June 18, 2018, previously filed as Exhibit 10.1 to the Company’s Quarterly Report on Form 10-Q for the quarterly period ended March 31, 2019, is incorporated herein by reference.</w:t>
              </w:r>
            </w:hyperlink>
          </w:p>
        </w:tc>
      </w:tr>
      <w:tr>
        <w:trPr/>
        <w:tc>
          <w:tcPr>
            <w:tcW w:w="50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55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10.7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55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 Purchase Agreement dated as of February 6, 1996, among Amarillo Hospital District, UHS of Amarillo, Inc. and Universal Health Services, Inc., previously filed as Exhibit 10.28 to the Company’s Annual Report on Form 10-K for the year ended December 31, 1995, is incorporated herein by reference (P).</w:t>
            </w:r>
          </w:p>
        </w:tc>
      </w:tr>
      <w:tr>
        <w:trPr/>
        <w:tc>
          <w:tcPr>
            <w:tcW w:w="50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55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10.8*</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558" w:type="dxa"/>
            <w:tcBorders/>
            <w:tcMar>
              <w:top w:w="0" w:type="dxa"/>
              <w:left w:w="0" w:type="dxa"/>
              <w:bottom w:w="0" w:type="dxa"/>
              <w:right w:w="0" w:type="dxa"/>
            </w:tcMar>
            <w:vAlign w:val="center"/>
          </w:tcPr>
          <w:p>
            <w:pPr>
              <w:pStyle w:val="TableContents"/>
              <w:bidi w:val="0"/>
              <w:spacing w:before="0" w:after="283"/>
              <w:jc w:val="left"/>
              <w:rPr/>
            </w:pPr>
            <w:hyperlink r:id="rId24">
              <w:r>
                <w:rPr>
                  <w:rStyle w:val="InternetLink"/>
                  <w:rFonts w:ascii="Times New Roman" w:hAnsi="Times New Roman"/>
                  <w:color w:val="0000FF"/>
                  <w:sz w:val="20"/>
                  <w:u w:val="single"/>
                </w:rPr>
                <w:t>Amended and Restated Universal Health Services, Inc. Supplemental Deferred Compensation Plan dated as of January 1, 2002, previously filed as Exhibit 10.29 to the Company’s Annual Report on Form 10-K for the year ended December 31, 2002, is incorporated herein by reference.</w:t>
              </w:r>
            </w:hyperlink>
          </w:p>
        </w:tc>
      </w:tr>
      <w:tr>
        <w:trPr/>
        <w:tc>
          <w:tcPr>
            <w:tcW w:w="50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558"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center"/>
        <w:rPr>
          <w:rFonts w:ascii="Times New Roman" w:hAnsi="Times New Roman"/>
          <w:color w:val="000000"/>
          <w:sz w:val="20"/>
        </w:rPr>
      </w:pPr>
      <w:r>
        <w:rPr>
          <w:rFonts w:ascii="Times New Roman" w:hAnsi="Times New Roman"/>
          <w:color w:val="000000"/>
          <w:sz w:val="20"/>
        </w:rPr>
        <w:t>82</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86"/>
        <w:gridCol w:w="146"/>
        <w:gridCol w:w="9473"/>
      </w:tblGrid>
      <w:tr>
        <w:trPr/>
        <w:tc>
          <w:tcPr>
            <w:tcW w:w="58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9473" w:type="dxa"/>
            <w:tcBorders/>
            <w:shd w:fill="FFFFFF" w:val="clear"/>
            <w:vAlign w:val="center"/>
          </w:tcPr>
          <w:p>
            <w:pPr>
              <w:pStyle w:val="TableContents"/>
              <w:bidi w:val="0"/>
              <w:spacing w:before="0" w:after="283"/>
              <w:jc w:val="left"/>
              <w:rPr>
                <w:sz w:val="4"/>
                <w:szCs w:val="4"/>
              </w:rPr>
            </w:pPr>
            <w:r>
              <w:rPr>
                <w:sz w:val="4"/>
                <w:szCs w:val="4"/>
              </w:rPr>
            </w:r>
          </w:p>
        </w:tc>
      </w:tr>
      <w:tr>
        <w:trPr/>
        <w:tc>
          <w:tcPr>
            <w:tcW w:w="5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u w:val="single"/>
              </w:rPr>
            </w:pPr>
            <w:r>
              <w:rPr>
                <w:rFonts w:ascii="Times New Roman" w:hAnsi="Times New Roman"/>
                <w:b/>
                <w:color w:val="000000"/>
                <w:sz w:val="20"/>
                <w:u w:val="single"/>
              </w:rPr>
              <w:t>No.</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47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u w:val="single"/>
              </w:rPr>
            </w:pPr>
            <w:r>
              <w:rPr>
                <w:rFonts w:ascii="Times New Roman" w:hAnsi="Times New Roman"/>
                <w:b/>
                <w:color w:val="000000"/>
                <w:sz w:val="20"/>
                <w:u w:val="single"/>
              </w:rPr>
              <w:t>Description</w:t>
            </w:r>
          </w:p>
        </w:tc>
      </w:tr>
      <w:tr>
        <w:trPr/>
        <w:tc>
          <w:tcPr>
            <w:tcW w:w="5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10.9</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73" w:type="dxa"/>
            <w:tcBorders/>
            <w:tcMar>
              <w:top w:w="0" w:type="dxa"/>
              <w:left w:w="0" w:type="dxa"/>
              <w:bottom w:w="0" w:type="dxa"/>
              <w:right w:w="0" w:type="dxa"/>
            </w:tcMar>
            <w:vAlign w:val="center"/>
          </w:tcPr>
          <w:p>
            <w:pPr>
              <w:pStyle w:val="TableContents"/>
              <w:bidi w:val="0"/>
              <w:spacing w:before="0" w:after="283"/>
              <w:jc w:val="left"/>
              <w:rPr/>
            </w:pPr>
            <w:hyperlink r:id="rId25">
              <w:r>
                <w:rPr>
                  <w:rStyle w:val="InternetLink"/>
                  <w:rFonts w:ascii="Times New Roman" w:hAnsi="Times New Roman"/>
                  <w:color w:val="0000FF"/>
                  <w:sz w:val="20"/>
                  <w:u w:val="single"/>
                </w:rPr>
                <w:t>Amendment No. 1 to the Master Lease Document, between certain subsidiaries of Universal Health Services, Inc. and Universal Health Realty Income Trust, dated April 24, 2006, previously filed as Exhibit 10.29 to the Company’s Annual Report on Form 10-K for the year ended December 31, 2006, is incorporated herein by reference.</w:t>
              </w:r>
            </w:hyperlink>
          </w:p>
        </w:tc>
      </w:tr>
      <w:tr>
        <w:trPr/>
        <w:tc>
          <w:tcPr>
            <w:tcW w:w="5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7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73" w:type="dxa"/>
            <w:tcBorders/>
            <w:tcMar>
              <w:top w:w="0" w:type="dxa"/>
              <w:left w:w="0" w:type="dxa"/>
              <w:bottom w:w="0" w:type="dxa"/>
              <w:right w:w="0" w:type="dxa"/>
            </w:tcMar>
            <w:vAlign w:val="center"/>
          </w:tcPr>
          <w:p>
            <w:pPr>
              <w:pStyle w:val="TableContents"/>
              <w:bidi w:val="0"/>
              <w:spacing w:before="0" w:after="283"/>
              <w:jc w:val="left"/>
              <w:rPr/>
            </w:pPr>
            <w:hyperlink r:id="rId26">
              <w:r>
                <w:rPr>
                  <w:rStyle w:val="InternetLink"/>
                  <w:rFonts w:ascii="Times New Roman" w:hAnsi="Times New Roman"/>
                  <w:color w:val="0000FF"/>
                  <w:sz w:val="20"/>
                  <w:u w:val="single"/>
                </w:rPr>
                <w:t>Credit Agreement, dated as of November 15, 2010, by and among Universal Health Services, Inc., JPMorgan Chase Bank, N.A. and the various financial institutions as are or may become parties thereto, as Lenders, SunTrust Bank, The Royal Bank of Scotland, Plc, Bank of Tokyo-Mitsubishi UFJ Trust Company and Credit Agricole Corporate and Investment Bank, as co-documentation agents, Deutsche Bank Securities Inc. and Bank of America N.A. as co-syndication agents, and JPMorgan Chase Bank, N.A., as administrative agent for the Lenders and as collateral agent for the secured parties, previously filed as Exhibit 10.1 to the Company’s Current Report on Form 8-K dated November 17, 2010, is incorporated herein by reference.</w:t>
              </w:r>
            </w:hyperlink>
          </w:p>
        </w:tc>
      </w:tr>
      <w:tr>
        <w:trPr/>
        <w:tc>
          <w:tcPr>
            <w:tcW w:w="5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7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73" w:type="dxa"/>
            <w:tcBorders/>
            <w:tcMar>
              <w:top w:w="0" w:type="dxa"/>
              <w:left w:w="0" w:type="dxa"/>
              <w:bottom w:w="0" w:type="dxa"/>
              <w:right w:w="0" w:type="dxa"/>
            </w:tcMar>
            <w:vAlign w:val="center"/>
          </w:tcPr>
          <w:p>
            <w:pPr>
              <w:pStyle w:val="TableContents"/>
              <w:bidi w:val="0"/>
              <w:spacing w:before="0" w:after="283"/>
              <w:jc w:val="left"/>
              <w:rPr/>
            </w:pPr>
            <w:hyperlink r:id="rId27">
              <w:r>
                <w:rPr>
                  <w:rStyle w:val="InternetLink"/>
                  <w:rFonts w:ascii="Times New Roman" w:hAnsi="Times New Roman"/>
                  <w:color w:val="0000FF"/>
                  <w:sz w:val="20"/>
                  <w:u w:val="single"/>
                </w:rPr>
                <w:t>First Amendment, dated as of March 15, 2011, to the Credit Agreement, dated as of November 15, 2010, by and among Universal Health Services, Inc., JPMorgan Chase Bank, N.A. and the various financial institutions as are or may become parties thereto, as Lenders, certain banks as co-documentation agents, and as co-syndication agents, and JPMorgan Chase Bank, N.A., as administrative agent for the Lenders and as collateral agent for the secured parties, previously filed as Exhibit 10.1 to the Company’s Current Report on Form 8-K dated March 15, 2011, is incorporated herein by reference.</w:t>
              </w:r>
            </w:hyperlink>
          </w:p>
        </w:tc>
      </w:tr>
      <w:tr>
        <w:trPr/>
        <w:tc>
          <w:tcPr>
            <w:tcW w:w="5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7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73" w:type="dxa"/>
            <w:tcBorders/>
            <w:tcMar>
              <w:top w:w="0" w:type="dxa"/>
              <w:left w:w="0" w:type="dxa"/>
              <w:bottom w:w="0" w:type="dxa"/>
              <w:right w:w="0" w:type="dxa"/>
            </w:tcMar>
            <w:vAlign w:val="center"/>
          </w:tcPr>
          <w:p>
            <w:pPr>
              <w:pStyle w:val="TableContents"/>
              <w:bidi w:val="0"/>
              <w:spacing w:before="0" w:after="283"/>
              <w:jc w:val="left"/>
              <w:rPr/>
            </w:pPr>
            <w:hyperlink r:id="rId28">
              <w:r>
                <w:rPr>
                  <w:rStyle w:val="InternetLink"/>
                  <w:rFonts w:ascii="Times New Roman" w:hAnsi="Times New Roman"/>
                  <w:color w:val="0000FF"/>
                  <w:sz w:val="20"/>
                  <w:u w:val="single"/>
                </w:rPr>
                <w:t>Credit Agreement, dated as of November 15, 2010 and amended and restated as of September 21, 2012, by and among Universal Health Services, Inc. (the borrower), the several lenders from time to time parties thereto, Credit Agricole Corporate and Investment Bank, Mizuho Corporate Bank LTD., Royal Bank of Canada and The Royal Bank of Scotland PLC (as co-documentation agents), Bank of Tokyo-Mitsubishi UFJ Trust Company, Bank of America N.A. and SunTrust Bank (as co-syndication agents), and JPMorgan Chase Bank, N.A. (as administrative agent), previously filed as Exhibit 10.1 to the Company’s Current Report on Form 8-K dated September 26, 2012, is incorporated herein by reference.</w:t>
              </w:r>
            </w:hyperlink>
          </w:p>
        </w:tc>
      </w:tr>
      <w:tr>
        <w:trPr/>
        <w:tc>
          <w:tcPr>
            <w:tcW w:w="5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7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73" w:type="dxa"/>
            <w:tcBorders/>
            <w:tcMar>
              <w:top w:w="0" w:type="dxa"/>
              <w:left w:w="0" w:type="dxa"/>
              <w:bottom w:w="0" w:type="dxa"/>
              <w:right w:w="0" w:type="dxa"/>
            </w:tcMar>
            <w:vAlign w:val="center"/>
          </w:tcPr>
          <w:p>
            <w:pPr>
              <w:pStyle w:val="TableContents"/>
              <w:bidi w:val="0"/>
              <w:spacing w:before="0" w:after="283"/>
              <w:jc w:val="left"/>
              <w:rPr/>
            </w:pPr>
            <w:hyperlink r:id="rId29">
              <w:r>
                <w:rPr>
                  <w:rStyle w:val="InternetLink"/>
                  <w:rFonts w:ascii="Times New Roman" w:hAnsi="Times New Roman"/>
                  <w:color w:val="0000FF"/>
                  <w:sz w:val="20"/>
                  <w:u w:val="single"/>
                </w:rPr>
                <w:t>Second Amendment, dated as of September 21, 2012, to the Credit Agreement, dated as of November 15, 2010 (as amended from time to time), among Universal Health Services, Inc., a Delaware corporation, the several banks and other financial institutions from time to time parties thereto, JPMorgan Chase Bank, N.A., as administrative agent and the other agents party thereto, previously filed as Exhibit 10.2 to the Company’s Current Report on Form 8-K dated September 26, 2012, is incorporated herein by reference.</w:t>
              </w:r>
            </w:hyperlink>
          </w:p>
        </w:tc>
      </w:tr>
      <w:tr>
        <w:trPr/>
        <w:tc>
          <w:tcPr>
            <w:tcW w:w="5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7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73" w:type="dxa"/>
            <w:tcBorders/>
            <w:tcMar>
              <w:top w:w="0" w:type="dxa"/>
              <w:left w:w="0" w:type="dxa"/>
              <w:bottom w:w="0" w:type="dxa"/>
              <w:right w:w="0" w:type="dxa"/>
            </w:tcMar>
            <w:vAlign w:val="center"/>
          </w:tcPr>
          <w:p>
            <w:pPr>
              <w:pStyle w:val="TableContents"/>
              <w:bidi w:val="0"/>
              <w:spacing w:before="0" w:after="283"/>
              <w:jc w:val="left"/>
              <w:rPr/>
            </w:pPr>
            <w:hyperlink r:id="rId30">
              <w:r>
                <w:rPr>
                  <w:rStyle w:val="InternetLink"/>
                  <w:rFonts w:ascii="Times New Roman" w:hAnsi="Times New Roman"/>
                  <w:color w:val="0000FF"/>
                  <w:sz w:val="20"/>
                  <w:u w:val="single"/>
                </w:rPr>
                <w:t>Third Amendment, dated as of May 16, 2013, to the Credit Agreement, dated as of November 15, 2010, as amended from time to time, among Universal Health Services, Inc., a Delaware corporation, the several banks and other financial institutions from time to time parties thereto, JPMorgan Chase Bank, N.A., as administrative agent and the other agents party thereto, previously filed as Exhibit 10.1 to the Company’s Current Report on Form 8-K dated May 17, 2013, is incorporated herein by reference.</w:t>
              </w:r>
            </w:hyperlink>
          </w:p>
        </w:tc>
      </w:tr>
      <w:tr>
        <w:trPr/>
        <w:tc>
          <w:tcPr>
            <w:tcW w:w="5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7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73" w:type="dxa"/>
            <w:tcBorders/>
            <w:tcMar>
              <w:top w:w="0" w:type="dxa"/>
              <w:left w:w="0" w:type="dxa"/>
              <w:bottom w:w="0" w:type="dxa"/>
              <w:right w:w="0" w:type="dxa"/>
            </w:tcMar>
            <w:vAlign w:val="center"/>
          </w:tcPr>
          <w:p>
            <w:pPr>
              <w:pStyle w:val="TableContents"/>
              <w:bidi w:val="0"/>
              <w:jc w:val="left"/>
              <w:rPr/>
            </w:pPr>
            <w:hyperlink r:id="rId31">
              <w:r>
                <w:rPr>
                  <w:rStyle w:val="InternetLink"/>
                  <w:rFonts w:ascii="Times New Roman" w:hAnsi="Times New Roman"/>
                  <w:color w:val="0000FF"/>
                  <w:sz w:val="20"/>
                  <w:u w:val="single"/>
                </w:rPr>
                <w:t>Fourth Amendment, dated as of August 7, 2014, to the Credit Agreement, dated as of November 15, 2010, as previously amended from time to time, by and among Universal Health Services, Inc., the several banks and other financial institutions from time to time parties thereto, JPMorgan Chase Bank, N.A., as administrative agent and the other agents party thereto, previously filed as Exhibit 10.1 to the Company’s Current Report on Form 8-K dated August 12, 2014, is incorporated herein by reference.</w:t>
              </w:r>
            </w:hyperlink>
          </w:p>
          <w:p>
            <w:pPr>
              <w:pStyle w:val="TableContents"/>
              <w:bidi w:val="0"/>
              <w:spacing w:before="0" w:after="283"/>
              <w:jc w:val="left"/>
              <w:rPr/>
            </w:pPr>
            <w:r>
              <w:rPr/>
              <w:t> </w:t>
            </w:r>
          </w:p>
        </w:tc>
      </w:tr>
      <w:tr>
        <w:trPr/>
        <w:tc>
          <w:tcPr>
            <w:tcW w:w="5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73" w:type="dxa"/>
            <w:tcBorders/>
            <w:tcMar>
              <w:top w:w="0" w:type="dxa"/>
              <w:left w:w="0" w:type="dxa"/>
              <w:bottom w:w="0" w:type="dxa"/>
              <w:right w:w="0" w:type="dxa"/>
            </w:tcMar>
            <w:vAlign w:val="center"/>
          </w:tcPr>
          <w:p>
            <w:pPr>
              <w:pStyle w:val="TableContents"/>
              <w:bidi w:val="0"/>
              <w:spacing w:before="0" w:after="283"/>
              <w:jc w:val="left"/>
              <w:rPr/>
            </w:pPr>
            <w:hyperlink r:id="rId32">
              <w:r>
                <w:rPr>
                  <w:rStyle w:val="InternetLink"/>
                  <w:rFonts w:ascii="Times New Roman" w:hAnsi="Times New Roman"/>
                  <w:color w:val="0000FF"/>
                  <w:sz w:val="20"/>
                  <w:u w:val="single"/>
                </w:rPr>
                <w:t>Credit Agreement, dated as of November 15, 2010 and amended and restated as of August 7, 2014, by and among Universal Health Services, Inc., the several banks and other financial institutions from time to time parties thereto, JPMorgan Chase Bank, N.A., as administrative agent and the other agents party thereto, previously filed as Exhibit 10.2 to the Company’s Current Report on Form 8-K dated August 12, 2014, is incorporated herein by reference.</w:t>
              </w:r>
            </w:hyperlink>
          </w:p>
        </w:tc>
      </w:tr>
      <w:tr>
        <w:trPr/>
        <w:tc>
          <w:tcPr>
            <w:tcW w:w="5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7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10.17</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73" w:type="dxa"/>
            <w:tcBorders/>
            <w:tcMar>
              <w:top w:w="0" w:type="dxa"/>
              <w:left w:w="0" w:type="dxa"/>
              <w:bottom w:w="0" w:type="dxa"/>
              <w:right w:w="0" w:type="dxa"/>
            </w:tcMar>
            <w:vAlign w:val="center"/>
          </w:tcPr>
          <w:p>
            <w:pPr>
              <w:pStyle w:val="TableContents"/>
              <w:bidi w:val="0"/>
              <w:jc w:val="left"/>
              <w:rPr/>
            </w:pPr>
            <w:hyperlink r:id="rId33">
              <w:r>
                <w:rPr>
                  <w:rStyle w:val="InternetLink"/>
                  <w:rFonts w:ascii="Times New Roman" w:hAnsi="Times New Roman"/>
                  <w:color w:val="0000FF"/>
                  <w:sz w:val="20"/>
                  <w:u w:val="single"/>
                </w:rPr>
                <w:t>Fifth Amendment, dated as of November 7, 2016, to the Credit Agreement, dated as of November 15, 2010, as amended on March 15, 2011, September 21, 2012, May 16, 2013 and August 7, 2014, among the Company, as borrower, the several banks and other financial institutions from time to time parties thereto, as lenders, JPMorgan Chase Bank, N.A., as administrative agent, and the other agents party thereto, previously filed as Exhibit 10.1 to the Company’s Current Report on Form 8-K dated June 8, 2016, is incorporated herein by reference.</w:t>
              </w:r>
            </w:hyperlink>
          </w:p>
          <w:p>
            <w:pPr>
              <w:pStyle w:val="TableContents"/>
              <w:bidi w:val="0"/>
              <w:spacing w:before="0" w:after="283"/>
              <w:jc w:val="left"/>
              <w:rPr/>
            </w:pPr>
            <w:r>
              <w:rPr/>
              <w:t> </w:t>
            </w:r>
          </w:p>
        </w:tc>
      </w:tr>
      <w:tr>
        <w:trPr/>
        <w:tc>
          <w:tcPr>
            <w:tcW w:w="5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10.18</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73" w:type="dxa"/>
            <w:tcBorders/>
            <w:tcMar>
              <w:top w:w="0" w:type="dxa"/>
              <w:left w:w="0" w:type="dxa"/>
              <w:bottom w:w="0" w:type="dxa"/>
              <w:right w:w="0" w:type="dxa"/>
            </w:tcMar>
            <w:vAlign w:val="center"/>
          </w:tcPr>
          <w:p>
            <w:pPr>
              <w:pStyle w:val="TableContents"/>
              <w:bidi w:val="0"/>
              <w:spacing w:before="0" w:after="283"/>
              <w:jc w:val="left"/>
              <w:rPr/>
            </w:pPr>
            <w:hyperlink r:id="rId34">
              <w:r>
                <w:rPr>
                  <w:rStyle w:val="InternetLink"/>
                  <w:rFonts w:ascii="Times New Roman" w:hAnsi="Times New Roman"/>
                  <w:color w:val="0000FF"/>
                  <w:sz w:val="20"/>
                  <w:u w:val="single"/>
                </w:rPr>
                <w:t>Sixth Amendment, dated as of October 23, 2018, to the Credit Agreement, dated as of November 15, 2010, as amended on March 15, 2011, September 21, 2012, May 16, 2013, August 7, 2014 and June 7, 2016, among the Company, as borrower, the several banks and other financial institutions from time to time parties thereto, as lenders, JPMorgan Chase Bank, N.A., as administrative agent, and the other agents party thereto, previously filed as Exhibit 10.1 to the Company’s Current Report on Form 8-K dated October 24, 2018, is incorporated herein by reference.</w:t>
              </w:r>
            </w:hyperlink>
          </w:p>
        </w:tc>
      </w:tr>
    </w:tbl>
    <w:p>
      <w:pPr>
        <w:pStyle w:val="TextBody"/>
        <w:bidi w:val="0"/>
        <w:spacing w:before="120" w:after="283"/>
        <w:jc w:val="center"/>
        <w:rPr>
          <w:rFonts w:ascii="Times New Roman" w:hAnsi="Times New Roman"/>
          <w:color w:val="000000"/>
          <w:sz w:val="20"/>
        </w:rPr>
      </w:pPr>
      <w:r>
        <w:rPr>
          <w:rFonts w:ascii="Times New Roman" w:hAnsi="Times New Roman"/>
          <w:color w:val="000000"/>
          <w:sz w:val="20"/>
        </w:rPr>
        <w:t>83</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03"/>
        <w:gridCol w:w="146"/>
        <w:gridCol w:w="9456"/>
      </w:tblGrid>
      <w:tr>
        <w:trPr/>
        <w:tc>
          <w:tcPr>
            <w:tcW w:w="603"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9456" w:type="dxa"/>
            <w:tcBorders/>
            <w:shd w:fill="FFFFFF" w:val="clear"/>
            <w:vAlign w:val="center"/>
          </w:tcPr>
          <w:p>
            <w:pPr>
              <w:pStyle w:val="TableContents"/>
              <w:bidi w:val="0"/>
              <w:spacing w:before="0" w:after="283"/>
              <w:jc w:val="left"/>
              <w:rPr>
                <w:sz w:val="4"/>
                <w:szCs w:val="4"/>
              </w:rPr>
            </w:pPr>
            <w:r>
              <w:rPr>
                <w:sz w:val="4"/>
                <w:szCs w:val="4"/>
              </w:rPr>
            </w:r>
          </w:p>
        </w:tc>
      </w:tr>
      <w:tr>
        <w:trPr/>
        <w:tc>
          <w:tcPr>
            <w:tcW w:w="60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u w:val="single"/>
              </w:rPr>
            </w:pPr>
            <w:r>
              <w:rPr>
                <w:rFonts w:ascii="Times New Roman" w:hAnsi="Times New Roman"/>
                <w:b/>
                <w:color w:val="000000"/>
                <w:sz w:val="20"/>
                <w:u w:val="single"/>
              </w:rPr>
              <w:t>No.</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4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u w:val="single"/>
              </w:rPr>
            </w:pPr>
            <w:r>
              <w:rPr>
                <w:rFonts w:ascii="Times New Roman" w:hAnsi="Times New Roman"/>
                <w:b/>
                <w:color w:val="000000"/>
                <w:sz w:val="20"/>
                <w:u w:val="single"/>
              </w:rPr>
              <w:t>Description</w:t>
            </w:r>
          </w:p>
        </w:tc>
      </w:tr>
      <w:tr>
        <w:trPr/>
        <w:tc>
          <w:tcPr>
            <w:tcW w:w="60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5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0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10.19</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56" w:type="dxa"/>
            <w:tcBorders/>
            <w:tcMar>
              <w:top w:w="0" w:type="dxa"/>
              <w:left w:w="0" w:type="dxa"/>
              <w:bottom w:w="0" w:type="dxa"/>
              <w:right w:w="0" w:type="dxa"/>
            </w:tcMar>
            <w:vAlign w:val="center"/>
          </w:tcPr>
          <w:p>
            <w:pPr>
              <w:pStyle w:val="TableContents"/>
              <w:bidi w:val="0"/>
              <w:spacing w:before="0" w:after="283"/>
              <w:jc w:val="left"/>
              <w:rPr/>
            </w:pPr>
            <w:hyperlink r:id="rId35">
              <w:r>
                <w:rPr>
                  <w:rStyle w:val="InternetLink"/>
                  <w:rFonts w:ascii="Times New Roman" w:hAnsi="Times New Roman"/>
                  <w:color w:val="0000FF"/>
                  <w:sz w:val="20"/>
                  <w:u w:val="single"/>
                </w:rPr>
                <w:t>Increased Facility Activation Notice – Incremental Term Loans, dated as of October 31, 2018, to the Credit Agreement, dated as of November 15, 2010, as amended on March 15, 2011, September 21, 2012, May 16, 2013, August 7, 2014, June 7, 2016 and October 23, 2018, among the Company, as borrower, the several banks and other financial institutions from time to time parties thereto, as lenders, JPMorgan Chase Bank, N.A., as administrative agent, and the other agents party thereto, previously filed as Exhibit 10.1 to the Company’s Current Report on Form 8-K dated November 2, 2018, is incorporated herein by reference.</w:t>
              </w:r>
            </w:hyperlink>
          </w:p>
        </w:tc>
      </w:tr>
      <w:tr>
        <w:trPr/>
        <w:tc>
          <w:tcPr>
            <w:tcW w:w="60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5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0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56" w:type="dxa"/>
            <w:tcBorders/>
            <w:tcMar>
              <w:top w:w="0" w:type="dxa"/>
              <w:left w:w="0" w:type="dxa"/>
              <w:bottom w:w="0" w:type="dxa"/>
              <w:right w:w="0" w:type="dxa"/>
            </w:tcMar>
            <w:vAlign w:val="center"/>
          </w:tcPr>
          <w:p>
            <w:pPr>
              <w:pStyle w:val="TableContents"/>
              <w:bidi w:val="0"/>
              <w:spacing w:before="0" w:after="283"/>
              <w:jc w:val="left"/>
              <w:rPr/>
            </w:pPr>
            <w:hyperlink r:id="rId36">
              <w:r>
                <w:rPr>
                  <w:rStyle w:val="InternetLink"/>
                  <w:rFonts w:ascii="Times New Roman" w:hAnsi="Times New Roman"/>
                  <w:color w:val="0000FF"/>
                  <w:sz w:val="20"/>
                  <w:u w:val="single"/>
                </w:rPr>
                <w:t>Seventh Amendment, dated as of August 24, 2021, to the Credit Agreement, dated as of November 15, 2010, as amended on March 15, 2011, September 21, 2012, May 16, 2013, August 7, 2014, June 7, 2016 and October 23, 2018, among the Company, as borrower, the several banks and other financial institutions from time to time parties thereto, as lenders, JPMorgan Chase Bank, N.A., as administrative agent, and the other agents party thereto, previously filed as Exhibit 10.2 to the Company’s Current Report on Form 8-K dated August 24, 2021, is incorporated herein by reference.</w:t>
              </w:r>
            </w:hyperlink>
          </w:p>
        </w:tc>
      </w:tr>
      <w:tr>
        <w:trPr/>
        <w:tc>
          <w:tcPr>
            <w:tcW w:w="60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5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0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56" w:type="dxa"/>
            <w:tcBorders/>
            <w:tcMar>
              <w:top w:w="0" w:type="dxa"/>
              <w:left w:w="0" w:type="dxa"/>
              <w:bottom w:w="0" w:type="dxa"/>
              <w:right w:w="0" w:type="dxa"/>
            </w:tcMar>
            <w:vAlign w:val="center"/>
          </w:tcPr>
          <w:p>
            <w:pPr>
              <w:pStyle w:val="TableContents"/>
              <w:bidi w:val="0"/>
              <w:spacing w:before="0" w:after="283"/>
              <w:jc w:val="left"/>
              <w:rPr/>
            </w:pPr>
            <w:hyperlink r:id="rId37">
              <w:r>
                <w:rPr>
                  <w:rStyle w:val="InternetLink"/>
                  <w:rFonts w:ascii="Times New Roman" w:hAnsi="Times New Roman"/>
                  <w:color w:val="0000FF"/>
                  <w:sz w:val="20"/>
                  <w:u w:val="single"/>
                </w:rPr>
                <w:t>Eighth Amendment, dated as of September 10, 2021, to the Credit Agreement, dated as of November 15, 2010, as amended on March 15, 2011, September 21, 2012, May 16, 2013, August 7, 2014, June 7, 2016, October 23, 2018 and August 24, 2021, among the Company, as borrower, the several banks and other financial institutions from time to time parties thereto, as lenders, JPMorgan Chase Bank, N.A., as administrative agent, and the other agents party thereto, previously filed as Exhibit 10.3 to the Company’s Quarterly Report on Form 10-Q dated November 8, 2021, is incorporated herein by reference.</w:t>
              </w:r>
            </w:hyperlink>
          </w:p>
        </w:tc>
      </w:tr>
      <w:tr>
        <w:trPr/>
        <w:tc>
          <w:tcPr>
            <w:tcW w:w="60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5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0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56" w:type="dxa"/>
            <w:tcBorders/>
            <w:tcMar>
              <w:top w:w="0" w:type="dxa"/>
              <w:left w:w="0" w:type="dxa"/>
              <w:bottom w:w="0" w:type="dxa"/>
              <w:right w:w="0" w:type="dxa"/>
            </w:tcMar>
            <w:vAlign w:val="center"/>
          </w:tcPr>
          <w:p>
            <w:pPr>
              <w:pStyle w:val="TableContents"/>
              <w:bidi w:val="0"/>
              <w:spacing w:before="0" w:after="283"/>
              <w:jc w:val="left"/>
              <w:rPr/>
            </w:pPr>
            <w:hyperlink r:id="rId38">
              <w:r>
                <w:rPr>
                  <w:rStyle w:val="InternetLink"/>
                  <w:rFonts w:ascii="Times New Roman" w:hAnsi="Times New Roman"/>
                  <w:color w:val="0000FF"/>
                  <w:sz w:val="20"/>
                  <w:u w:val="single"/>
                </w:rPr>
                <w:t>Ninth Amendment and Increased Facility Activation Notice dated as of June 23, 2022, to Credit Agreement, dated as of November 15, 2010 and as amended and restated as of March 15, 2011, September 21, 2012, May 16, 2013, August 7, 2014, June 7, 2016, October 23, 2018, August 24, 2021 and September 10, 2021, among the Company, JP Morgan Chase Bank, N.A., as administrative agent and other financial institutions or entities from time to time parties thereto, previously filed as Exhibit 10.1 to the Company’s Current Report on Form 8-K dated June 27, 2022, is incorporated herein by reference.</w:t>
              </w:r>
            </w:hyperlink>
          </w:p>
        </w:tc>
      </w:tr>
      <w:tr>
        <w:trPr/>
        <w:tc>
          <w:tcPr>
            <w:tcW w:w="60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5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0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56" w:type="dxa"/>
            <w:tcBorders/>
            <w:tcMar>
              <w:top w:w="0" w:type="dxa"/>
              <w:left w:w="0" w:type="dxa"/>
              <w:bottom w:w="0" w:type="dxa"/>
              <w:right w:w="0" w:type="dxa"/>
            </w:tcMar>
            <w:vAlign w:val="center"/>
          </w:tcPr>
          <w:p>
            <w:pPr>
              <w:pStyle w:val="TableContents"/>
              <w:bidi w:val="0"/>
              <w:spacing w:before="0" w:after="283"/>
              <w:jc w:val="left"/>
              <w:rPr/>
            </w:pPr>
            <w:hyperlink r:id="rId39">
              <w:r>
                <w:rPr>
                  <w:rStyle w:val="InternetLink"/>
                  <w:rFonts w:ascii="Times New Roman" w:hAnsi="Times New Roman"/>
                  <w:color w:val="0000FF"/>
                  <w:sz w:val="20"/>
                  <w:u w:val="single"/>
                </w:rPr>
                <w:t>Form of Supplemental Life Insurance Plan and Agreement Part A: Alan B. Miller 1998 Dual Life Insurance Trust (effective December 9, 2010, by and between Universal Health Services, Inc., a Delaware corporation (the “Company”), and Anthony Pantaleoni as Trustee), previously filed as Exhibit 10.1 to the Company’s Current Report on Form 8-K dated December 10, 2010, is incorporated herein by reference.</w:t>
              </w:r>
            </w:hyperlink>
          </w:p>
        </w:tc>
      </w:tr>
      <w:tr>
        <w:trPr/>
        <w:tc>
          <w:tcPr>
            <w:tcW w:w="60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5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0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56" w:type="dxa"/>
            <w:tcBorders/>
            <w:tcMar>
              <w:top w:w="0" w:type="dxa"/>
              <w:left w:w="0" w:type="dxa"/>
              <w:bottom w:w="0" w:type="dxa"/>
              <w:right w:w="0" w:type="dxa"/>
            </w:tcMar>
            <w:vAlign w:val="center"/>
          </w:tcPr>
          <w:p>
            <w:pPr>
              <w:pStyle w:val="TableContents"/>
              <w:bidi w:val="0"/>
              <w:spacing w:before="0" w:after="283"/>
              <w:jc w:val="left"/>
              <w:rPr/>
            </w:pPr>
            <w:hyperlink r:id="rId40">
              <w:r>
                <w:rPr>
                  <w:rStyle w:val="InternetLink"/>
                  <w:rFonts w:ascii="Times New Roman" w:hAnsi="Times New Roman"/>
                  <w:color w:val="0000FF"/>
                  <w:sz w:val="20"/>
                  <w:u w:val="single"/>
                </w:rPr>
                <w:t>Form of Supplemental Life Insurance Plan and Agreement Part B: Alan B. Miller 2002 Trust (effective December 9, 2010, by and between Universal Health Services, Inc., a Delaware corporation (the “Company”), and Anthony Pantaleoni as Trustee), previously filed as Exhibit 10.2 to the Company’s Current Report on Form 8-K dated December 10, 2010, is incorporated herein by reference.</w:t>
              </w:r>
            </w:hyperlink>
          </w:p>
        </w:tc>
      </w:tr>
      <w:tr>
        <w:trPr/>
        <w:tc>
          <w:tcPr>
            <w:tcW w:w="60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5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0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56" w:type="dxa"/>
            <w:tcBorders/>
            <w:tcMar>
              <w:top w:w="0" w:type="dxa"/>
              <w:left w:w="0" w:type="dxa"/>
              <w:bottom w:w="0" w:type="dxa"/>
              <w:right w:w="0" w:type="dxa"/>
            </w:tcMar>
            <w:vAlign w:val="center"/>
          </w:tcPr>
          <w:p>
            <w:pPr>
              <w:pStyle w:val="TableContents"/>
              <w:bidi w:val="0"/>
              <w:spacing w:before="0" w:after="283"/>
              <w:jc w:val="left"/>
              <w:rPr/>
            </w:pPr>
            <w:hyperlink r:id="rId41">
              <w:r>
                <w:rPr>
                  <w:rStyle w:val="InternetLink"/>
                  <w:rFonts w:ascii="Times New Roman" w:hAnsi="Times New Roman"/>
                  <w:color w:val="0000FF"/>
                  <w:sz w:val="20"/>
                  <w:u w:val="single"/>
                </w:rPr>
                <w:t>Universal Health Services, Inc. Termination, Assignment and Release Agreement (effective December 9, 2010, by and between Universal Health Services, Inc., a Delaware corporation (the “Company”), Anthony Pantaleoni as Trustee of the Alan B. Miller 1998 Dual Life Insurance Trust, and Alan B. Miller, Executive), previously filed as Exhibit 10.3 to the Company’s Current Report on Form 8-K dated December 10, 2010, is incorporated herein by reference.</w:t>
              </w:r>
            </w:hyperlink>
          </w:p>
        </w:tc>
      </w:tr>
      <w:tr>
        <w:trPr/>
        <w:tc>
          <w:tcPr>
            <w:tcW w:w="60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5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0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56" w:type="dxa"/>
            <w:tcBorders/>
            <w:tcMar>
              <w:top w:w="0" w:type="dxa"/>
              <w:left w:w="0" w:type="dxa"/>
              <w:bottom w:w="0" w:type="dxa"/>
              <w:right w:w="0" w:type="dxa"/>
            </w:tcMar>
            <w:vAlign w:val="center"/>
          </w:tcPr>
          <w:p>
            <w:pPr>
              <w:pStyle w:val="TableContents"/>
              <w:bidi w:val="0"/>
              <w:spacing w:before="0" w:after="283"/>
              <w:jc w:val="left"/>
              <w:rPr/>
            </w:pPr>
            <w:hyperlink r:id="rId42">
              <w:r>
                <w:rPr>
                  <w:rStyle w:val="InternetLink"/>
                  <w:rFonts w:ascii="Times New Roman" w:hAnsi="Times New Roman"/>
                  <w:color w:val="0000FF"/>
                  <w:sz w:val="20"/>
                  <w:u w:val="single"/>
                </w:rPr>
                <w:t>Universal Health Services, Inc. Termination, Assignment and Release Agreement (effective December 9, 2010, by and between Universal Health Services, Inc., a Delaware corporation (the “Company”), Anthony Pantaleoni as Trustee of the Alan B. Miller 2002 Trust, and Alan B. Miller, Executive), previously filed as Exhibit 10.4 to the Company’s Current Report on Form 8-K dated December 10, 2010, is incorporated herein by reference.</w:t>
              </w:r>
            </w:hyperlink>
          </w:p>
        </w:tc>
      </w:tr>
      <w:tr>
        <w:trPr/>
        <w:tc>
          <w:tcPr>
            <w:tcW w:w="60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5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0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10.27</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56" w:type="dxa"/>
            <w:tcBorders/>
            <w:tcMar>
              <w:top w:w="0" w:type="dxa"/>
              <w:left w:w="0" w:type="dxa"/>
              <w:bottom w:w="0" w:type="dxa"/>
              <w:right w:w="0" w:type="dxa"/>
            </w:tcMar>
            <w:vAlign w:val="center"/>
          </w:tcPr>
          <w:p>
            <w:pPr>
              <w:pStyle w:val="TableContents"/>
              <w:bidi w:val="0"/>
              <w:spacing w:before="0" w:after="283"/>
              <w:jc w:val="left"/>
              <w:rPr/>
            </w:pPr>
            <w:hyperlink r:id="rId43">
              <w:r>
                <w:rPr>
                  <w:rStyle w:val="InternetLink"/>
                  <w:rFonts w:ascii="Times New Roman" w:hAnsi="Times New Roman"/>
                  <w:color w:val="0000FF"/>
                  <w:sz w:val="20"/>
                  <w:u w:val="single"/>
                </w:rPr>
                <w:t>Collateral Agreement, dated as of August 7, 2014, among Universal Health Services, Inc., the subsidiary guarantors party thereto, MUFG Union Bank, N.A., as 2014 Trustee, The Bank of New York Mellon Trust Company, N.A., as 2006 Trustee, and JPMorgan Chase Bank, N.A., as collateral agent, previously filed as Exhibit 10.4 to the Company’s Current Report on Form 8-K dated August 12, 2014, is incorporated herein by reference.</w:t>
              </w:r>
            </w:hyperlink>
          </w:p>
        </w:tc>
      </w:tr>
      <w:tr>
        <w:trPr/>
        <w:tc>
          <w:tcPr>
            <w:tcW w:w="60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5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0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10.28*</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56" w:type="dxa"/>
            <w:tcBorders/>
            <w:tcMar>
              <w:top w:w="0" w:type="dxa"/>
              <w:left w:w="0" w:type="dxa"/>
              <w:bottom w:w="0" w:type="dxa"/>
              <w:right w:w="0" w:type="dxa"/>
            </w:tcMar>
            <w:vAlign w:val="center"/>
          </w:tcPr>
          <w:p>
            <w:pPr>
              <w:pStyle w:val="TableContents"/>
              <w:bidi w:val="0"/>
              <w:spacing w:before="0" w:after="283"/>
              <w:jc w:val="left"/>
              <w:rPr/>
            </w:pPr>
            <w:hyperlink r:id="rId44">
              <w:r>
                <w:rPr>
                  <w:rStyle w:val="InternetLink"/>
                  <w:rFonts w:ascii="Times New Roman" w:hAnsi="Times New Roman"/>
                  <w:color w:val="0000FF"/>
                  <w:sz w:val="20"/>
                  <w:u w:val="single"/>
                </w:rPr>
                <w:t>Form of Stock Option Award Agreement under the Universal Health Services, Inc. 2020 Omnibus Stock and Incentive Plan, previously filed as Exhibit 10.5 to the Company’s Quarterly Report on Form 10-Q filed on August 7, 2020, is incorporated herein by reference.</w:t>
              </w:r>
            </w:hyperlink>
          </w:p>
        </w:tc>
      </w:tr>
      <w:tr>
        <w:trPr/>
        <w:tc>
          <w:tcPr>
            <w:tcW w:w="60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56"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center"/>
        <w:rPr>
          <w:rFonts w:ascii="Times New Roman" w:hAnsi="Times New Roman"/>
          <w:color w:val="000000"/>
          <w:sz w:val="20"/>
        </w:rPr>
      </w:pPr>
      <w:r>
        <w:rPr>
          <w:rFonts w:ascii="Times New Roman" w:hAnsi="Times New Roman"/>
          <w:color w:val="000000"/>
          <w:sz w:val="20"/>
        </w:rPr>
        <w:t>84</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97"/>
        <w:gridCol w:w="146"/>
        <w:gridCol w:w="9462"/>
      </w:tblGrid>
      <w:tr>
        <w:trPr/>
        <w:tc>
          <w:tcPr>
            <w:tcW w:w="597"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9462" w:type="dxa"/>
            <w:tcBorders/>
            <w:shd w:fill="FFFFFF" w:val="clear"/>
            <w:vAlign w:val="center"/>
          </w:tcPr>
          <w:p>
            <w:pPr>
              <w:pStyle w:val="TableContents"/>
              <w:bidi w:val="0"/>
              <w:spacing w:before="0" w:after="283"/>
              <w:jc w:val="left"/>
              <w:rPr>
                <w:sz w:val="4"/>
                <w:szCs w:val="4"/>
              </w:rPr>
            </w:pPr>
            <w:r>
              <w:rPr>
                <w:sz w:val="4"/>
                <w:szCs w:val="4"/>
              </w:rPr>
            </w:r>
          </w:p>
        </w:tc>
      </w:tr>
      <w:tr>
        <w:trPr/>
        <w:tc>
          <w:tcPr>
            <w:tcW w:w="59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u w:val="single"/>
              </w:rPr>
            </w:pPr>
            <w:r>
              <w:rPr>
                <w:rFonts w:ascii="Times New Roman" w:hAnsi="Times New Roman"/>
                <w:b/>
                <w:color w:val="000000"/>
                <w:sz w:val="20"/>
                <w:u w:val="single"/>
              </w:rPr>
              <w:t>No.</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46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u w:val="single"/>
              </w:rPr>
            </w:pPr>
            <w:r>
              <w:rPr>
                <w:rFonts w:ascii="Times New Roman" w:hAnsi="Times New Roman"/>
                <w:b/>
                <w:color w:val="000000"/>
                <w:sz w:val="20"/>
                <w:u w:val="single"/>
              </w:rPr>
              <w:t>Description</w:t>
            </w:r>
          </w:p>
        </w:tc>
      </w:tr>
      <w:tr>
        <w:trPr/>
        <w:tc>
          <w:tcPr>
            <w:tcW w:w="59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10.29*</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2" w:type="dxa"/>
            <w:tcBorders/>
            <w:tcMar>
              <w:top w:w="0" w:type="dxa"/>
              <w:left w:w="0" w:type="dxa"/>
              <w:bottom w:w="0" w:type="dxa"/>
              <w:right w:w="0" w:type="dxa"/>
            </w:tcMar>
            <w:vAlign w:val="center"/>
          </w:tcPr>
          <w:p>
            <w:pPr>
              <w:pStyle w:val="TableContents"/>
              <w:bidi w:val="0"/>
              <w:spacing w:before="0" w:after="283"/>
              <w:jc w:val="left"/>
              <w:rPr/>
            </w:pPr>
            <w:hyperlink r:id="rId45">
              <w:r>
                <w:rPr>
                  <w:rStyle w:val="InternetLink"/>
                  <w:rFonts w:ascii="Times New Roman" w:hAnsi="Times New Roman"/>
                  <w:color w:val="0000FF"/>
                  <w:sz w:val="20"/>
                  <w:u w:val="single"/>
                </w:rPr>
                <w:t>Form of Restricted Stock Award Agreement under the Universal Health Services, Inc. 2020 Omnibus Stock and Incentive Plan,</w:t>
              </w:r>
            </w:hyperlink>
            <w:hyperlink r:id="rId46">
              <w:r>
                <w:rPr>
                  <w:rStyle w:val="InternetLink"/>
                  <w:rFonts w:ascii="Times New Roman" w:hAnsi="Times New Roman"/>
                  <w:color w:val="000000"/>
                  <w:sz w:val="20"/>
                </w:rPr>
                <w:t xml:space="preserve"> </w:t>
              </w:r>
            </w:hyperlink>
            <w:hyperlink r:id="rId47">
              <w:r>
                <w:rPr>
                  <w:rStyle w:val="InternetLink"/>
                  <w:rFonts w:ascii="Times New Roman" w:hAnsi="Times New Roman"/>
                  <w:color w:val="0000FF"/>
                  <w:sz w:val="20"/>
                  <w:u w:val="single"/>
                </w:rPr>
                <w:t>previously filed as Exhibit 10.6 to the Company’s Quarterly Report on Form 10-Q filed on August 7, 2020, is incorporated herein by reference.</w:t>
              </w:r>
            </w:hyperlink>
          </w:p>
        </w:tc>
      </w:tr>
      <w:tr>
        <w:trPr/>
        <w:tc>
          <w:tcPr>
            <w:tcW w:w="59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97"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10.30*</w:t>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9462" w:type="dxa"/>
            <w:tcBorders/>
            <w:tcMar>
              <w:top w:w="0" w:type="dxa"/>
              <w:left w:w="0" w:type="dxa"/>
              <w:bottom w:w="0" w:type="dxa"/>
              <w:right w:w="0" w:type="dxa"/>
            </w:tcMar>
            <w:vAlign w:val="center"/>
          </w:tcPr>
          <w:p>
            <w:pPr>
              <w:pStyle w:val="TableContents"/>
              <w:bidi w:val="0"/>
              <w:spacing w:before="120" w:after="283"/>
              <w:jc w:val="left"/>
              <w:rPr/>
            </w:pPr>
            <w:hyperlink r:id="rId48">
              <w:r>
                <w:rPr>
                  <w:rStyle w:val="InternetLink"/>
                  <w:rFonts w:ascii="Times New Roman" w:hAnsi="Times New Roman"/>
                  <w:color w:val="0000FF"/>
                  <w:sz w:val="20"/>
                  <w:u w:val="single"/>
                </w:rPr>
                <w:t>Form of Restricted Stock Unit Award Agreement under the Universal Health Services, Inc. 2020 Omnibus Stock and Incentive Plan, previously filed as Exhibit 10.7 to the Company’s Quarterly Report on Form 10-Q filed on August 7, 2020, is incorporated herein by reference.</w:t>
              </w:r>
            </w:hyperlink>
          </w:p>
        </w:tc>
      </w:tr>
      <w:tr>
        <w:trPr/>
        <w:tc>
          <w:tcPr>
            <w:tcW w:w="59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9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10.31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2" w:type="dxa"/>
            <w:tcBorders/>
            <w:tcMar>
              <w:top w:w="0" w:type="dxa"/>
              <w:left w:w="0" w:type="dxa"/>
              <w:bottom w:w="0" w:type="dxa"/>
              <w:right w:w="0" w:type="dxa"/>
            </w:tcMar>
            <w:vAlign w:val="center"/>
          </w:tcPr>
          <w:p>
            <w:pPr>
              <w:pStyle w:val="TableContents"/>
              <w:bidi w:val="0"/>
              <w:spacing w:before="0" w:after="283"/>
              <w:jc w:val="left"/>
              <w:rPr/>
            </w:pPr>
            <w:hyperlink r:id="rId49">
              <w:r>
                <w:rPr>
                  <w:rStyle w:val="InternetLink"/>
                  <w:rFonts w:ascii="Times New Roman" w:hAnsi="Times New Roman"/>
                  <w:color w:val="0000FF"/>
                  <w:sz w:val="20"/>
                  <w:u w:val="single"/>
                </w:rPr>
                <w:t>Settlement Agreement among: (i) the United States of America, acting through the United States Department of Justice and on behalf of the Office of Inspector General (OIG-HHS) of the Department of Health and Human Services (HHS); the Defense Health Agency (DHA), acting on behalf of the TRICARE Program; the Office of Personnel Management (OPM), which administers the Federal Employees Health Benefits Program (FEHBP); and the United States Department of Veteran Affairs (VA) (collectively, the United States); (ii) Universal Health Services, Inc. (“UHS, Inc.”) and UHS of Delaware, Inc. (“UHS of Delaware, Inc.”), acting on behalf of the entities listed on Exhibits A and B, (collectively the “Defendants” or “UHS”); and (iii) various individuals (collectively, the “Relators”), previously filed as Exhibit 10.1 to the Company’s Current Report on Form 8-K dated July 10, 2020, is incorporated herein by reference.</w:t>
              </w:r>
            </w:hyperlink>
          </w:p>
        </w:tc>
      </w:tr>
      <w:tr>
        <w:trPr/>
        <w:tc>
          <w:tcPr>
            <w:tcW w:w="59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9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10.32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2" w:type="dxa"/>
            <w:tcBorders/>
            <w:tcMar>
              <w:top w:w="0" w:type="dxa"/>
              <w:left w:w="0" w:type="dxa"/>
              <w:bottom w:w="0" w:type="dxa"/>
              <w:right w:w="0" w:type="dxa"/>
            </w:tcMar>
            <w:vAlign w:val="center"/>
          </w:tcPr>
          <w:p>
            <w:pPr>
              <w:pStyle w:val="TableContents"/>
              <w:bidi w:val="0"/>
              <w:spacing w:before="0" w:after="283"/>
              <w:jc w:val="left"/>
              <w:rPr/>
            </w:pPr>
            <w:hyperlink r:id="rId50">
              <w:r>
                <w:rPr>
                  <w:rStyle w:val="InternetLink"/>
                  <w:rFonts w:ascii="Times New Roman" w:hAnsi="Times New Roman"/>
                  <w:color w:val="0000FF"/>
                  <w:sz w:val="20"/>
                  <w:u w:val="single"/>
                </w:rPr>
                <w:t>Form of Settlement Agreement between various states and Universal Health Services, Inc. and UHS of Delaware, Inc., acting on behalf of the entities listed on Exhibits A and B, previously filed as Exhibit 10.2 to the Company’s Current Report on Form 8-K dated July 10, 2020, is incorporated herein by reference.</w:t>
              </w:r>
            </w:hyperlink>
          </w:p>
        </w:tc>
      </w:tr>
      <w:tr>
        <w:trPr/>
        <w:tc>
          <w:tcPr>
            <w:tcW w:w="59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9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10.33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2" w:type="dxa"/>
            <w:tcBorders/>
            <w:tcMar>
              <w:top w:w="0" w:type="dxa"/>
              <w:left w:w="0" w:type="dxa"/>
              <w:bottom w:w="0" w:type="dxa"/>
              <w:right w:w="0" w:type="dxa"/>
            </w:tcMar>
            <w:vAlign w:val="center"/>
          </w:tcPr>
          <w:p>
            <w:pPr>
              <w:pStyle w:val="TableContents"/>
              <w:bidi w:val="0"/>
              <w:spacing w:before="0" w:after="283"/>
              <w:jc w:val="left"/>
              <w:rPr/>
            </w:pPr>
            <w:hyperlink r:id="rId51">
              <w:r>
                <w:rPr>
                  <w:rStyle w:val="InternetLink"/>
                  <w:rFonts w:ascii="Times New Roman" w:hAnsi="Times New Roman"/>
                  <w:color w:val="0000FF"/>
                  <w:sz w:val="20"/>
                  <w:u w:val="single"/>
                </w:rPr>
                <w:t>Corporate Integrity Agreement between the Office of Inspector General of the Department of Health and Human Services and Universal Health Services, Inc. and UHS of Delaware, Inc., previously filed as Exhibit 10.3 to the Company’s Current Report on Form 8-K dated July 10, 2020, is incorporated herein by reference.</w:t>
              </w:r>
            </w:hyperlink>
          </w:p>
        </w:tc>
      </w:tr>
      <w:tr>
        <w:trPr/>
        <w:tc>
          <w:tcPr>
            <w:tcW w:w="59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9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10.34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2" w:type="dxa"/>
            <w:tcBorders/>
            <w:tcMar>
              <w:top w:w="0" w:type="dxa"/>
              <w:left w:w="0" w:type="dxa"/>
              <w:bottom w:w="0" w:type="dxa"/>
              <w:right w:w="0" w:type="dxa"/>
            </w:tcMar>
            <w:vAlign w:val="center"/>
          </w:tcPr>
          <w:p>
            <w:pPr>
              <w:pStyle w:val="TableContents"/>
              <w:bidi w:val="0"/>
              <w:spacing w:before="0" w:after="283"/>
              <w:jc w:val="left"/>
              <w:rPr/>
            </w:pPr>
            <w:hyperlink r:id="rId52">
              <w:r>
                <w:rPr>
                  <w:rStyle w:val="InternetLink"/>
                  <w:rFonts w:ascii="Times New Roman" w:hAnsi="Times New Roman"/>
                  <w:color w:val="0000FF"/>
                  <w:sz w:val="20"/>
                  <w:u w:val="single"/>
                </w:rPr>
                <w:t>Master Lease Document between certain subsidiaries of Universal Health Services, Inc. and Universal Health Realty Income Trust, dated December 31, 2021 previously filed as Exhibit 10.54 to the Company’s Annual Report on Form 10-K dated February 24, 2022, is incorporated herein by reference.</w:t>
              </w:r>
            </w:hyperlink>
          </w:p>
        </w:tc>
      </w:tr>
      <w:tr>
        <w:trPr/>
        <w:tc>
          <w:tcPr>
            <w:tcW w:w="59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9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10.35*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2" w:type="dxa"/>
            <w:tcBorders/>
            <w:tcMar>
              <w:top w:w="0" w:type="dxa"/>
              <w:left w:w="0" w:type="dxa"/>
              <w:bottom w:w="0" w:type="dxa"/>
              <w:right w:w="0" w:type="dxa"/>
            </w:tcMar>
            <w:vAlign w:val="center"/>
          </w:tcPr>
          <w:p>
            <w:pPr>
              <w:pStyle w:val="TableContents"/>
              <w:bidi w:val="0"/>
              <w:spacing w:before="0" w:after="283"/>
              <w:jc w:val="left"/>
              <w:rPr/>
            </w:pPr>
            <w:hyperlink r:id="rId53">
              <w:r>
                <w:rPr>
                  <w:rStyle w:val="InternetLink"/>
                  <w:rFonts w:ascii="Times New Roman" w:hAnsi="Times New Roman"/>
                  <w:color w:val="0000FF"/>
                  <w:sz w:val="20"/>
                  <w:u w:val="single"/>
                </w:rPr>
                <w:t>Universal Health Services, Inc. 2022 Executive Incentive Plan, previously filed as Exhibit 10.1 to the Company’s Current Report on Form 8-K dated March 23, 2022, is incorporated herein by reference.</w:t>
              </w:r>
            </w:hyperlink>
          </w:p>
        </w:tc>
      </w:tr>
      <w:tr>
        <w:trPr/>
        <w:tc>
          <w:tcPr>
            <w:tcW w:w="59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9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10.36*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2" w:type="dxa"/>
            <w:tcBorders/>
            <w:tcMar>
              <w:top w:w="0" w:type="dxa"/>
              <w:left w:w="0" w:type="dxa"/>
              <w:bottom w:w="0" w:type="dxa"/>
              <w:right w:w="0" w:type="dxa"/>
            </w:tcMar>
            <w:vAlign w:val="center"/>
          </w:tcPr>
          <w:p>
            <w:pPr>
              <w:pStyle w:val="TableContents"/>
              <w:bidi w:val="0"/>
              <w:spacing w:before="0" w:after="283"/>
              <w:jc w:val="left"/>
              <w:rPr/>
            </w:pPr>
            <w:hyperlink r:id="rId54">
              <w:r>
                <w:rPr>
                  <w:rStyle w:val="InternetLink"/>
                  <w:rFonts w:ascii="Times New Roman" w:hAnsi="Times New Roman"/>
                  <w:color w:val="0000FF"/>
                  <w:sz w:val="20"/>
                  <w:u w:val="single"/>
                </w:rPr>
                <w:t>Form of Restricted Stock Unit Award Agreement under the Universal Health Services, Inc. 2020 Omnibus Stock and Incentive Plan, previously filed as Exhibit 10.4 to the Company’s Quarterly Report on Form 10-Q filed on August 8, 2022, is incorporated herein by reference.</w:t>
              </w:r>
            </w:hyperlink>
          </w:p>
        </w:tc>
      </w:tr>
      <w:tr>
        <w:trPr/>
        <w:tc>
          <w:tcPr>
            <w:tcW w:w="59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9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10.37*</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2" w:type="dxa"/>
            <w:tcBorders/>
            <w:tcMar>
              <w:top w:w="0" w:type="dxa"/>
              <w:left w:w="0" w:type="dxa"/>
              <w:bottom w:w="0" w:type="dxa"/>
              <w:right w:w="0" w:type="dxa"/>
            </w:tcMar>
            <w:vAlign w:val="center"/>
          </w:tcPr>
          <w:p>
            <w:pPr>
              <w:pStyle w:val="TableContents"/>
              <w:bidi w:val="0"/>
              <w:spacing w:before="0" w:after="283"/>
              <w:jc w:val="left"/>
              <w:rPr/>
            </w:pPr>
            <w:hyperlink r:id="rId55">
              <w:r>
                <w:rPr>
                  <w:rStyle w:val="InternetLink"/>
                  <w:rFonts w:ascii="Times New Roman" w:hAnsi="Times New Roman"/>
                  <w:color w:val="0000FF"/>
                  <w:sz w:val="20"/>
                  <w:u w:val="single"/>
                </w:rPr>
                <w:t>Form of Restricted Stock Units Award Agreement for Named Executive Officers with Employment Agreements, , previously filed as Exhibit 10.5 to the Company’s Quarterly Report on Form 10-Q filed on May 6, 2022, is incorporated herein by reference.</w:t>
              </w:r>
            </w:hyperlink>
          </w:p>
        </w:tc>
      </w:tr>
      <w:tr>
        <w:trPr/>
        <w:tc>
          <w:tcPr>
            <w:tcW w:w="59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9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10.38*</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2" w:type="dxa"/>
            <w:tcBorders/>
            <w:tcMar>
              <w:top w:w="0" w:type="dxa"/>
              <w:left w:w="0" w:type="dxa"/>
              <w:bottom w:w="0" w:type="dxa"/>
              <w:right w:w="0" w:type="dxa"/>
            </w:tcMar>
            <w:vAlign w:val="center"/>
          </w:tcPr>
          <w:p>
            <w:pPr>
              <w:pStyle w:val="TableContents"/>
              <w:bidi w:val="0"/>
              <w:spacing w:before="0" w:after="283"/>
              <w:jc w:val="left"/>
              <w:rPr/>
            </w:pPr>
            <w:hyperlink r:id="rId56">
              <w:r>
                <w:rPr>
                  <w:rStyle w:val="InternetLink"/>
                  <w:rFonts w:ascii="Times New Roman" w:hAnsi="Times New Roman"/>
                  <w:color w:val="0000FF"/>
                  <w:sz w:val="20"/>
                  <w:u w:val="single"/>
                </w:rPr>
                <w:t>Form of Restricted Stock Units Award Agreement for Named Executive Officers without Employment Agreements, previously filed as Exhibit 10.6 to the Company’s Quarterly Report on Form 10-Q filed on May 6, 2022, is incorporated herein by reference.</w:t>
              </w:r>
            </w:hyperlink>
          </w:p>
        </w:tc>
      </w:tr>
      <w:tr>
        <w:trPr/>
        <w:tc>
          <w:tcPr>
            <w:tcW w:w="59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9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10.39*</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2" w:type="dxa"/>
            <w:tcBorders/>
            <w:tcMar>
              <w:top w:w="0" w:type="dxa"/>
              <w:left w:w="0" w:type="dxa"/>
              <w:bottom w:w="0" w:type="dxa"/>
              <w:right w:w="0" w:type="dxa"/>
            </w:tcMar>
            <w:vAlign w:val="center"/>
          </w:tcPr>
          <w:p>
            <w:pPr>
              <w:pStyle w:val="TableContents"/>
              <w:bidi w:val="0"/>
              <w:spacing w:before="0" w:after="283"/>
              <w:jc w:val="left"/>
              <w:rPr/>
            </w:pPr>
            <w:hyperlink r:id="rId57">
              <w:r>
                <w:rPr>
                  <w:rStyle w:val="InternetLink"/>
                  <w:rFonts w:ascii="Times New Roman" w:hAnsi="Times New Roman"/>
                  <w:color w:val="0000FF"/>
                  <w:sz w:val="20"/>
                  <w:u w:val="single"/>
                </w:rPr>
                <w:t>Form of Restricted Stock Units Award Agreement for Directors, previously filed as Exhibit 10.7 to the Company’s Quarterly Report on Form 10-Q filed on May 6, 2022, is incorporated herein by reference.</w:t>
              </w:r>
            </w:hyperlink>
          </w:p>
        </w:tc>
      </w:tr>
      <w:tr>
        <w:trPr/>
        <w:tc>
          <w:tcPr>
            <w:tcW w:w="59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9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2" w:type="dxa"/>
            <w:tcBorders/>
            <w:tcMar>
              <w:top w:w="0" w:type="dxa"/>
              <w:left w:w="0" w:type="dxa"/>
              <w:bottom w:w="0" w:type="dxa"/>
              <w:right w:w="0" w:type="dxa"/>
            </w:tcMar>
            <w:vAlign w:val="center"/>
          </w:tcPr>
          <w:p>
            <w:pPr>
              <w:pStyle w:val="TableContents"/>
              <w:bidi w:val="0"/>
              <w:spacing w:before="0" w:after="283"/>
              <w:jc w:val="left"/>
              <w:rPr/>
            </w:pPr>
            <w:hyperlink r:id="rId58">
              <w:r>
                <w:rPr>
                  <w:rStyle w:val="InternetLink"/>
                  <w:rFonts w:ascii="Times New Roman" w:hAnsi="Times New Roman"/>
                  <w:color w:val="0000FF"/>
                  <w:sz w:val="20"/>
                  <w:u w:val="single"/>
                </w:rPr>
                <w:t>Separation Agreement and General Release by and between UHS of Delaware, Inc. and Marvin Pember effective as of December 31, 2022, previously filed as Exhibit 99.1 to the Company’s Current Report on Form 8-K/A dated December 7, 2022, is incorporated herein by reference.</w:t>
              </w:r>
            </w:hyperlink>
          </w:p>
        </w:tc>
      </w:tr>
      <w:tr>
        <w:trPr/>
        <w:tc>
          <w:tcPr>
            <w:tcW w:w="59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9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2" w:type="dxa"/>
            <w:tcBorders/>
            <w:tcMar>
              <w:top w:w="0" w:type="dxa"/>
              <w:left w:w="0" w:type="dxa"/>
              <w:bottom w:w="0" w:type="dxa"/>
              <w:right w:w="0" w:type="dxa"/>
            </w:tcMar>
            <w:vAlign w:val="center"/>
          </w:tcPr>
          <w:p>
            <w:pPr>
              <w:pStyle w:val="TableContents"/>
              <w:bidi w:val="0"/>
              <w:spacing w:before="0" w:after="283"/>
              <w:jc w:val="left"/>
              <w:rPr/>
            </w:pPr>
            <w:hyperlink r:id="rId59">
              <w:r>
                <w:rPr>
                  <w:rStyle w:val="InternetLink"/>
                  <w:rFonts w:ascii="Times New Roman" w:hAnsi="Times New Roman"/>
                  <w:color w:val="0000FF"/>
                  <w:sz w:val="20"/>
                  <w:u w:val="single"/>
                </w:rPr>
                <w:t>Employment Agreement between Universal Health Services, Inc. and Edward Sim dated October 18, 2022 previously filed as Exhibit 10.66 to the Company’s Annual Report on Form 10-K dated February 27, 2023, is incorporated herein by reference.</w:t>
              </w:r>
            </w:hyperlink>
          </w:p>
        </w:tc>
      </w:tr>
      <w:tr>
        <w:trPr/>
        <w:tc>
          <w:tcPr>
            <w:tcW w:w="59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9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2" w:type="dxa"/>
            <w:tcBorders/>
            <w:tcMar>
              <w:top w:w="0" w:type="dxa"/>
              <w:left w:w="0" w:type="dxa"/>
              <w:bottom w:w="0" w:type="dxa"/>
              <w:right w:w="0" w:type="dxa"/>
            </w:tcMar>
            <w:vAlign w:val="center"/>
          </w:tcPr>
          <w:p>
            <w:pPr>
              <w:pStyle w:val="TableContents"/>
              <w:bidi w:val="0"/>
              <w:spacing w:before="0" w:after="283"/>
              <w:jc w:val="left"/>
              <w:rPr/>
            </w:pPr>
            <w:hyperlink r:id="rId60">
              <w:r>
                <w:rPr>
                  <w:rStyle w:val="InternetLink"/>
                  <w:rFonts w:ascii="Times New Roman" w:hAnsi="Times New Roman"/>
                  <w:color w:val="0000FF"/>
                  <w:sz w:val="20"/>
                  <w:u w:val="single"/>
                </w:rPr>
                <w:t>Universal Health Services, Inc. Amended and Restated 2020 Omnibus Stock and Incentive Plan, as amended by the Amendment thereto, previously filed as Exhibit A to the Company’s Proxy Statement filed on April 4, 2024, is incorporated herein by reference.</w:t>
              </w:r>
            </w:hyperlink>
          </w:p>
        </w:tc>
      </w:tr>
    </w:tbl>
    <w:p>
      <w:pPr>
        <w:pStyle w:val="TextBody"/>
        <w:bidi w:val="0"/>
        <w:spacing w:before="120" w:after="283"/>
        <w:jc w:val="center"/>
        <w:rPr>
          <w:rFonts w:ascii="Times New Roman" w:hAnsi="Times New Roman"/>
          <w:color w:val="000000"/>
          <w:sz w:val="20"/>
        </w:rPr>
      </w:pPr>
      <w:r>
        <w:rPr>
          <w:rFonts w:ascii="Times New Roman" w:hAnsi="Times New Roman"/>
          <w:color w:val="000000"/>
          <w:sz w:val="20"/>
        </w:rPr>
        <w:t>85</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09"/>
        <w:gridCol w:w="146"/>
        <w:gridCol w:w="9450"/>
      </w:tblGrid>
      <w:tr>
        <w:trPr/>
        <w:tc>
          <w:tcPr>
            <w:tcW w:w="609"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9450" w:type="dxa"/>
            <w:tcBorders/>
            <w:shd w:fill="FFFFFF" w:val="clear"/>
            <w:vAlign w:val="center"/>
          </w:tcPr>
          <w:p>
            <w:pPr>
              <w:pStyle w:val="TableContents"/>
              <w:bidi w:val="0"/>
              <w:spacing w:before="0" w:after="283"/>
              <w:jc w:val="left"/>
              <w:rPr>
                <w:sz w:val="4"/>
                <w:szCs w:val="4"/>
              </w:rPr>
            </w:pPr>
            <w:r>
              <w:rPr>
                <w:sz w:val="4"/>
                <w:szCs w:val="4"/>
              </w:rPr>
            </w:r>
          </w:p>
        </w:tc>
      </w:tr>
      <w:tr>
        <w:trPr/>
        <w:tc>
          <w:tcPr>
            <w:tcW w:w="6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u w:val="single"/>
              </w:rPr>
            </w:pPr>
            <w:r>
              <w:rPr>
                <w:rFonts w:ascii="Times New Roman" w:hAnsi="Times New Roman"/>
                <w:b/>
                <w:color w:val="000000"/>
                <w:sz w:val="20"/>
                <w:u w:val="single"/>
              </w:rPr>
              <w:t>No.</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45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u w:val="single"/>
              </w:rPr>
            </w:pPr>
            <w:r>
              <w:rPr>
                <w:rFonts w:ascii="Times New Roman" w:hAnsi="Times New Roman"/>
                <w:b/>
                <w:color w:val="000000"/>
                <w:sz w:val="20"/>
                <w:u w:val="single"/>
              </w:rPr>
              <w:t>Description</w:t>
            </w:r>
          </w:p>
        </w:tc>
      </w:tr>
      <w:tr>
        <w:trPr/>
        <w:tc>
          <w:tcPr>
            <w:tcW w:w="60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50"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50" w:type="dxa"/>
            <w:tcBorders/>
            <w:tcMar>
              <w:top w:w="0" w:type="dxa"/>
              <w:left w:w="0" w:type="dxa"/>
              <w:bottom w:w="0" w:type="dxa"/>
              <w:right w:w="0" w:type="dxa"/>
            </w:tcMar>
            <w:vAlign w:val="center"/>
          </w:tcPr>
          <w:p>
            <w:pPr>
              <w:pStyle w:val="TableContents"/>
              <w:bidi w:val="0"/>
              <w:spacing w:before="0" w:after="283"/>
              <w:jc w:val="left"/>
              <w:rPr/>
            </w:pPr>
            <w:hyperlink r:id="rId61">
              <w:r>
                <w:rPr>
                  <w:rStyle w:val="InternetLink"/>
                  <w:rFonts w:ascii="Times New Roman" w:hAnsi="Times New Roman"/>
                  <w:color w:val="0000FF"/>
                  <w:sz w:val="20"/>
                  <w:u w:val="single"/>
                </w:rPr>
                <w:t>Universal Health Services, Inc. Amended and Restated Employee Stock Purchase Plan, previously filed as Exhibit B to the Company’s Proxy Statement filed on April 4, 2024, is incorporated herein by reference.</w:t>
              </w:r>
            </w:hyperlink>
          </w:p>
        </w:tc>
      </w:tr>
      <w:tr>
        <w:trPr/>
        <w:tc>
          <w:tcPr>
            <w:tcW w:w="60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50"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50" w:type="dxa"/>
            <w:tcBorders/>
            <w:tcMar>
              <w:top w:w="0" w:type="dxa"/>
              <w:left w:w="0" w:type="dxa"/>
              <w:bottom w:w="0" w:type="dxa"/>
              <w:right w:w="0" w:type="dxa"/>
            </w:tcMar>
            <w:vAlign w:val="center"/>
          </w:tcPr>
          <w:p>
            <w:pPr>
              <w:pStyle w:val="TableContents"/>
              <w:bidi w:val="0"/>
              <w:spacing w:before="0" w:after="283"/>
              <w:jc w:val="left"/>
              <w:rPr/>
            </w:pPr>
            <w:hyperlink r:id="rId62">
              <w:r>
                <w:rPr>
                  <w:rStyle w:val="InternetLink"/>
                  <w:rFonts w:ascii="Times New Roman" w:hAnsi="Times New Roman"/>
                  <w:color w:val="0000FF"/>
                  <w:sz w:val="20"/>
                  <w:u w:val="single"/>
                </w:rPr>
                <w:t>Tenth Amendment, dated as of September 26, 2024, to Credit Agreement, dated as of November 15, 2010 and as amended and restated as of September 21, 2012, August 7, 2014, October 23, 2018, August 21, 2021, September 10, 2021, June 23, 2022 and September 26, 2024, among the Company, JP Morgan Chase Bank, N.A., as administrative agent and other financial institutions or entities from time to time parties thereto, including the amendment and restatement thereof, effective as of September 26, 2024, attached as Exhibit A thereto and referred to herein as the Senior Secured Credit Facility, previously filed as Exhibit 10.1 to the Company’s Current Report on Form 8-K dated October 1, 2024, is incorporated herein by reference.</w:t>
              </w:r>
            </w:hyperlink>
          </w:p>
        </w:tc>
      </w:tr>
      <w:tr>
        <w:trPr/>
        <w:tc>
          <w:tcPr>
            <w:tcW w:w="60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50"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09"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10.45*</w:t>
            </w:r>
          </w:p>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50" w:type="dxa"/>
            <w:tcBorders/>
            <w:tcMar>
              <w:top w:w="0" w:type="dxa"/>
              <w:left w:w="0" w:type="dxa"/>
              <w:bottom w:w="0" w:type="dxa"/>
              <w:right w:w="0" w:type="dxa"/>
            </w:tcMar>
            <w:vAlign w:val="center"/>
          </w:tcPr>
          <w:p>
            <w:pPr>
              <w:pStyle w:val="TableContents"/>
              <w:bidi w:val="0"/>
              <w:spacing w:before="0" w:after="283"/>
              <w:jc w:val="left"/>
              <w:rPr/>
            </w:pPr>
            <w:hyperlink r:id="rId63">
              <w:r>
                <w:rPr>
                  <w:rStyle w:val="InternetLink"/>
                  <w:rFonts w:ascii="Times New Roman" w:hAnsi="Times New Roman"/>
                  <w:color w:val="000080"/>
                  <w:sz w:val="20"/>
                  <w:u w:val="single"/>
                </w:rPr>
                <w:t>Employment Agreement dated March 19, 2025, between UHS of Delaware, Inc. and Alan B. Miller, previously filed as Exhibit 10.2 to the Company’s Current Report on Form 8-K dated March 19, 2025, is incorporated herein by reference</w:t>
              </w:r>
            </w:hyperlink>
            <w:r>
              <w:rPr>
                <w:rFonts w:ascii="Times New Roman" w:hAnsi="Times New Roman"/>
                <w:color w:val="0000FF"/>
                <w:sz w:val="20"/>
                <w:u w:val="single"/>
              </w:rPr>
              <w:t>.</w:t>
            </w:r>
          </w:p>
        </w:tc>
      </w:tr>
      <w:tr>
        <w:trPr/>
        <w:tc>
          <w:tcPr>
            <w:tcW w:w="60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50"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09"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10.46*</w:t>
            </w:r>
          </w:p>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50" w:type="dxa"/>
            <w:tcBorders/>
            <w:tcMar>
              <w:top w:w="0" w:type="dxa"/>
              <w:left w:w="0" w:type="dxa"/>
              <w:bottom w:w="0" w:type="dxa"/>
              <w:right w:w="0" w:type="dxa"/>
            </w:tcMar>
            <w:vAlign w:val="center"/>
          </w:tcPr>
          <w:p>
            <w:pPr>
              <w:pStyle w:val="TableContents"/>
              <w:bidi w:val="0"/>
              <w:spacing w:before="0" w:after="283"/>
              <w:jc w:val="left"/>
              <w:rPr/>
            </w:pPr>
            <w:hyperlink r:id="rId64">
              <w:r>
                <w:rPr>
                  <w:rStyle w:val="InternetLink"/>
                  <w:rFonts w:ascii="Times New Roman" w:hAnsi="Times New Roman"/>
                  <w:color w:val="0000FF"/>
                  <w:sz w:val="20"/>
                  <w:u w:val="single"/>
                </w:rPr>
                <w:t>Guaranty Agreement dated March 19, 2025 between Universal Health Services, Inc. and Alan B. Miller, previously filed as Exhibit 10.4 to the Company’s Current Report on Form 8-K dated March 19, 2025, is incorporated herein by reference.</w:t>
              </w:r>
            </w:hyperlink>
          </w:p>
        </w:tc>
      </w:tr>
      <w:tr>
        <w:trPr/>
        <w:tc>
          <w:tcPr>
            <w:tcW w:w="60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50"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09"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10.47*</w:t>
            </w:r>
          </w:p>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50" w:type="dxa"/>
            <w:tcBorders/>
            <w:tcMar>
              <w:top w:w="0" w:type="dxa"/>
              <w:left w:w="0" w:type="dxa"/>
              <w:bottom w:w="0" w:type="dxa"/>
              <w:right w:w="0" w:type="dxa"/>
            </w:tcMar>
            <w:vAlign w:val="center"/>
          </w:tcPr>
          <w:p>
            <w:pPr>
              <w:pStyle w:val="TableContents"/>
              <w:bidi w:val="0"/>
              <w:spacing w:before="0" w:after="283"/>
              <w:jc w:val="left"/>
              <w:rPr/>
            </w:pPr>
            <w:hyperlink r:id="rId65">
              <w:r>
                <w:rPr>
                  <w:rStyle w:val="InternetLink"/>
                  <w:rFonts w:ascii="Times New Roman" w:hAnsi="Times New Roman"/>
                  <w:color w:val="0000FF"/>
                  <w:sz w:val="20"/>
                  <w:u w:val="single"/>
                </w:rPr>
                <w:t>Amended and Restated Employment Agreement dated December 30, 2025, between UHS Of Delaware, Inc. And Marc D. Miller, previously filed as Exhibit 10.1 to the Company’s Current Report on Form 8-K dated December 31, 2025, is incorporated herein by reference</w:t>
              </w:r>
            </w:hyperlink>
            <w:r>
              <w:rPr>
                <w:rFonts w:ascii="Times New Roman" w:hAnsi="Times New Roman"/>
                <w:color w:val="000000"/>
                <w:sz w:val="20"/>
              </w:rPr>
              <w:t>.</w:t>
            </w:r>
          </w:p>
        </w:tc>
      </w:tr>
      <w:tr>
        <w:trPr/>
        <w:tc>
          <w:tcPr>
            <w:tcW w:w="60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50"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09"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10.48*</w:t>
            </w:r>
          </w:p>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50" w:type="dxa"/>
            <w:tcBorders/>
            <w:tcMar>
              <w:top w:w="0" w:type="dxa"/>
              <w:left w:w="0" w:type="dxa"/>
              <w:bottom w:w="0" w:type="dxa"/>
              <w:right w:w="0" w:type="dxa"/>
            </w:tcMar>
            <w:vAlign w:val="center"/>
          </w:tcPr>
          <w:p>
            <w:pPr>
              <w:pStyle w:val="TableContents"/>
              <w:bidi w:val="0"/>
              <w:spacing w:before="0" w:after="283"/>
              <w:jc w:val="left"/>
              <w:rPr/>
            </w:pPr>
            <w:hyperlink r:id="rId66">
              <w:r>
                <w:rPr>
                  <w:rStyle w:val="InternetLink"/>
                  <w:rFonts w:ascii="Times New Roman" w:hAnsi="Times New Roman"/>
                  <w:color w:val="0000FF"/>
                  <w:sz w:val="20"/>
                  <w:u w:val="single"/>
                </w:rPr>
                <w:t>Guaranty Agreement dated March 19, 2025 between Universal Health Services, Inc. and Marc D. Miller, previously filed as Exhibit 10.3 to the Company’s Current Report on Form 8-K dated March 19, 2025, is incorporated herein by reference</w:t>
              </w:r>
            </w:hyperlink>
            <w:r>
              <w:rPr>
                <w:rFonts w:ascii="Times New Roman" w:hAnsi="Times New Roman"/>
                <w:color w:val="000000"/>
                <w:sz w:val="20"/>
              </w:rPr>
              <w:t>.</w:t>
            </w:r>
          </w:p>
        </w:tc>
      </w:tr>
      <w:tr>
        <w:trPr/>
        <w:tc>
          <w:tcPr>
            <w:tcW w:w="60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50"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09"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10.49*</w:t>
            </w:r>
          </w:p>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50" w:type="dxa"/>
            <w:tcBorders/>
            <w:tcMar>
              <w:top w:w="0" w:type="dxa"/>
              <w:left w:w="0" w:type="dxa"/>
              <w:bottom w:w="0" w:type="dxa"/>
              <w:right w:w="0" w:type="dxa"/>
            </w:tcMar>
            <w:vAlign w:val="center"/>
          </w:tcPr>
          <w:p>
            <w:pPr>
              <w:pStyle w:val="TableContents"/>
              <w:bidi w:val="0"/>
              <w:spacing w:before="0" w:after="283"/>
              <w:jc w:val="left"/>
              <w:rPr/>
            </w:pPr>
            <w:hyperlink r:id="rId67">
              <w:r>
                <w:rPr>
                  <w:rStyle w:val="InternetLink"/>
                  <w:rFonts w:ascii="Times New Roman" w:hAnsi="Times New Roman"/>
                  <w:color w:val="0000FF"/>
                  <w:sz w:val="20"/>
                  <w:u w:val="single"/>
                </w:rPr>
                <w:t>Amendment, dated as of December 30, 2025, of the Guaranty Agreement dated as of March 19, 2025, by and between Universal Health Services, Inc., A Delaware corporation having its principal office at 367 South Gulph Road, King of Prussia, Pennsylvania 19406, and Marc D. Miller, previously filed as Exhibit 10.2 to the Company’s Current Report on Form 8-K dated December 31, 2025, is incorporated herein by reference</w:t>
              </w:r>
            </w:hyperlink>
            <w:r>
              <w:rPr>
                <w:rFonts w:ascii="Times New Roman" w:hAnsi="Times New Roman"/>
                <w:color w:val="000000"/>
                <w:sz w:val="20"/>
              </w:rPr>
              <w:t>.</w:t>
            </w:r>
          </w:p>
        </w:tc>
      </w:tr>
      <w:tr>
        <w:trPr/>
        <w:tc>
          <w:tcPr>
            <w:tcW w:w="60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50"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50" w:type="dxa"/>
            <w:tcBorders/>
            <w:tcMar>
              <w:top w:w="0" w:type="dxa"/>
              <w:left w:w="0" w:type="dxa"/>
              <w:bottom w:w="0" w:type="dxa"/>
              <w:right w:w="0" w:type="dxa"/>
            </w:tcMar>
            <w:vAlign w:val="center"/>
          </w:tcPr>
          <w:p>
            <w:pPr>
              <w:pStyle w:val="TableContents"/>
              <w:bidi w:val="0"/>
              <w:spacing w:before="0" w:after="283"/>
              <w:jc w:val="left"/>
              <w:rPr/>
            </w:pPr>
            <w:hyperlink w:anchor="exhibit11">
              <w:r>
                <w:rPr>
                  <w:rStyle w:val="InternetLink"/>
                  <w:rFonts w:ascii="Times New Roman" w:hAnsi="Times New Roman"/>
                  <w:color w:val="0000FF"/>
                  <w:sz w:val="20"/>
                  <w:u w:val="single"/>
                </w:rPr>
                <w:t>Statement regarding computation of per share earnings is set forth in Note 1 of the Notes to the Consolidated Financial Statements.</w:t>
              </w:r>
            </w:hyperlink>
          </w:p>
        </w:tc>
      </w:tr>
      <w:tr>
        <w:trPr/>
        <w:tc>
          <w:tcPr>
            <w:tcW w:w="60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50"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19*</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50" w:type="dxa"/>
            <w:tcBorders/>
            <w:tcMar>
              <w:top w:w="0" w:type="dxa"/>
              <w:left w:w="0" w:type="dxa"/>
              <w:bottom w:w="0" w:type="dxa"/>
              <w:right w:w="0" w:type="dxa"/>
            </w:tcMar>
            <w:vAlign w:val="center"/>
          </w:tcPr>
          <w:p>
            <w:pPr>
              <w:pStyle w:val="TableContents"/>
              <w:bidi w:val="0"/>
              <w:spacing w:before="0" w:after="283"/>
              <w:jc w:val="left"/>
              <w:rPr/>
            </w:pPr>
            <w:hyperlink w:anchor="uhs-ex19.htm">
              <w:r>
                <w:rPr>
                  <w:rStyle w:val="InternetLink"/>
                  <w:rFonts w:ascii="Times New Roman" w:hAnsi="Times New Roman"/>
                  <w:color w:val="0000FF"/>
                  <w:sz w:val="20"/>
                  <w:u w:val="single"/>
                </w:rPr>
                <w:t>Universal Health Services, Inc. Inside Information and Trading of Company Stock Policy.</w:t>
              </w:r>
            </w:hyperlink>
          </w:p>
        </w:tc>
      </w:tr>
      <w:tr>
        <w:trPr/>
        <w:tc>
          <w:tcPr>
            <w:tcW w:w="60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50"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50" w:type="dxa"/>
            <w:tcBorders/>
            <w:tcMar>
              <w:top w:w="0" w:type="dxa"/>
              <w:left w:w="0" w:type="dxa"/>
              <w:bottom w:w="0" w:type="dxa"/>
              <w:right w:w="0" w:type="dxa"/>
            </w:tcMar>
            <w:vAlign w:val="center"/>
          </w:tcPr>
          <w:p>
            <w:pPr>
              <w:pStyle w:val="TableContents"/>
              <w:bidi w:val="0"/>
              <w:spacing w:before="0" w:after="283"/>
              <w:jc w:val="left"/>
              <w:rPr/>
            </w:pPr>
            <w:hyperlink w:anchor="uhs-ex21.htm">
              <w:r>
                <w:rPr>
                  <w:rStyle w:val="InternetLink"/>
                  <w:rFonts w:ascii="Times New Roman" w:hAnsi="Times New Roman"/>
                  <w:color w:val="0000FF"/>
                  <w:sz w:val="20"/>
                  <w:u w:val="single"/>
                </w:rPr>
                <w:t>Subsidiaries of Registrant.</w:t>
              </w:r>
            </w:hyperlink>
          </w:p>
        </w:tc>
      </w:tr>
      <w:tr>
        <w:trPr/>
        <w:tc>
          <w:tcPr>
            <w:tcW w:w="60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50"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22.1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50" w:type="dxa"/>
            <w:tcBorders/>
            <w:tcMar>
              <w:top w:w="0" w:type="dxa"/>
              <w:left w:w="0" w:type="dxa"/>
              <w:bottom w:w="0" w:type="dxa"/>
              <w:right w:w="0" w:type="dxa"/>
            </w:tcMar>
            <w:vAlign w:val="center"/>
          </w:tcPr>
          <w:p>
            <w:pPr>
              <w:pStyle w:val="TableContents"/>
              <w:bidi w:val="0"/>
              <w:spacing w:before="0" w:after="283"/>
              <w:jc w:val="left"/>
              <w:rPr/>
            </w:pPr>
            <w:hyperlink w:anchor="uhs-ex22_1.htm">
              <w:r>
                <w:rPr>
                  <w:rStyle w:val="InternetLink"/>
                  <w:rFonts w:ascii="Times New Roman" w:hAnsi="Times New Roman"/>
                  <w:color w:val="0000FF"/>
                  <w:sz w:val="20"/>
                  <w:u w:val="single"/>
                </w:rPr>
                <w:t>List of Guarantor Subsidiaries and Issuers of Guaranteed Securities and Affiliates Whose Securities Collateralize Securities of the Registrant.</w:t>
              </w:r>
            </w:hyperlink>
          </w:p>
        </w:tc>
      </w:tr>
      <w:tr>
        <w:trPr/>
        <w:tc>
          <w:tcPr>
            <w:tcW w:w="60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50"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23.1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50" w:type="dxa"/>
            <w:tcBorders/>
            <w:tcMar>
              <w:top w:w="0" w:type="dxa"/>
              <w:left w:w="0" w:type="dxa"/>
              <w:bottom w:w="0" w:type="dxa"/>
              <w:right w:w="0" w:type="dxa"/>
            </w:tcMar>
            <w:vAlign w:val="center"/>
          </w:tcPr>
          <w:p>
            <w:pPr>
              <w:pStyle w:val="TableContents"/>
              <w:bidi w:val="0"/>
              <w:spacing w:before="0" w:after="283"/>
              <w:jc w:val="left"/>
              <w:rPr/>
            </w:pPr>
            <w:hyperlink w:anchor="uhs-ex23_1.htm">
              <w:r>
                <w:rPr>
                  <w:rStyle w:val="InternetLink"/>
                  <w:rFonts w:ascii="Times New Roman" w:hAnsi="Times New Roman"/>
                  <w:color w:val="0000FF"/>
                  <w:sz w:val="20"/>
                  <w:u w:val="single"/>
                </w:rPr>
                <w:t>Consent of Independent Registered Public Accounting Firm-PricewaterhouseCoopers LLP.</w:t>
              </w:r>
            </w:hyperlink>
          </w:p>
        </w:tc>
      </w:tr>
      <w:tr>
        <w:trPr/>
        <w:tc>
          <w:tcPr>
            <w:tcW w:w="60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50"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50" w:type="dxa"/>
            <w:tcBorders/>
            <w:tcMar>
              <w:top w:w="0" w:type="dxa"/>
              <w:left w:w="0" w:type="dxa"/>
              <w:bottom w:w="0" w:type="dxa"/>
              <w:right w:w="0" w:type="dxa"/>
            </w:tcMar>
            <w:vAlign w:val="center"/>
          </w:tcPr>
          <w:p>
            <w:pPr>
              <w:pStyle w:val="TableContents"/>
              <w:bidi w:val="0"/>
              <w:spacing w:before="0" w:after="283"/>
              <w:jc w:val="left"/>
              <w:rPr/>
            </w:pPr>
            <w:hyperlink w:anchor="uhs-ex31_1.htm">
              <w:r>
                <w:rPr>
                  <w:rStyle w:val="InternetLink"/>
                  <w:rFonts w:ascii="Times New Roman" w:hAnsi="Times New Roman"/>
                  <w:color w:val="0000FF"/>
                  <w:sz w:val="20"/>
                  <w:u w:val="single"/>
                </w:rPr>
                <w:t>Certification from the Company’s Chief Executive Officer Pursuant to Rule 13a-14(a)/15d-14(a) of the Securities Exchange Act of 1934.</w:t>
              </w:r>
            </w:hyperlink>
          </w:p>
        </w:tc>
      </w:tr>
      <w:tr>
        <w:trPr/>
        <w:tc>
          <w:tcPr>
            <w:tcW w:w="60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50"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50" w:type="dxa"/>
            <w:tcBorders/>
            <w:tcMar>
              <w:top w:w="0" w:type="dxa"/>
              <w:left w:w="0" w:type="dxa"/>
              <w:bottom w:w="0" w:type="dxa"/>
              <w:right w:w="0" w:type="dxa"/>
            </w:tcMar>
            <w:vAlign w:val="center"/>
          </w:tcPr>
          <w:p>
            <w:pPr>
              <w:pStyle w:val="TableContents"/>
              <w:bidi w:val="0"/>
              <w:spacing w:before="0" w:after="283"/>
              <w:jc w:val="left"/>
              <w:rPr/>
            </w:pPr>
            <w:hyperlink w:anchor="uhs-ex31_2.htm">
              <w:r>
                <w:rPr>
                  <w:rStyle w:val="InternetLink"/>
                  <w:rFonts w:ascii="Times New Roman" w:hAnsi="Times New Roman"/>
                  <w:color w:val="0000FF"/>
                  <w:sz w:val="20"/>
                  <w:u w:val="single"/>
                </w:rPr>
                <w:t>Certification from the Company’s Chief Financial Officer Pursuant to Rule 13a-14(a)/15d-14(a) of the Securities Exchange Act of 1934.</w:t>
              </w:r>
            </w:hyperlink>
          </w:p>
        </w:tc>
      </w:tr>
      <w:tr>
        <w:trPr/>
        <w:tc>
          <w:tcPr>
            <w:tcW w:w="60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50"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50" w:type="dxa"/>
            <w:tcBorders/>
            <w:tcMar>
              <w:top w:w="0" w:type="dxa"/>
              <w:left w:w="0" w:type="dxa"/>
              <w:bottom w:w="0" w:type="dxa"/>
              <w:right w:w="0" w:type="dxa"/>
            </w:tcMar>
            <w:vAlign w:val="center"/>
          </w:tcPr>
          <w:p>
            <w:pPr>
              <w:pStyle w:val="TableContents"/>
              <w:bidi w:val="0"/>
              <w:spacing w:before="0" w:after="283"/>
              <w:jc w:val="left"/>
              <w:rPr/>
            </w:pPr>
            <w:hyperlink w:anchor="uhs-ex32_1.htm">
              <w:r>
                <w:rPr>
                  <w:rStyle w:val="InternetLink"/>
                  <w:rFonts w:ascii="Times New Roman" w:hAnsi="Times New Roman"/>
                  <w:color w:val="0000FF"/>
                  <w:sz w:val="20"/>
                  <w:u w:val="single"/>
                </w:rPr>
                <w:t>Certification from the Company’s Chief Executive Officer Pursuant to 18 U.S.C. Section 1350, as Adopted Pursuant to Section 906 of the Sarbanes-Oxley Act of 2002.</w:t>
              </w:r>
            </w:hyperlink>
          </w:p>
        </w:tc>
      </w:tr>
      <w:tr>
        <w:trPr/>
        <w:tc>
          <w:tcPr>
            <w:tcW w:w="60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50"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50" w:type="dxa"/>
            <w:tcBorders/>
            <w:tcMar>
              <w:top w:w="0" w:type="dxa"/>
              <w:left w:w="0" w:type="dxa"/>
              <w:bottom w:w="0" w:type="dxa"/>
              <w:right w:w="0" w:type="dxa"/>
            </w:tcMar>
            <w:vAlign w:val="center"/>
          </w:tcPr>
          <w:p>
            <w:pPr>
              <w:pStyle w:val="TableContents"/>
              <w:bidi w:val="0"/>
              <w:spacing w:before="0" w:after="283"/>
              <w:jc w:val="left"/>
              <w:rPr/>
            </w:pPr>
            <w:hyperlink w:anchor="uhs-ex32_2.htm">
              <w:r>
                <w:rPr>
                  <w:rStyle w:val="InternetLink"/>
                  <w:rFonts w:ascii="Times New Roman" w:hAnsi="Times New Roman"/>
                  <w:color w:val="0000FF"/>
                  <w:sz w:val="20"/>
                  <w:u w:val="single"/>
                </w:rPr>
                <w:t>Certification from the Company’s Chief Financial Officer Pursuant to 18 U.S.C. Section 1350, as Adopted Pursuant to Section 906 of the Sarbanes-Oxley Act of 2002.</w:t>
              </w:r>
            </w:hyperlink>
          </w:p>
        </w:tc>
      </w:tr>
      <w:tr>
        <w:trPr/>
        <w:tc>
          <w:tcPr>
            <w:tcW w:w="60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50"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97</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50" w:type="dxa"/>
            <w:tcBorders/>
            <w:tcMar>
              <w:top w:w="0" w:type="dxa"/>
              <w:left w:w="0" w:type="dxa"/>
              <w:bottom w:w="0" w:type="dxa"/>
              <w:right w:w="0" w:type="dxa"/>
            </w:tcMar>
            <w:vAlign w:val="center"/>
          </w:tcPr>
          <w:p>
            <w:pPr>
              <w:pStyle w:val="TableContents"/>
              <w:bidi w:val="0"/>
              <w:spacing w:before="0" w:after="283"/>
              <w:jc w:val="left"/>
              <w:rPr/>
            </w:pPr>
            <w:hyperlink w:anchor="uhs-ex97.htm">
              <w:r>
                <w:rPr>
                  <w:rStyle w:val="InternetLink"/>
                  <w:rFonts w:ascii="Times New Roman" w:hAnsi="Times New Roman"/>
                  <w:color w:val="0000FF"/>
                  <w:sz w:val="20"/>
                  <w:u w:val="single"/>
                </w:rPr>
                <w:t>Universal Health Services, Inc. Clawback Policy.</w:t>
              </w:r>
            </w:hyperlink>
          </w:p>
        </w:tc>
      </w:tr>
      <w:tr>
        <w:trPr/>
        <w:tc>
          <w:tcPr>
            <w:tcW w:w="60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50"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101.INS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5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Instance Document - the instance document does not appear in the Interactive Data File as its XBRL tags are embedded within the Inline XBRL document</w:t>
            </w:r>
          </w:p>
        </w:tc>
      </w:tr>
      <w:tr>
        <w:trPr/>
        <w:tc>
          <w:tcPr>
            <w:tcW w:w="60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50"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center"/>
        <w:rPr>
          <w:rFonts w:ascii="Times New Roman" w:hAnsi="Times New Roman"/>
          <w:color w:val="000000"/>
          <w:sz w:val="20"/>
        </w:rPr>
      </w:pPr>
      <w:r>
        <w:rPr>
          <w:rFonts w:ascii="Times New Roman" w:hAnsi="Times New Roman"/>
          <w:color w:val="000000"/>
          <w:sz w:val="20"/>
        </w:rPr>
        <w:t>86</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7798" w:type="dxa"/>
        <w:jc w:val="left"/>
        <w:tblInd w:w="0" w:type="dxa"/>
        <w:tblLayout w:type="fixed"/>
        <w:tblCellMar>
          <w:top w:w="28" w:type="dxa"/>
          <w:left w:w="28" w:type="dxa"/>
          <w:bottom w:w="28" w:type="dxa"/>
          <w:right w:w="28" w:type="dxa"/>
        </w:tblCellMar>
      </w:tblPr>
      <w:tblGrid>
        <w:gridCol w:w="856"/>
        <w:gridCol w:w="146"/>
        <w:gridCol w:w="6796"/>
      </w:tblGrid>
      <w:tr>
        <w:trPr/>
        <w:tc>
          <w:tcPr>
            <w:tcW w:w="85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6796" w:type="dxa"/>
            <w:tcBorders/>
            <w:shd w:fill="FFFFFF" w:val="clear"/>
            <w:vAlign w:val="center"/>
          </w:tcPr>
          <w:p>
            <w:pPr>
              <w:pStyle w:val="TableContents"/>
              <w:bidi w:val="0"/>
              <w:spacing w:before="0" w:after="283"/>
              <w:jc w:val="left"/>
              <w:rPr>
                <w:sz w:val="4"/>
                <w:szCs w:val="4"/>
              </w:rPr>
            </w:pPr>
            <w:r>
              <w:rPr>
                <w:sz w:val="4"/>
                <w:szCs w:val="4"/>
              </w:rPr>
            </w:r>
          </w:p>
        </w:tc>
      </w:tr>
      <w:tr>
        <w:trPr/>
        <w:tc>
          <w:tcPr>
            <w:tcW w:w="8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u w:val="single"/>
              </w:rPr>
            </w:pPr>
            <w:r>
              <w:rPr>
                <w:rFonts w:ascii="Times New Roman" w:hAnsi="Times New Roman"/>
                <w:b/>
                <w:color w:val="000000"/>
                <w:sz w:val="20"/>
                <w:u w:val="single"/>
              </w:rPr>
              <w:t>No.</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7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u w:val="single"/>
              </w:rPr>
            </w:pPr>
            <w:r>
              <w:rPr>
                <w:rFonts w:ascii="Times New Roman" w:hAnsi="Times New Roman"/>
                <w:b/>
                <w:color w:val="000000"/>
                <w:sz w:val="20"/>
                <w:u w:val="single"/>
              </w:rPr>
              <w:t>Description</w:t>
            </w:r>
          </w:p>
        </w:tc>
      </w:tr>
      <w:tr>
        <w:trPr/>
        <w:tc>
          <w:tcPr>
            <w:tcW w:w="8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101.SCH</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7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Schema With Embedded Linkbase Documents</w:t>
            </w:r>
          </w:p>
        </w:tc>
      </w:tr>
      <w:tr>
        <w:trPr/>
        <w:tc>
          <w:tcPr>
            <w:tcW w:w="8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79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7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formatted as Inline XBRL and contained in Exhibit 101</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 Management contract or compensatory plan or arrangement.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Exhibits, other than those incorporated by reference, have been included in copies of this Annual Report filed with the Securities and Exchange Commission. Stockholders of the Company will be provided with copies of those exhibits upon written request to the Company.</w:t>
      </w:r>
    </w:p>
    <w:p>
      <w:pPr>
        <w:pStyle w:val="TextBody"/>
        <w:bidi w:val="0"/>
        <w:jc w:val="left"/>
        <w:rPr/>
      </w:pPr>
      <w:r>
        <w:rPr/>
        <w:t> </w:t>
      </w:r>
    </w:p>
    <w:p>
      <w:pPr>
        <w:pStyle w:val="TextBody"/>
        <w:bidi w:val="0"/>
        <w:spacing w:before="120" w:after="283"/>
        <w:jc w:val="left"/>
        <w:rPr>
          <w:rFonts w:ascii="Times New Roman" w:hAnsi="Times New Roman"/>
          <w:sz w:val="20"/>
        </w:rPr>
      </w:pPr>
      <w:bookmarkStart w:id="27" w:name="item_16_form_10_k_summary"/>
      <w:bookmarkEnd w:id="27"/>
      <w:r>
        <w:rPr>
          <w:rFonts w:ascii="Times New Roman" w:hAnsi="Times New Roman"/>
          <w:b/>
          <w:color w:val="000000"/>
          <w:sz w:val="20"/>
        </w:rPr>
        <w:t xml:space="preserve">ITEM 16. </w:t>
      </w:r>
      <w:r>
        <w:rPr>
          <w:rFonts w:ascii="Times New Roman" w:hAnsi="Times New Roman"/>
          <w:b/>
          <w:i/>
          <w:color w:val="000000"/>
          <w:sz w:val="20"/>
        </w:rPr>
        <w:t>Form 10-K Summary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jc w:val="left"/>
        <w:rPr/>
      </w:pPr>
      <w:r>
        <w:rPr/>
        <w:t> </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87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8" w:name="signatures"/>
      <w:bookmarkEnd w:id="28"/>
      <w:r>
        <w:rPr>
          <w:rFonts w:ascii="Times New Roman" w:hAnsi="Times New Roman"/>
          <w:b/>
          <w:color w:val="000000"/>
          <w:sz w:val="20"/>
        </w:rPr>
        <w:t>SIGNATURES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Pursuant to the requirements of Section 13 or 15(d) of the Securities Exchange Act of 1934, the Registrant has duly caused this report to be signed on its behalf by the undersigned, thereunto duly authorized.</w:t>
      </w:r>
    </w:p>
    <w:p>
      <w:pPr>
        <w:pStyle w:val="TextBody"/>
        <w:bidi w:val="0"/>
        <w:jc w:val="left"/>
        <w:rPr/>
      </w:pPr>
      <w:r>
        <w:rPr/>
        <w:t> </w:t>
      </w:r>
    </w:p>
    <w:tbl>
      <w:tblPr>
        <w:tblW w:w="3320" w:type="dxa"/>
        <w:jc w:val="left"/>
        <w:tblInd w:w="0" w:type="dxa"/>
        <w:tblLayout w:type="fixed"/>
        <w:tblCellMar>
          <w:top w:w="28" w:type="dxa"/>
          <w:left w:w="28" w:type="dxa"/>
          <w:bottom w:w="28" w:type="dxa"/>
          <w:right w:w="28" w:type="dxa"/>
        </w:tblCellMar>
      </w:tblPr>
      <w:tblGrid>
        <w:gridCol w:w="1094"/>
        <w:gridCol w:w="284"/>
        <w:gridCol w:w="1942"/>
      </w:tblGrid>
      <w:tr>
        <w:trPr/>
        <w:tc>
          <w:tcPr>
            <w:tcW w:w="1094"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942" w:type="dxa"/>
            <w:tcBorders/>
            <w:vAlign w:val="center"/>
          </w:tcPr>
          <w:p>
            <w:pPr>
              <w:pStyle w:val="TableContents"/>
              <w:bidi w:val="0"/>
              <w:spacing w:before="0" w:after="283"/>
              <w:jc w:val="left"/>
              <w:rPr>
                <w:sz w:val="4"/>
                <w:szCs w:val="4"/>
              </w:rPr>
            </w:pPr>
            <w:r>
              <w:rPr>
                <w:sz w:val="4"/>
                <w:szCs w:val="4"/>
              </w:rPr>
            </w:r>
          </w:p>
        </w:tc>
      </w:tr>
      <w:tr>
        <w:trPr/>
        <w:tc>
          <w:tcPr>
            <w:tcW w:w="1094" w:type="dxa"/>
            <w:tcBorders/>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tcMar>
              <w:top w:w="0" w:type="dxa"/>
              <w:left w:w="0" w:type="dxa"/>
              <w:bottom w:w="0" w:type="dxa"/>
              <w:right w:w="0" w:type="dxa"/>
            </w:tcMar>
            <w:vAlign w:val="center"/>
          </w:tcPr>
          <w:p>
            <w:pPr>
              <w:pStyle w:val="TableContents"/>
              <w:bidi w:val="0"/>
              <w:spacing w:before="0" w:after="283"/>
              <w:jc w:val="left"/>
              <w:rPr/>
            </w:pPr>
            <w:r>
              <w:rPr/>
              <w:t> </w:t>
            </w:r>
          </w:p>
        </w:tc>
        <w:tc>
          <w:tcPr>
            <w:tcW w:w="1942" w:type="dxa"/>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320" w:type="dxa"/>
            <w:gridSpan w:val="3"/>
            <w:tcBorders/>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U</w:t>
            </w:r>
            <w:r>
              <w:rPr>
                <w:rFonts w:ascii="Times New Roman" w:hAnsi="Times New Roman"/>
                <w:color w:val="000000"/>
                <w:sz w:val="16"/>
              </w:rPr>
              <w:t>NIVERSAL</w:t>
            </w:r>
            <w:r>
              <w:rPr>
                <w:rFonts w:ascii="Times New Roman" w:hAnsi="Times New Roman"/>
                <w:color w:val="000000"/>
                <w:sz w:val="20"/>
              </w:rPr>
              <w:t> H</w:t>
            </w:r>
            <w:r>
              <w:rPr>
                <w:rFonts w:ascii="Times New Roman" w:hAnsi="Times New Roman"/>
                <w:color w:val="000000"/>
                <w:sz w:val="16"/>
              </w:rPr>
              <w:t>EALTH</w:t>
            </w:r>
            <w:r>
              <w:rPr>
                <w:rFonts w:ascii="Times New Roman" w:hAnsi="Times New Roman"/>
                <w:color w:val="000000"/>
                <w:sz w:val="20"/>
              </w:rPr>
              <w:t> S</w:t>
            </w:r>
            <w:r>
              <w:rPr>
                <w:rFonts w:ascii="Times New Roman" w:hAnsi="Times New Roman"/>
                <w:color w:val="000000"/>
                <w:sz w:val="16"/>
              </w:rPr>
              <w:t>ERVICES</w:t>
            </w:r>
            <w:r>
              <w:rPr>
                <w:rFonts w:ascii="Times New Roman" w:hAnsi="Times New Roman"/>
                <w:color w:val="000000"/>
                <w:sz w:val="20"/>
              </w:rPr>
              <w:t>, I</w:t>
            </w:r>
            <w:r>
              <w:rPr>
                <w:rFonts w:ascii="Times New Roman" w:hAnsi="Times New Roman"/>
                <w:color w:val="000000"/>
                <w:sz w:val="16"/>
              </w:rPr>
              <w:t>NC</w:t>
            </w:r>
            <w:r>
              <w:rPr>
                <w:rFonts w:ascii="Times New Roman" w:hAnsi="Times New Roman"/>
                <w:color w:val="000000"/>
                <w:sz w:val="20"/>
              </w:rPr>
              <w:t>.</w:t>
            </w:r>
          </w:p>
        </w:tc>
      </w:tr>
      <w:tr>
        <w:trPr/>
        <w:tc>
          <w:tcPr>
            <w:tcW w:w="1094" w:type="dxa"/>
            <w:tcBorders/>
            <w:tcMar>
              <w:top w:w="0" w:type="dxa"/>
              <w:left w:w="0" w:type="dxa"/>
              <w:bottom w:w="0" w:type="dxa"/>
              <w:right w:w="0" w:type="dxa"/>
            </w:tcMar>
            <w:vAlign w:val="center"/>
          </w:tcPr>
          <w:p>
            <w:pPr>
              <w:pStyle w:val="TableContents"/>
              <w:bidi w:val="0"/>
              <w:spacing w:before="0" w:after="283"/>
              <w:jc w:val="left"/>
              <w:rPr/>
            </w:pPr>
            <w:r>
              <w:rPr/>
              <w:t> </w:t>
            </w:r>
          </w:p>
        </w:tc>
        <w:tc>
          <w:tcPr>
            <w:tcW w:w="2226" w:type="dxa"/>
            <w:gridSpan w:val="2"/>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094" w:type="dxa"/>
            <w:tcBorders/>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By:</w:t>
            </w:r>
          </w:p>
        </w:tc>
        <w:tc>
          <w:tcPr>
            <w:tcW w:w="2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2"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20"/>
              </w:rPr>
              <w:t>/s/ M</w:t>
            </w:r>
            <w:r>
              <w:rPr>
                <w:rFonts w:ascii="Times New Roman" w:hAnsi="Times New Roman"/>
                <w:color w:val="000000"/>
                <w:sz w:val="16"/>
              </w:rPr>
              <w:t>ARC</w:t>
            </w:r>
            <w:r>
              <w:rPr>
                <w:rFonts w:ascii="Times New Roman" w:hAnsi="Times New Roman"/>
                <w:color w:val="000000"/>
                <w:sz w:val="20"/>
              </w:rPr>
              <w:t> D. M</w:t>
            </w:r>
            <w:r>
              <w:rPr>
                <w:rFonts w:ascii="Times New Roman" w:hAnsi="Times New Roman"/>
                <w:color w:val="000000"/>
                <w:sz w:val="16"/>
              </w:rPr>
              <w:t>ILLER</w:t>
            </w:r>
            <w:r>
              <w:rPr>
                <w:rFonts w:ascii="Times New Roman" w:hAnsi="Times New Roman"/>
                <w:color w:val="000000"/>
                <w:sz w:val="20"/>
              </w:rPr>
              <w:t xml:space="preserve"> </w:t>
            </w:r>
          </w:p>
        </w:tc>
      </w:tr>
      <w:tr>
        <w:trPr/>
        <w:tc>
          <w:tcPr>
            <w:tcW w:w="1094" w:type="dxa"/>
            <w:tcBorders/>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2"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Marc D. Miller</w:t>
            </w:r>
          </w:p>
          <w:p>
            <w:pPr>
              <w:pStyle w:val="TableContents"/>
              <w:bidi w:val="0"/>
              <w:jc w:val="center"/>
              <w:rPr>
                <w:rFonts w:ascii="Times New Roman" w:hAnsi="Times New Roman"/>
                <w:b/>
                <w:color w:val="000000"/>
                <w:sz w:val="16"/>
              </w:rPr>
            </w:pPr>
            <w:r>
              <w:rPr>
                <w:rFonts w:ascii="Times New Roman" w:hAnsi="Times New Roman"/>
                <w:b/>
                <w:color w:val="000000"/>
                <w:sz w:val="16"/>
              </w:rPr>
              <w:t>Chief Executive Officer</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February 25, 2026</w:t>
            </w:r>
          </w:p>
        </w:tc>
      </w:tr>
    </w:tbl>
    <w:p>
      <w:pPr>
        <w:pStyle w:val="TextBody"/>
        <w:bidi w:val="0"/>
        <w:jc w:val="left"/>
        <w:rPr/>
      </w:pPr>
      <w:r>
        <w:rPr/>
        <w:t> </w:t>
      </w:r>
    </w:p>
    <w:p>
      <w:pPr>
        <w:pStyle w:val="TextBody"/>
        <w:bidi w:val="0"/>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Pursuant to the requirements of the Securities Exchange Act of 1934, this report has been signed below by the following persons on behalf of the Registrant and in the capacities and on the dates indicated.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947"/>
        <w:gridCol w:w="2657"/>
        <w:gridCol w:w="1932"/>
        <w:gridCol w:w="146"/>
        <w:gridCol w:w="380"/>
        <w:gridCol w:w="762"/>
        <w:gridCol w:w="257"/>
        <w:gridCol w:w="146"/>
        <w:gridCol w:w="366"/>
        <w:gridCol w:w="1131"/>
        <w:gridCol w:w="481"/>
      </w:tblGrid>
      <w:tr>
        <w:trPr/>
        <w:tc>
          <w:tcPr>
            <w:tcW w:w="1947" w:type="dxa"/>
            <w:tcBorders/>
            <w:vAlign w:val="center"/>
          </w:tcPr>
          <w:p>
            <w:pPr>
              <w:pStyle w:val="TableContents"/>
              <w:bidi w:val="0"/>
              <w:spacing w:before="0" w:after="283"/>
              <w:jc w:val="left"/>
              <w:rPr>
                <w:sz w:val="4"/>
                <w:szCs w:val="4"/>
              </w:rPr>
            </w:pPr>
            <w:r>
              <w:rPr>
                <w:sz w:val="4"/>
                <w:szCs w:val="4"/>
              </w:rPr>
            </w:r>
          </w:p>
        </w:tc>
        <w:tc>
          <w:tcPr>
            <w:tcW w:w="2657" w:type="dxa"/>
            <w:tcBorders/>
            <w:vAlign w:val="center"/>
          </w:tcPr>
          <w:p>
            <w:pPr>
              <w:pStyle w:val="TableContents"/>
              <w:bidi w:val="0"/>
              <w:spacing w:before="0" w:after="283"/>
              <w:jc w:val="left"/>
              <w:rPr>
                <w:sz w:val="4"/>
                <w:szCs w:val="4"/>
              </w:rPr>
            </w:pPr>
            <w:r>
              <w:rPr>
                <w:sz w:val="4"/>
                <w:szCs w:val="4"/>
              </w:rPr>
            </w:r>
          </w:p>
        </w:tc>
        <w:tc>
          <w:tcPr>
            <w:tcW w:w="193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r>
      <w:tr>
        <w:trPr/>
        <w:tc>
          <w:tcPr>
            <w:tcW w:w="6536" w:type="dxa"/>
            <w:gridSpan w:val="3"/>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99" w:type="dxa"/>
            <w:gridSpan w:val="3"/>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78" w:type="dxa"/>
            <w:gridSpan w:val="3"/>
            <w:tcBorders/>
            <w:tcMar>
              <w:top w:w="0" w:type="dxa"/>
              <w:left w:w="0" w:type="dxa"/>
              <w:bottom w:w="0" w:type="dxa"/>
              <w:right w:w="0" w:type="dxa"/>
            </w:tcMar>
            <w:vAlign w:val="center"/>
          </w:tcPr>
          <w:p>
            <w:pPr>
              <w:pStyle w:val="TableContents"/>
              <w:bidi w:val="0"/>
              <w:spacing w:before="0" w:after="283"/>
              <w:ind w:left="0" w:right="0" w:firstLine="1786"/>
              <w:jc w:val="left"/>
              <w:rPr/>
            </w:pPr>
            <w:r>
              <w:rPr/>
              <w:t> </w:t>
            </w:r>
          </w:p>
        </w:tc>
      </w:tr>
      <w:tr>
        <w:trPr/>
        <w:tc>
          <w:tcPr>
            <w:tcW w:w="1947" w:type="dxa"/>
            <w:tcBorders/>
            <w:tcMar>
              <w:top w:w="0" w:type="dxa"/>
              <w:left w:w="0" w:type="dxa"/>
              <w:bottom w:w="0" w:type="dxa"/>
              <w:right w:w="0" w:type="dxa"/>
            </w:tcMar>
            <w:vAlign w:val="center"/>
          </w:tcPr>
          <w:p>
            <w:pPr>
              <w:pStyle w:val="TableContents"/>
              <w:bidi w:val="0"/>
              <w:spacing w:before="0" w:after="283"/>
              <w:ind w:left="0" w:right="0" w:firstLine="1786"/>
              <w:jc w:val="center"/>
              <w:rPr/>
            </w:pPr>
            <w:r>
              <w:rPr/>
              <w:t> </w:t>
            </w:r>
          </w:p>
        </w:tc>
        <w:tc>
          <w:tcPr>
            <w:tcW w:w="2657" w:type="dxa"/>
            <w:tcBorders/>
            <w:tcMar>
              <w:top w:w="0" w:type="dxa"/>
              <w:left w:w="0" w:type="dxa"/>
              <w:bottom w:w="0" w:type="dxa"/>
              <w:right w:w="0" w:type="dxa"/>
            </w:tcMar>
            <w:vAlign w:val="center"/>
          </w:tcPr>
          <w:p>
            <w:pPr>
              <w:pStyle w:val="TableContents"/>
              <w:bidi w:val="0"/>
              <w:spacing w:before="0" w:after="283"/>
              <w:ind w:left="0" w:right="0" w:firstLine="1786"/>
              <w:jc w:val="center"/>
              <w:rPr>
                <w:rFonts w:ascii="Times New Roman" w:hAnsi="Times New Roman"/>
                <w:b/>
                <w:color w:val="000000"/>
                <w:sz w:val="16"/>
              </w:rPr>
            </w:pPr>
            <w:r>
              <w:rPr>
                <w:rFonts w:ascii="Times New Roman" w:hAnsi="Times New Roman"/>
                <w:b/>
                <w:color w:val="000000"/>
                <w:sz w:val="16"/>
              </w:rPr>
              <w:t>Signatures</w:t>
            </w:r>
          </w:p>
        </w:tc>
        <w:tc>
          <w:tcPr>
            <w:tcW w:w="1932" w:type="dxa"/>
            <w:tcBorders/>
            <w:tcMar>
              <w:top w:w="0" w:type="dxa"/>
              <w:left w:w="0" w:type="dxa"/>
              <w:bottom w:w="0" w:type="dxa"/>
              <w:right w:w="0" w:type="dxa"/>
            </w:tcMar>
            <w:vAlign w:val="center"/>
          </w:tcPr>
          <w:p>
            <w:pPr>
              <w:pStyle w:val="TableContents"/>
              <w:bidi w:val="0"/>
              <w:spacing w:before="0" w:after="283"/>
              <w:ind w:left="0" w:right="0" w:firstLine="1786"/>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80" w:type="dxa"/>
            <w:tcBorders/>
            <w:tcMar>
              <w:top w:w="0" w:type="dxa"/>
              <w:left w:w="0" w:type="dxa"/>
              <w:bottom w:w="0" w:type="dxa"/>
              <w:right w:w="0" w:type="dxa"/>
            </w:tcMar>
            <w:vAlign w:val="center"/>
          </w:tcPr>
          <w:p>
            <w:pPr>
              <w:pStyle w:val="TableContents"/>
              <w:bidi w:val="0"/>
              <w:spacing w:before="0" w:after="283"/>
              <w:jc w:val="center"/>
              <w:rPr/>
            </w:pPr>
            <w:r>
              <w:rPr/>
              <w:t> </w:t>
            </w:r>
          </w:p>
        </w:tc>
        <w:tc>
          <w:tcPr>
            <w:tcW w:w="76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w:t>
            </w:r>
          </w:p>
        </w:tc>
        <w:tc>
          <w:tcPr>
            <w:tcW w:w="257"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Date</w:t>
            </w:r>
          </w:p>
        </w:tc>
        <w:tc>
          <w:tcPr>
            <w:tcW w:w="48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6536" w:type="dxa"/>
            <w:gridSpan w:val="3"/>
            <w:tcBorders/>
            <w:tcMar>
              <w:top w:w="0" w:type="dxa"/>
              <w:left w:w="0" w:type="dxa"/>
              <w:bottom w:w="0" w:type="dxa"/>
              <w:right w:w="0" w:type="dxa"/>
            </w:tcMar>
            <w:vAlign w:val="center"/>
          </w:tcPr>
          <w:p>
            <w:pPr>
              <w:pStyle w:val="TableContents"/>
              <w:bidi w:val="0"/>
              <w:spacing w:before="0" w:after="283"/>
              <w:jc w:val="left"/>
              <w:rPr/>
            </w:pPr>
            <w:r>
              <w:rPr/>
              <w:t> </w:t>
            </w:r>
          </w:p>
        </w:tc>
        <w:tc>
          <w:tcPr>
            <w:tcW w:w="1545" w:type="dxa"/>
            <w:gridSpan w:val="4"/>
            <w:tcBorders/>
            <w:tcMar>
              <w:top w:w="0" w:type="dxa"/>
              <w:left w:w="0" w:type="dxa"/>
              <w:bottom w:w="0" w:type="dxa"/>
              <w:right w:w="0" w:type="dxa"/>
            </w:tcMar>
            <w:vAlign w:val="center"/>
          </w:tcPr>
          <w:p>
            <w:pPr>
              <w:pStyle w:val="TableContents"/>
              <w:bidi w:val="0"/>
              <w:spacing w:before="0" w:after="283"/>
              <w:jc w:val="left"/>
              <w:rPr/>
            </w:pPr>
            <w:r>
              <w:rPr/>
              <w:t> </w:t>
            </w:r>
          </w:p>
        </w:tc>
        <w:tc>
          <w:tcPr>
            <w:tcW w:w="2124" w:type="dxa"/>
            <w:gridSpan w:val="4"/>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536" w:type="dxa"/>
            <w:gridSpan w:val="3"/>
            <w:tcBorders/>
            <w:tcMar>
              <w:top w:w="0" w:type="dxa"/>
              <w:left w:w="0" w:type="dxa"/>
              <w:bottom w:w="0" w:type="dxa"/>
              <w:right w:w="0" w:type="dxa"/>
            </w:tcMar>
            <w:vAlign w:val="center"/>
          </w:tcPr>
          <w:p>
            <w:pPr>
              <w:pStyle w:val="TableContents"/>
              <w:pBdr>
                <w:bottom w:val="single" w:sz="6" w:space="1" w:color="000000"/>
              </w:pBdr>
              <w:bidi w:val="0"/>
              <w:jc w:val="center"/>
              <w:rPr>
                <w:rFonts w:ascii="Times New Roman" w:hAnsi="Times New Roman"/>
                <w:sz w:val="20"/>
              </w:rPr>
            </w:pPr>
            <w:r>
              <w:rPr>
                <w:rFonts w:ascii="Times New Roman" w:hAnsi="Times New Roman"/>
                <w:color w:val="000000"/>
                <w:sz w:val="20"/>
              </w:rPr>
              <w:t>/s/ A</w:t>
            </w:r>
            <w:r>
              <w:rPr>
                <w:rFonts w:ascii="Times New Roman" w:hAnsi="Times New Roman"/>
                <w:color w:val="000000"/>
                <w:sz w:val="16"/>
              </w:rPr>
              <w:t>LAN</w:t>
            </w:r>
            <w:r>
              <w:rPr>
                <w:rFonts w:ascii="Times New Roman" w:hAnsi="Times New Roman"/>
                <w:color w:val="000000"/>
                <w:sz w:val="20"/>
              </w:rPr>
              <w:t> B. M</w:t>
            </w:r>
            <w:r>
              <w:rPr>
                <w:rFonts w:ascii="Times New Roman" w:hAnsi="Times New Roman"/>
                <w:color w:val="000000"/>
                <w:sz w:val="16"/>
              </w:rPr>
              <w:t>ILLER</w:t>
            </w:r>
          </w:p>
          <w:p>
            <w:pPr>
              <w:pStyle w:val="TableContents"/>
              <w:bidi w:val="0"/>
              <w:spacing w:before="15" w:after="283"/>
              <w:jc w:val="center"/>
              <w:rPr>
                <w:rFonts w:ascii="Times New Roman" w:hAnsi="Times New Roman"/>
                <w:b/>
                <w:color w:val="000000"/>
                <w:sz w:val="16"/>
              </w:rPr>
            </w:pPr>
            <w:r>
              <w:rPr>
                <w:rFonts w:ascii="Times New Roman" w:hAnsi="Times New Roman"/>
                <w:b/>
                <w:color w:val="000000"/>
                <w:sz w:val="16"/>
              </w:rPr>
              <w:t>Alan B. Miller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99"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Executive Chairman of the Board</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8"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February 25, 2026</w:t>
            </w:r>
          </w:p>
        </w:tc>
      </w:tr>
      <w:tr>
        <w:trPr/>
        <w:tc>
          <w:tcPr>
            <w:tcW w:w="6536" w:type="dxa"/>
            <w:gridSpan w:val="3"/>
            <w:tcBorders/>
            <w:tcMar>
              <w:top w:w="0" w:type="dxa"/>
              <w:left w:w="0" w:type="dxa"/>
              <w:bottom w:w="0" w:type="dxa"/>
              <w:right w:w="0" w:type="dxa"/>
            </w:tcMar>
            <w:vAlign w:val="center"/>
          </w:tcPr>
          <w:p>
            <w:pPr>
              <w:pStyle w:val="TableContents"/>
              <w:bidi w:val="0"/>
              <w:spacing w:before="0" w:after="283"/>
              <w:jc w:val="left"/>
              <w:rPr/>
            </w:pPr>
            <w:r>
              <w:rPr/>
              <w:t> </w:t>
            </w:r>
          </w:p>
        </w:tc>
        <w:tc>
          <w:tcPr>
            <w:tcW w:w="1545" w:type="dxa"/>
            <w:gridSpan w:val="4"/>
            <w:tcBorders/>
            <w:tcMar>
              <w:top w:w="0" w:type="dxa"/>
              <w:left w:w="0" w:type="dxa"/>
              <w:bottom w:w="0" w:type="dxa"/>
              <w:right w:w="0" w:type="dxa"/>
            </w:tcMar>
            <w:vAlign w:val="center"/>
          </w:tcPr>
          <w:p>
            <w:pPr>
              <w:pStyle w:val="TableContents"/>
              <w:bidi w:val="0"/>
              <w:spacing w:before="0" w:after="283"/>
              <w:jc w:val="left"/>
              <w:rPr/>
            </w:pPr>
            <w:r>
              <w:rPr/>
              <w:t> </w:t>
            </w:r>
          </w:p>
        </w:tc>
        <w:tc>
          <w:tcPr>
            <w:tcW w:w="2124" w:type="dxa"/>
            <w:gridSpan w:val="4"/>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536" w:type="dxa"/>
            <w:gridSpan w:val="3"/>
            <w:tcBorders/>
            <w:tcMar>
              <w:top w:w="0" w:type="dxa"/>
              <w:left w:w="0" w:type="dxa"/>
              <w:bottom w:w="0" w:type="dxa"/>
              <w:right w:w="0" w:type="dxa"/>
            </w:tcMar>
            <w:vAlign w:val="center"/>
          </w:tcPr>
          <w:p>
            <w:pPr>
              <w:pStyle w:val="TableContents"/>
              <w:pBdr>
                <w:bottom w:val="single" w:sz="6" w:space="1" w:color="000000"/>
              </w:pBdr>
              <w:bidi w:val="0"/>
              <w:jc w:val="center"/>
              <w:rPr>
                <w:rFonts w:ascii="Times New Roman" w:hAnsi="Times New Roman"/>
                <w:sz w:val="20"/>
              </w:rPr>
            </w:pPr>
            <w:r>
              <w:rPr>
                <w:rFonts w:ascii="Times New Roman" w:hAnsi="Times New Roman"/>
                <w:color w:val="000000"/>
                <w:sz w:val="20"/>
              </w:rPr>
              <w:t>/s/ M</w:t>
            </w:r>
            <w:r>
              <w:rPr>
                <w:rFonts w:ascii="Times New Roman" w:hAnsi="Times New Roman"/>
                <w:color w:val="000000"/>
                <w:sz w:val="16"/>
              </w:rPr>
              <w:t>ARC</w:t>
            </w:r>
            <w:r>
              <w:rPr>
                <w:rFonts w:ascii="Times New Roman" w:hAnsi="Times New Roman"/>
                <w:color w:val="000000"/>
                <w:sz w:val="20"/>
              </w:rPr>
              <w:t> D. M</w:t>
            </w:r>
            <w:r>
              <w:rPr>
                <w:rFonts w:ascii="Times New Roman" w:hAnsi="Times New Roman"/>
                <w:color w:val="000000"/>
                <w:sz w:val="16"/>
              </w:rPr>
              <w:t>ILLER</w:t>
            </w:r>
          </w:p>
          <w:p>
            <w:pPr>
              <w:pStyle w:val="TableContents"/>
              <w:bidi w:val="0"/>
              <w:spacing w:before="15" w:after="283"/>
              <w:jc w:val="center"/>
              <w:rPr>
                <w:rFonts w:ascii="Times New Roman" w:hAnsi="Times New Roman"/>
                <w:b/>
                <w:color w:val="000000"/>
                <w:sz w:val="16"/>
              </w:rPr>
            </w:pPr>
            <w:r>
              <w:rPr>
                <w:rFonts w:ascii="Times New Roman" w:hAnsi="Times New Roman"/>
                <w:b/>
                <w:color w:val="000000"/>
                <w:sz w:val="16"/>
              </w:rPr>
              <w:t>Marc D. Miller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99"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 President and Chief Executive Officer (Principal Executive Officer)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8"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February 25, 2026</w:t>
            </w:r>
          </w:p>
        </w:tc>
      </w:tr>
      <w:tr>
        <w:trPr/>
        <w:tc>
          <w:tcPr>
            <w:tcW w:w="6536" w:type="dxa"/>
            <w:gridSpan w:val="3"/>
            <w:tcBorders/>
            <w:tcMar>
              <w:top w:w="0" w:type="dxa"/>
              <w:left w:w="0" w:type="dxa"/>
              <w:bottom w:w="0" w:type="dxa"/>
              <w:right w:w="0" w:type="dxa"/>
            </w:tcMar>
            <w:vAlign w:val="center"/>
          </w:tcPr>
          <w:p>
            <w:pPr>
              <w:pStyle w:val="TableContents"/>
              <w:bidi w:val="0"/>
              <w:spacing w:before="0" w:after="283"/>
              <w:jc w:val="left"/>
              <w:rPr/>
            </w:pPr>
            <w:r>
              <w:rPr/>
              <w:t> </w:t>
            </w:r>
          </w:p>
        </w:tc>
        <w:tc>
          <w:tcPr>
            <w:tcW w:w="1545" w:type="dxa"/>
            <w:gridSpan w:val="4"/>
            <w:tcBorders/>
            <w:tcMar>
              <w:top w:w="0" w:type="dxa"/>
              <w:left w:w="0" w:type="dxa"/>
              <w:bottom w:w="0" w:type="dxa"/>
              <w:right w:w="0" w:type="dxa"/>
            </w:tcMar>
            <w:vAlign w:val="center"/>
          </w:tcPr>
          <w:p>
            <w:pPr>
              <w:pStyle w:val="TableContents"/>
              <w:bidi w:val="0"/>
              <w:spacing w:before="0" w:after="283"/>
              <w:jc w:val="left"/>
              <w:rPr/>
            </w:pPr>
            <w:r>
              <w:rPr/>
              <w:t> </w:t>
            </w:r>
          </w:p>
        </w:tc>
        <w:tc>
          <w:tcPr>
            <w:tcW w:w="2124" w:type="dxa"/>
            <w:gridSpan w:val="4"/>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536" w:type="dxa"/>
            <w:gridSpan w:val="3"/>
            <w:tcBorders/>
            <w:tcMar>
              <w:top w:w="0" w:type="dxa"/>
              <w:left w:w="0" w:type="dxa"/>
              <w:bottom w:w="0" w:type="dxa"/>
              <w:right w:w="0" w:type="dxa"/>
            </w:tcMar>
            <w:vAlign w:val="center"/>
          </w:tcPr>
          <w:p>
            <w:pPr>
              <w:pStyle w:val="TableContents"/>
              <w:pBdr>
                <w:bottom w:val="single" w:sz="6" w:space="1" w:color="000000"/>
              </w:pBdr>
              <w:bidi w:val="0"/>
              <w:spacing w:before="0" w:after="283"/>
              <w:jc w:val="center"/>
              <w:rPr>
                <w:rFonts w:ascii="Times New Roman" w:hAnsi="Times New Roman"/>
                <w:sz w:val="20"/>
              </w:rPr>
            </w:pPr>
            <w:r>
              <w:rPr>
                <w:rFonts w:ascii="Times New Roman" w:hAnsi="Times New Roman"/>
                <w:color w:val="000000"/>
                <w:sz w:val="20"/>
              </w:rPr>
              <w:t>/s/ N</w:t>
            </w:r>
            <w:r>
              <w:rPr>
                <w:rFonts w:ascii="Times New Roman" w:hAnsi="Times New Roman"/>
                <w:color w:val="000000"/>
                <w:sz w:val="16"/>
              </w:rPr>
              <w:t>INA</w:t>
            </w:r>
            <w:r>
              <w:rPr>
                <w:rFonts w:ascii="Times New Roman" w:hAnsi="Times New Roman"/>
                <w:color w:val="000000"/>
                <w:sz w:val="20"/>
              </w:rPr>
              <w:t> C</w:t>
            </w:r>
            <w:r>
              <w:rPr>
                <w:rFonts w:ascii="Times New Roman" w:hAnsi="Times New Roman"/>
                <w:color w:val="000000"/>
                <w:sz w:val="16"/>
              </w:rPr>
              <w:t>HEN</w:t>
            </w:r>
            <w:r>
              <w:rPr>
                <w:rFonts w:ascii="Times New Roman" w:hAnsi="Times New Roman"/>
                <w:color w:val="000000"/>
                <w:sz w:val="20"/>
              </w:rPr>
              <w:t>-L</w:t>
            </w:r>
            <w:r>
              <w:rPr>
                <w:rFonts w:ascii="Times New Roman" w:hAnsi="Times New Roman"/>
                <w:color w:val="000000"/>
                <w:sz w:val="16"/>
              </w:rPr>
              <w:t>ANGENMAYR</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99"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978"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February 25, 2026</w:t>
            </w:r>
          </w:p>
        </w:tc>
      </w:tr>
      <w:tr>
        <w:trPr/>
        <w:tc>
          <w:tcPr>
            <w:tcW w:w="6536" w:type="dxa"/>
            <w:gridSpan w:val="3"/>
            <w:tcBorders/>
            <w:tcMar>
              <w:top w:w="0" w:type="dxa"/>
              <w:left w:w="0" w:type="dxa"/>
              <w:bottom w:w="0" w:type="dxa"/>
              <w:right w:w="0" w:type="dxa"/>
            </w:tcMar>
            <w:vAlign w:val="center"/>
          </w:tcPr>
          <w:p>
            <w:pPr>
              <w:pStyle w:val="TableContents"/>
              <w:bidi w:val="0"/>
              <w:spacing w:before="15" w:after="283"/>
              <w:jc w:val="center"/>
              <w:rPr>
                <w:rFonts w:ascii="Times New Roman" w:hAnsi="Times New Roman"/>
                <w:b/>
                <w:color w:val="000000"/>
                <w:sz w:val="16"/>
              </w:rPr>
            </w:pPr>
            <w:r>
              <w:rPr>
                <w:rFonts w:ascii="Times New Roman" w:hAnsi="Times New Roman"/>
                <w:b/>
                <w:color w:val="000000"/>
                <w:sz w:val="16"/>
              </w:rPr>
              <w:t>Nina Chen-Langenmayr</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99" w:type="dxa"/>
            <w:gridSpan w:val="3"/>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78" w:type="dxa"/>
            <w:gridSpan w:val="3"/>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536" w:type="dxa"/>
            <w:gridSpan w:val="3"/>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99" w:type="dxa"/>
            <w:gridSpan w:val="3"/>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78" w:type="dxa"/>
            <w:gridSpan w:val="3"/>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536" w:type="dxa"/>
            <w:gridSpan w:val="3"/>
            <w:tcBorders/>
            <w:tcMar>
              <w:top w:w="0" w:type="dxa"/>
              <w:left w:w="0" w:type="dxa"/>
              <w:bottom w:w="0" w:type="dxa"/>
              <w:right w:w="0" w:type="dxa"/>
            </w:tcMar>
            <w:vAlign w:val="center"/>
          </w:tcPr>
          <w:p>
            <w:pPr>
              <w:pStyle w:val="TableContents"/>
              <w:pBdr>
                <w:bottom w:val="single" w:sz="6" w:space="1" w:color="000000"/>
              </w:pBdr>
              <w:bidi w:val="0"/>
              <w:jc w:val="center"/>
              <w:rPr>
                <w:rFonts w:ascii="Times New Roman" w:hAnsi="Times New Roman"/>
                <w:sz w:val="20"/>
              </w:rPr>
            </w:pPr>
            <w:r>
              <w:rPr>
                <w:rFonts w:ascii="Times New Roman" w:hAnsi="Times New Roman"/>
                <w:color w:val="000000"/>
                <w:sz w:val="20"/>
              </w:rPr>
              <w:t>/s/ E</w:t>
            </w:r>
            <w:r>
              <w:rPr>
                <w:rFonts w:ascii="Times New Roman" w:hAnsi="Times New Roman"/>
                <w:color w:val="000000"/>
                <w:sz w:val="16"/>
              </w:rPr>
              <w:t>ILEEN</w:t>
            </w:r>
            <w:r>
              <w:rPr>
                <w:rFonts w:ascii="Times New Roman" w:hAnsi="Times New Roman"/>
                <w:color w:val="000000"/>
                <w:sz w:val="20"/>
              </w:rPr>
              <w:t> C. M</w:t>
            </w:r>
            <w:r>
              <w:rPr>
                <w:rFonts w:ascii="Times New Roman" w:hAnsi="Times New Roman"/>
                <w:color w:val="000000"/>
                <w:sz w:val="16"/>
              </w:rPr>
              <w:t>C</w:t>
            </w:r>
            <w:r>
              <w:rPr>
                <w:rFonts w:ascii="Times New Roman" w:hAnsi="Times New Roman"/>
                <w:color w:val="000000"/>
                <w:sz w:val="20"/>
              </w:rPr>
              <w:t>D</w:t>
            </w:r>
            <w:r>
              <w:rPr>
                <w:rFonts w:ascii="Times New Roman" w:hAnsi="Times New Roman"/>
                <w:color w:val="000000"/>
                <w:sz w:val="16"/>
              </w:rPr>
              <w:t>ONNELL</w:t>
            </w:r>
          </w:p>
          <w:p>
            <w:pPr>
              <w:pStyle w:val="TableContents"/>
              <w:bidi w:val="0"/>
              <w:spacing w:before="15" w:after="283"/>
              <w:jc w:val="center"/>
              <w:rPr>
                <w:rFonts w:ascii="Times New Roman" w:hAnsi="Times New Roman"/>
                <w:b/>
                <w:color w:val="000000"/>
                <w:sz w:val="16"/>
              </w:rPr>
            </w:pPr>
            <w:r>
              <w:rPr>
                <w:rFonts w:ascii="Times New Roman" w:hAnsi="Times New Roman"/>
                <w:b/>
                <w:color w:val="000000"/>
                <w:sz w:val="16"/>
              </w:rPr>
              <w:t>Eileen C. McDonnell</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99"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8"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February 25, 2026</w:t>
            </w:r>
          </w:p>
        </w:tc>
      </w:tr>
      <w:tr>
        <w:trPr/>
        <w:tc>
          <w:tcPr>
            <w:tcW w:w="6536" w:type="dxa"/>
            <w:gridSpan w:val="3"/>
            <w:tcBorders/>
            <w:tcMar>
              <w:top w:w="0" w:type="dxa"/>
              <w:left w:w="0" w:type="dxa"/>
              <w:bottom w:w="0" w:type="dxa"/>
              <w:right w:w="0" w:type="dxa"/>
            </w:tcMar>
            <w:vAlign w:val="center"/>
          </w:tcPr>
          <w:p>
            <w:pPr>
              <w:pStyle w:val="TableContents"/>
              <w:bidi w:val="0"/>
              <w:spacing w:before="0" w:after="283"/>
              <w:jc w:val="left"/>
              <w:rPr/>
            </w:pPr>
            <w:r>
              <w:rPr/>
              <w:t> </w:t>
            </w:r>
          </w:p>
        </w:tc>
        <w:tc>
          <w:tcPr>
            <w:tcW w:w="1545" w:type="dxa"/>
            <w:gridSpan w:val="4"/>
            <w:tcBorders/>
            <w:tcMar>
              <w:top w:w="0" w:type="dxa"/>
              <w:left w:w="0" w:type="dxa"/>
              <w:bottom w:w="0" w:type="dxa"/>
              <w:right w:w="0" w:type="dxa"/>
            </w:tcMar>
            <w:vAlign w:val="center"/>
          </w:tcPr>
          <w:p>
            <w:pPr>
              <w:pStyle w:val="TableContents"/>
              <w:bidi w:val="0"/>
              <w:spacing w:before="0" w:after="283"/>
              <w:jc w:val="left"/>
              <w:rPr/>
            </w:pPr>
            <w:r>
              <w:rPr/>
              <w:t> </w:t>
            </w:r>
          </w:p>
        </w:tc>
        <w:tc>
          <w:tcPr>
            <w:tcW w:w="2124" w:type="dxa"/>
            <w:gridSpan w:val="4"/>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536" w:type="dxa"/>
            <w:gridSpan w:val="3"/>
            <w:tcBorders/>
            <w:tcMar>
              <w:top w:w="0" w:type="dxa"/>
              <w:left w:w="0" w:type="dxa"/>
              <w:bottom w:w="0" w:type="dxa"/>
              <w:right w:w="0" w:type="dxa"/>
            </w:tcMar>
            <w:vAlign w:val="center"/>
          </w:tcPr>
          <w:p>
            <w:pPr>
              <w:pStyle w:val="TableContents"/>
              <w:pBdr>
                <w:bottom w:val="single" w:sz="6" w:space="1" w:color="000000"/>
              </w:pBdr>
              <w:bidi w:val="0"/>
              <w:jc w:val="center"/>
              <w:rPr>
                <w:rFonts w:ascii="Times New Roman" w:hAnsi="Times New Roman"/>
                <w:sz w:val="20"/>
              </w:rPr>
            </w:pPr>
            <w:r>
              <w:rPr>
                <w:rFonts w:ascii="Times New Roman" w:hAnsi="Times New Roman"/>
                <w:color w:val="000000"/>
                <w:sz w:val="20"/>
              </w:rPr>
              <w:t>/s/ W</w:t>
            </w:r>
            <w:r>
              <w:rPr>
                <w:rFonts w:ascii="Times New Roman" w:hAnsi="Times New Roman"/>
                <w:color w:val="000000"/>
                <w:sz w:val="16"/>
              </w:rPr>
              <w:t>ARREN</w:t>
            </w:r>
            <w:r>
              <w:rPr>
                <w:rFonts w:ascii="Times New Roman" w:hAnsi="Times New Roman"/>
                <w:color w:val="000000"/>
                <w:sz w:val="20"/>
              </w:rPr>
              <w:t> J. N</w:t>
            </w:r>
            <w:r>
              <w:rPr>
                <w:rFonts w:ascii="Times New Roman" w:hAnsi="Times New Roman"/>
                <w:color w:val="000000"/>
                <w:sz w:val="16"/>
              </w:rPr>
              <w:t>IMETZ</w:t>
            </w:r>
          </w:p>
          <w:p>
            <w:pPr>
              <w:pStyle w:val="TableContents"/>
              <w:bidi w:val="0"/>
              <w:spacing w:before="15" w:after="283"/>
              <w:jc w:val="center"/>
              <w:rPr>
                <w:rFonts w:ascii="Times New Roman" w:hAnsi="Times New Roman"/>
                <w:b/>
                <w:color w:val="000000"/>
                <w:sz w:val="16"/>
              </w:rPr>
            </w:pPr>
            <w:r>
              <w:rPr>
                <w:rFonts w:ascii="Times New Roman" w:hAnsi="Times New Roman"/>
                <w:b/>
                <w:color w:val="000000"/>
                <w:sz w:val="16"/>
              </w:rPr>
              <w:t>Warren J. Nimetz</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99"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8"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February 25, 2026</w:t>
            </w:r>
          </w:p>
        </w:tc>
      </w:tr>
      <w:tr>
        <w:trPr/>
        <w:tc>
          <w:tcPr>
            <w:tcW w:w="6536" w:type="dxa"/>
            <w:gridSpan w:val="3"/>
            <w:tcBorders/>
            <w:tcMar>
              <w:top w:w="0" w:type="dxa"/>
              <w:left w:w="0" w:type="dxa"/>
              <w:bottom w:w="0" w:type="dxa"/>
              <w:right w:w="0" w:type="dxa"/>
            </w:tcMar>
            <w:vAlign w:val="center"/>
          </w:tcPr>
          <w:p>
            <w:pPr>
              <w:pStyle w:val="TableContents"/>
              <w:bidi w:val="0"/>
              <w:spacing w:before="0" w:after="283"/>
              <w:jc w:val="left"/>
              <w:rPr/>
            </w:pPr>
            <w:r>
              <w:rPr/>
              <w:t> </w:t>
            </w:r>
          </w:p>
        </w:tc>
        <w:tc>
          <w:tcPr>
            <w:tcW w:w="1545" w:type="dxa"/>
            <w:gridSpan w:val="4"/>
            <w:tcBorders/>
            <w:tcMar>
              <w:top w:w="0" w:type="dxa"/>
              <w:left w:w="0" w:type="dxa"/>
              <w:bottom w:w="0" w:type="dxa"/>
              <w:right w:w="0" w:type="dxa"/>
            </w:tcMar>
            <w:vAlign w:val="center"/>
          </w:tcPr>
          <w:p>
            <w:pPr>
              <w:pStyle w:val="TableContents"/>
              <w:bidi w:val="0"/>
              <w:spacing w:before="0" w:after="283"/>
              <w:jc w:val="left"/>
              <w:rPr/>
            </w:pPr>
            <w:r>
              <w:rPr/>
              <w:t> </w:t>
            </w:r>
          </w:p>
        </w:tc>
        <w:tc>
          <w:tcPr>
            <w:tcW w:w="2124" w:type="dxa"/>
            <w:gridSpan w:val="4"/>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536" w:type="dxa"/>
            <w:gridSpan w:val="3"/>
            <w:tcBorders/>
            <w:tcMar>
              <w:top w:w="0" w:type="dxa"/>
              <w:left w:w="0" w:type="dxa"/>
              <w:bottom w:w="0" w:type="dxa"/>
              <w:right w:w="0" w:type="dxa"/>
            </w:tcMar>
            <w:vAlign w:val="center"/>
          </w:tcPr>
          <w:p>
            <w:pPr>
              <w:pStyle w:val="TableContents"/>
              <w:pBdr>
                <w:bottom w:val="single" w:sz="6" w:space="1" w:color="000000"/>
              </w:pBdr>
              <w:bidi w:val="0"/>
              <w:jc w:val="center"/>
              <w:rPr>
                <w:rFonts w:ascii="Times New Roman" w:hAnsi="Times New Roman"/>
                <w:sz w:val="20"/>
              </w:rPr>
            </w:pPr>
            <w:r>
              <w:rPr>
                <w:rFonts w:ascii="Times New Roman" w:hAnsi="Times New Roman"/>
                <w:color w:val="000000"/>
                <w:sz w:val="20"/>
              </w:rPr>
              <w:t>/s/ M</w:t>
            </w:r>
            <w:r>
              <w:rPr>
                <w:rFonts w:ascii="Times New Roman" w:hAnsi="Times New Roman"/>
                <w:color w:val="000000"/>
                <w:sz w:val="16"/>
              </w:rPr>
              <w:t>ARIA</w:t>
            </w:r>
            <w:r>
              <w:rPr>
                <w:rFonts w:ascii="Times New Roman" w:hAnsi="Times New Roman"/>
                <w:color w:val="000000"/>
                <w:sz w:val="20"/>
              </w:rPr>
              <w:t> S</w:t>
            </w:r>
            <w:r>
              <w:rPr>
                <w:rFonts w:ascii="Times New Roman" w:hAnsi="Times New Roman"/>
                <w:color w:val="000000"/>
                <w:sz w:val="16"/>
              </w:rPr>
              <w:t>INGER</w:t>
            </w:r>
          </w:p>
          <w:p>
            <w:pPr>
              <w:pStyle w:val="TableContents"/>
              <w:bidi w:val="0"/>
              <w:spacing w:before="15" w:after="283"/>
              <w:jc w:val="center"/>
              <w:rPr>
                <w:rFonts w:ascii="Times New Roman" w:hAnsi="Times New Roman"/>
                <w:sz w:val="16"/>
              </w:rPr>
            </w:pPr>
            <w:r>
              <w:rPr>
                <w:rFonts w:ascii="Times New Roman" w:hAnsi="Times New Roman"/>
                <w:b/>
                <w:color w:val="000000"/>
                <w:sz w:val="16"/>
              </w:rPr>
              <w:t>Maria Singer</w:t>
            </w:r>
            <w:r>
              <w:rPr>
                <w:rFonts w:ascii="Times New Roman" w:hAnsi="Times New Roman"/>
                <w:color w:val="000000"/>
                <w:sz w:val="16"/>
              </w:rPr>
              <w:t xml:space="preserve">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99"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8"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February 25, 2026</w:t>
            </w:r>
          </w:p>
        </w:tc>
      </w:tr>
      <w:tr>
        <w:trPr/>
        <w:tc>
          <w:tcPr>
            <w:tcW w:w="6536" w:type="dxa"/>
            <w:gridSpan w:val="3"/>
            <w:tcBorders/>
            <w:tcMar>
              <w:top w:w="0" w:type="dxa"/>
              <w:left w:w="0" w:type="dxa"/>
              <w:bottom w:w="0" w:type="dxa"/>
              <w:right w:w="0" w:type="dxa"/>
            </w:tcMar>
            <w:vAlign w:val="center"/>
          </w:tcPr>
          <w:p>
            <w:pPr>
              <w:pStyle w:val="TableContents"/>
              <w:bidi w:val="0"/>
              <w:spacing w:before="0" w:after="283"/>
              <w:jc w:val="left"/>
              <w:rPr/>
            </w:pPr>
            <w:r>
              <w:rPr/>
              <w:t> </w:t>
            </w:r>
          </w:p>
        </w:tc>
        <w:tc>
          <w:tcPr>
            <w:tcW w:w="1545" w:type="dxa"/>
            <w:gridSpan w:val="4"/>
            <w:tcBorders/>
            <w:tcMar>
              <w:top w:w="0" w:type="dxa"/>
              <w:left w:w="0" w:type="dxa"/>
              <w:bottom w:w="0" w:type="dxa"/>
              <w:right w:w="0" w:type="dxa"/>
            </w:tcMar>
            <w:vAlign w:val="center"/>
          </w:tcPr>
          <w:p>
            <w:pPr>
              <w:pStyle w:val="TableContents"/>
              <w:bidi w:val="0"/>
              <w:spacing w:before="0" w:after="283"/>
              <w:jc w:val="left"/>
              <w:rPr/>
            </w:pPr>
            <w:r>
              <w:rPr/>
              <w:t> </w:t>
            </w:r>
          </w:p>
        </w:tc>
        <w:tc>
          <w:tcPr>
            <w:tcW w:w="2124" w:type="dxa"/>
            <w:gridSpan w:val="4"/>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536" w:type="dxa"/>
            <w:gridSpan w:val="3"/>
            <w:tcBorders/>
            <w:tcMar>
              <w:top w:w="0" w:type="dxa"/>
              <w:left w:w="0" w:type="dxa"/>
              <w:bottom w:w="0" w:type="dxa"/>
              <w:right w:w="0" w:type="dxa"/>
            </w:tcMar>
            <w:vAlign w:val="center"/>
          </w:tcPr>
          <w:p>
            <w:pPr>
              <w:pStyle w:val="TableContents"/>
              <w:pBdr>
                <w:bottom w:val="single" w:sz="6" w:space="1" w:color="000000"/>
              </w:pBdr>
              <w:bidi w:val="0"/>
              <w:jc w:val="center"/>
              <w:rPr>
                <w:rFonts w:ascii="Times New Roman" w:hAnsi="Times New Roman"/>
                <w:sz w:val="20"/>
              </w:rPr>
            </w:pPr>
            <w:r>
              <w:rPr>
                <w:rFonts w:ascii="Times New Roman" w:hAnsi="Times New Roman"/>
                <w:color w:val="000000"/>
                <w:sz w:val="20"/>
              </w:rPr>
              <w:t>/s/ E</w:t>
            </w:r>
            <w:r>
              <w:rPr>
                <w:rFonts w:ascii="Times New Roman" w:hAnsi="Times New Roman"/>
                <w:color w:val="000000"/>
                <w:sz w:val="16"/>
              </w:rPr>
              <w:t>LLIOTT</w:t>
            </w:r>
            <w:r>
              <w:rPr>
                <w:rFonts w:ascii="Times New Roman" w:hAnsi="Times New Roman"/>
                <w:color w:val="000000"/>
                <w:sz w:val="20"/>
              </w:rPr>
              <w:t> J. S</w:t>
            </w:r>
            <w:r>
              <w:rPr>
                <w:rFonts w:ascii="Times New Roman" w:hAnsi="Times New Roman"/>
                <w:color w:val="000000"/>
                <w:sz w:val="16"/>
              </w:rPr>
              <w:t>USSMAN</w:t>
            </w:r>
            <w:r>
              <w:rPr>
                <w:rFonts w:ascii="Times New Roman" w:hAnsi="Times New Roman"/>
                <w:color w:val="000000"/>
                <w:sz w:val="20"/>
              </w:rPr>
              <w:t> M.D.</w:t>
            </w:r>
          </w:p>
          <w:p>
            <w:pPr>
              <w:pStyle w:val="TableContents"/>
              <w:bidi w:val="0"/>
              <w:spacing w:before="15" w:after="283"/>
              <w:jc w:val="center"/>
              <w:rPr>
                <w:rFonts w:ascii="Times New Roman" w:hAnsi="Times New Roman"/>
                <w:b/>
                <w:color w:val="000000"/>
                <w:sz w:val="16"/>
              </w:rPr>
            </w:pPr>
            <w:r>
              <w:rPr>
                <w:rFonts w:ascii="Times New Roman" w:hAnsi="Times New Roman"/>
                <w:b/>
                <w:color w:val="000000"/>
                <w:sz w:val="16"/>
              </w:rPr>
              <w:t>Elliot J. Sussman M.D.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99"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8"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February 25, 2026</w:t>
            </w:r>
          </w:p>
        </w:tc>
      </w:tr>
      <w:tr>
        <w:trPr/>
        <w:tc>
          <w:tcPr>
            <w:tcW w:w="6536" w:type="dxa"/>
            <w:gridSpan w:val="3"/>
            <w:tcBorders/>
            <w:tcMar>
              <w:top w:w="0" w:type="dxa"/>
              <w:left w:w="0" w:type="dxa"/>
              <w:bottom w:w="0" w:type="dxa"/>
              <w:right w:w="0" w:type="dxa"/>
            </w:tcMar>
            <w:vAlign w:val="center"/>
          </w:tcPr>
          <w:p>
            <w:pPr>
              <w:pStyle w:val="TableContents"/>
              <w:bidi w:val="0"/>
              <w:spacing w:before="0" w:after="283"/>
              <w:jc w:val="left"/>
              <w:rPr/>
            </w:pPr>
            <w:r>
              <w:rPr/>
              <w:t> </w:t>
            </w:r>
          </w:p>
        </w:tc>
        <w:tc>
          <w:tcPr>
            <w:tcW w:w="1545" w:type="dxa"/>
            <w:gridSpan w:val="4"/>
            <w:tcBorders/>
            <w:tcMar>
              <w:top w:w="0" w:type="dxa"/>
              <w:left w:w="0" w:type="dxa"/>
              <w:bottom w:w="0" w:type="dxa"/>
              <w:right w:w="0" w:type="dxa"/>
            </w:tcMar>
            <w:vAlign w:val="center"/>
          </w:tcPr>
          <w:p>
            <w:pPr>
              <w:pStyle w:val="TableContents"/>
              <w:bidi w:val="0"/>
              <w:spacing w:before="0" w:after="283"/>
              <w:jc w:val="left"/>
              <w:rPr/>
            </w:pPr>
            <w:r>
              <w:rPr/>
              <w:t> </w:t>
            </w:r>
          </w:p>
        </w:tc>
        <w:tc>
          <w:tcPr>
            <w:tcW w:w="2124" w:type="dxa"/>
            <w:gridSpan w:val="4"/>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536" w:type="dxa"/>
            <w:gridSpan w:val="3"/>
            <w:tcBorders/>
            <w:tcMar>
              <w:top w:w="0" w:type="dxa"/>
              <w:left w:w="0" w:type="dxa"/>
              <w:bottom w:w="0" w:type="dxa"/>
              <w:right w:w="0" w:type="dxa"/>
            </w:tcMar>
            <w:vAlign w:val="center"/>
          </w:tcPr>
          <w:p>
            <w:pPr>
              <w:pStyle w:val="TableContents"/>
              <w:pBdr>
                <w:bottom w:val="single" w:sz="6" w:space="1" w:color="000000"/>
              </w:pBdr>
              <w:bidi w:val="0"/>
              <w:jc w:val="center"/>
              <w:rPr>
                <w:rFonts w:ascii="Times New Roman" w:hAnsi="Times New Roman"/>
                <w:sz w:val="20"/>
              </w:rPr>
            </w:pPr>
            <w:r>
              <w:rPr>
                <w:rFonts w:ascii="Times New Roman" w:hAnsi="Times New Roman"/>
                <w:color w:val="000000"/>
                <w:sz w:val="20"/>
              </w:rPr>
              <w:t>/s/ S</w:t>
            </w:r>
            <w:r>
              <w:rPr>
                <w:rFonts w:ascii="Times New Roman" w:hAnsi="Times New Roman"/>
                <w:color w:val="000000"/>
                <w:sz w:val="16"/>
              </w:rPr>
              <w:t>TEVE</w:t>
            </w:r>
            <w:r>
              <w:rPr>
                <w:rFonts w:ascii="Times New Roman" w:hAnsi="Times New Roman"/>
                <w:color w:val="000000"/>
                <w:sz w:val="20"/>
              </w:rPr>
              <w:t> F</w:t>
            </w:r>
            <w:r>
              <w:rPr>
                <w:rFonts w:ascii="Times New Roman" w:hAnsi="Times New Roman"/>
                <w:color w:val="000000"/>
                <w:sz w:val="16"/>
              </w:rPr>
              <w:t>ILTON</w:t>
            </w:r>
          </w:p>
          <w:p>
            <w:pPr>
              <w:pStyle w:val="TableContents"/>
              <w:bidi w:val="0"/>
              <w:spacing w:before="15" w:after="283"/>
              <w:jc w:val="center"/>
              <w:rPr>
                <w:rFonts w:ascii="Times New Roman" w:hAnsi="Times New Roman"/>
                <w:b/>
                <w:color w:val="000000"/>
                <w:sz w:val="16"/>
              </w:rPr>
            </w:pPr>
            <w:r>
              <w:rPr>
                <w:rFonts w:ascii="Times New Roman" w:hAnsi="Times New Roman"/>
                <w:b/>
                <w:color w:val="000000"/>
                <w:sz w:val="16"/>
              </w:rPr>
              <w:t>Steve Filton</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99" w:type="dxa"/>
            <w:gridSpan w:val="3"/>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Executive Vice President, Chief Financial Officer and Secretary</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and Accounting Officer)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8"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February 25, 2026</w:t>
            </w:r>
          </w:p>
        </w:tc>
      </w:tr>
    </w:tbl>
    <w:p>
      <w:pPr>
        <w:pStyle w:val="TextBody"/>
        <w:bidi w:val="0"/>
        <w:jc w:val="left"/>
        <w:rPr/>
      </w:pPr>
      <w:r>
        <w:rPr/>
        <w:t> </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88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UNIVERSAL HEALTH SERVICES, INC.</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INDEX TO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AND FINANCIAL STATEMENT SCHEDULE</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9244"/>
        <w:gridCol w:w="961"/>
      </w:tblGrid>
      <w:tr>
        <w:trPr/>
        <w:tc>
          <w:tcPr>
            <w:tcW w:w="9244"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ind w:left="0" w:right="0" w:firstLine="200"/>
              <w:jc w:val="left"/>
              <w:rPr>
                <w:sz w:val="4"/>
                <w:szCs w:val="4"/>
              </w:rPr>
            </w:pPr>
            <w:r>
              <w:rPr>
                <w:sz w:val="4"/>
                <w:szCs w:val="4"/>
              </w:rPr>
            </w:r>
          </w:p>
        </w:tc>
      </w:tr>
      <w:tr>
        <w:trPr/>
        <w:tc>
          <w:tcPr>
            <w:tcW w:w="9244" w:type="dxa"/>
            <w:tcBorders/>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Consolidated Financial Statements:</w:t>
            </w:r>
          </w:p>
        </w:tc>
        <w:tc>
          <w:tcPr>
            <w:tcW w:w="961" w:type="dxa"/>
            <w:tcBorders/>
            <w:tcMar>
              <w:top w:w="0" w:type="dxa"/>
              <w:left w:w="0" w:type="dxa"/>
              <w:bottom w:w="0" w:type="dxa"/>
              <w:right w:w="0" w:type="dxa"/>
            </w:tcMar>
            <w:vAlign w:val="center"/>
          </w:tcPr>
          <w:p>
            <w:pPr>
              <w:pStyle w:val="TableContents"/>
              <w:bidi w:val="0"/>
              <w:spacing w:before="0" w:after="283"/>
              <w:ind w:left="0" w:right="0" w:firstLine="600"/>
              <w:jc w:val="right"/>
              <w:rPr/>
            </w:pPr>
            <w:r>
              <w:rPr/>
              <w:t> </w:t>
            </w:r>
          </w:p>
        </w:tc>
      </w:tr>
      <w:tr>
        <w:trPr/>
        <w:tc>
          <w:tcPr>
            <w:tcW w:w="9244" w:type="dxa"/>
            <w:tcBorders/>
            <w:tcMar>
              <w:top w:w="0" w:type="dxa"/>
              <w:left w:w="0" w:type="dxa"/>
              <w:bottom w:w="0" w:type="dxa"/>
              <w:right w:w="0" w:type="dxa"/>
            </w:tcMar>
            <w:vAlign w:val="center"/>
          </w:tcPr>
          <w:p>
            <w:pPr>
              <w:pStyle w:val="TableContents"/>
              <w:bidi w:val="0"/>
              <w:spacing w:before="0" w:after="283"/>
              <w:ind w:left="0" w:right="0" w:firstLine="600"/>
              <w:jc w:val="left"/>
              <w:rPr/>
            </w:pPr>
            <w:hyperlink w:anchor="reportofindependentregisteredpublic">
              <w:r>
                <w:rPr>
                  <w:rStyle w:val="InternetLink"/>
                  <w:rFonts w:ascii="Times New Roman" w:hAnsi="Times New Roman"/>
                  <w:color w:val="0000FF"/>
                  <w:sz w:val="20"/>
                  <w:u w:val="single"/>
                </w:rPr>
                <w:t>Report of Independent Registered Public Accounting Firm</w:t>
              </w:r>
            </w:hyperlink>
            <w:r>
              <w:rPr>
                <w:rFonts w:ascii="Times New Roman" w:hAnsi="Times New Roman"/>
                <w:color w:val="0000FF"/>
                <w:sz w:val="20"/>
              </w:rPr>
              <w:t xml:space="preserve"> </w:t>
            </w:r>
            <w:r>
              <w:rPr>
                <w:rFonts w:ascii="Times New Roman" w:hAnsi="Times New Roman"/>
                <w:color w:val="0000FF"/>
                <w:sz w:val="20"/>
                <w:u w:val="single"/>
              </w:rPr>
              <w:t>(</w:t>
            </w:r>
            <w:r>
              <w:rPr>
                <w:rFonts w:ascii="Times New Roman" w:hAnsi="Times New Roman"/>
                <w:color w:val="000000"/>
                <w:sz w:val="20"/>
              </w:rPr>
              <w:t>PCAOB ID: 238)</w:t>
            </w:r>
          </w:p>
        </w:tc>
        <w:tc>
          <w:tcPr>
            <w:tcW w:w="961" w:type="dxa"/>
            <w:tcBorders/>
            <w:tcMar>
              <w:top w:w="0" w:type="dxa"/>
              <w:left w:w="0" w:type="dxa"/>
              <w:bottom w:w="0" w:type="dxa"/>
              <w:right w:w="0" w:type="dxa"/>
            </w:tcMar>
            <w:vAlign w:val="center"/>
          </w:tcPr>
          <w:p>
            <w:pPr>
              <w:pStyle w:val="TableContents"/>
              <w:bidi w:val="0"/>
              <w:spacing w:before="0" w:after="283"/>
              <w:ind w:left="0" w:right="0" w:firstLine="600"/>
              <w:jc w:val="right"/>
              <w:rPr>
                <w:rFonts w:ascii="Times New Roman" w:hAnsi="Times New Roman"/>
                <w:color w:val="000000"/>
                <w:sz w:val="20"/>
              </w:rPr>
            </w:pPr>
            <w:r>
              <w:rPr>
                <w:rFonts w:ascii="Times New Roman" w:hAnsi="Times New Roman"/>
                <w:color w:val="000000"/>
                <w:sz w:val="20"/>
              </w:rPr>
              <w:t>90</w:t>
            </w:r>
          </w:p>
        </w:tc>
      </w:tr>
      <w:tr>
        <w:trPr/>
        <w:tc>
          <w:tcPr>
            <w:tcW w:w="9244" w:type="dxa"/>
            <w:tcBorders/>
            <w:tcMar>
              <w:top w:w="0" w:type="dxa"/>
              <w:left w:w="0" w:type="dxa"/>
              <w:bottom w:w="0" w:type="dxa"/>
              <w:right w:w="0" w:type="dxa"/>
            </w:tcMar>
            <w:vAlign w:val="center"/>
          </w:tcPr>
          <w:p>
            <w:pPr>
              <w:pStyle w:val="TableContents"/>
              <w:bidi w:val="0"/>
              <w:spacing w:before="0" w:after="283"/>
              <w:ind w:left="0" w:right="0" w:firstLine="600"/>
              <w:jc w:val="left"/>
              <w:rPr/>
            </w:pPr>
            <w:hyperlink w:anchor="consolidated_statements_income">
              <w:r>
                <w:rPr>
                  <w:rStyle w:val="InternetLink"/>
                  <w:rFonts w:ascii="Times New Roman" w:hAnsi="Times New Roman"/>
                  <w:color w:val="0000FF"/>
                  <w:sz w:val="20"/>
                  <w:u w:val="single"/>
                </w:rPr>
                <w:t>Consolidated Statements of Income for December 31, 2025, 2024 and 2023</w:t>
              </w:r>
            </w:hyperlink>
          </w:p>
        </w:tc>
        <w:tc>
          <w:tcPr>
            <w:tcW w:w="961" w:type="dxa"/>
            <w:tcBorders/>
            <w:tcMar>
              <w:top w:w="0" w:type="dxa"/>
              <w:left w:w="0" w:type="dxa"/>
              <w:bottom w:w="0" w:type="dxa"/>
              <w:right w:w="0" w:type="dxa"/>
            </w:tcMar>
            <w:vAlign w:val="center"/>
          </w:tcPr>
          <w:p>
            <w:pPr>
              <w:pStyle w:val="TableContents"/>
              <w:bidi w:val="0"/>
              <w:spacing w:before="0" w:after="283"/>
              <w:ind w:left="0" w:right="0" w:firstLine="600"/>
              <w:jc w:val="right"/>
              <w:rPr>
                <w:rFonts w:ascii="Times New Roman" w:hAnsi="Times New Roman"/>
                <w:color w:val="000000"/>
                <w:sz w:val="20"/>
              </w:rPr>
            </w:pPr>
            <w:r>
              <w:rPr>
                <w:rFonts w:ascii="Times New Roman" w:hAnsi="Times New Roman"/>
                <w:color w:val="000000"/>
                <w:sz w:val="20"/>
              </w:rPr>
              <w:t>92</w:t>
            </w:r>
          </w:p>
        </w:tc>
      </w:tr>
      <w:tr>
        <w:trPr/>
        <w:tc>
          <w:tcPr>
            <w:tcW w:w="9244" w:type="dxa"/>
            <w:tcBorders/>
            <w:tcMar>
              <w:top w:w="0" w:type="dxa"/>
              <w:left w:w="0" w:type="dxa"/>
              <w:bottom w:w="0" w:type="dxa"/>
              <w:right w:w="0" w:type="dxa"/>
            </w:tcMar>
            <w:vAlign w:val="center"/>
          </w:tcPr>
          <w:p>
            <w:pPr>
              <w:pStyle w:val="TableContents"/>
              <w:bidi w:val="0"/>
              <w:spacing w:before="0" w:after="283"/>
              <w:ind w:left="0" w:right="0" w:firstLine="600"/>
              <w:jc w:val="left"/>
              <w:rPr/>
            </w:pPr>
            <w:hyperlink w:anchor="consolidated_statements_comprehensive_in">
              <w:r>
                <w:rPr>
                  <w:rStyle w:val="InternetLink"/>
                  <w:rFonts w:ascii="Times New Roman" w:hAnsi="Times New Roman"/>
                  <w:color w:val="0000FF"/>
                  <w:sz w:val="20"/>
                  <w:u w:val="single"/>
                </w:rPr>
                <w:t>Consolidated Statements of Comprehensive Income for December 31, 2025, 2024 and 2023</w:t>
              </w:r>
            </w:hyperlink>
          </w:p>
        </w:tc>
        <w:tc>
          <w:tcPr>
            <w:tcW w:w="961" w:type="dxa"/>
            <w:tcBorders/>
            <w:tcMar>
              <w:top w:w="0" w:type="dxa"/>
              <w:left w:w="0" w:type="dxa"/>
              <w:bottom w:w="0" w:type="dxa"/>
              <w:right w:w="0" w:type="dxa"/>
            </w:tcMar>
            <w:vAlign w:val="center"/>
          </w:tcPr>
          <w:p>
            <w:pPr>
              <w:pStyle w:val="TableContents"/>
              <w:bidi w:val="0"/>
              <w:spacing w:before="0" w:after="283"/>
              <w:ind w:left="0" w:right="0" w:firstLine="600"/>
              <w:jc w:val="right"/>
              <w:rPr>
                <w:rFonts w:ascii="Times New Roman" w:hAnsi="Times New Roman"/>
                <w:color w:val="000000"/>
                <w:sz w:val="20"/>
              </w:rPr>
            </w:pPr>
            <w:r>
              <w:rPr>
                <w:rFonts w:ascii="Times New Roman" w:hAnsi="Times New Roman"/>
                <w:color w:val="000000"/>
                <w:sz w:val="20"/>
              </w:rPr>
              <w:t>93</w:t>
            </w:r>
          </w:p>
        </w:tc>
      </w:tr>
      <w:tr>
        <w:trPr/>
        <w:tc>
          <w:tcPr>
            <w:tcW w:w="9244" w:type="dxa"/>
            <w:tcBorders/>
            <w:tcMar>
              <w:top w:w="0" w:type="dxa"/>
              <w:left w:w="0" w:type="dxa"/>
              <w:bottom w:w="0" w:type="dxa"/>
              <w:right w:w="0" w:type="dxa"/>
            </w:tcMar>
            <w:vAlign w:val="center"/>
          </w:tcPr>
          <w:p>
            <w:pPr>
              <w:pStyle w:val="TableContents"/>
              <w:bidi w:val="0"/>
              <w:spacing w:before="0" w:after="283"/>
              <w:ind w:left="0" w:right="0" w:firstLine="600"/>
              <w:jc w:val="left"/>
              <w:rPr/>
            </w:pPr>
            <w:hyperlink w:anchor="consolidated_balance_sheets">
              <w:r>
                <w:rPr>
                  <w:rStyle w:val="InternetLink"/>
                  <w:rFonts w:ascii="Times New Roman" w:hAnsi="Times New Roman"/>
                  <w:color w:val="0000FF"/>
                  <w:sz w:val="20"/>
                  <w:u w:val="single"/>
                </w:rPr>
                <w:t>Consolidated Balance Sheets as of December 31, 2025 and 2024</w:t>
              </w:r>
            </w:hyperlink>
          </w:p>
        </w:tc>
        <w:tc>
          <w:tcPr>
            <w:tcW w:w="961" w:type="dxa"/>
            <w:tcBorders/>
            <w:tcMar>
              <w:top w:w="0" w:type="dxa"/>
              <w:left w:w="0" w:type="dxa"/>
              <w:bottom w:w="0" w:type="dxa"/>
              <w:right w:w="0" w:type="dxa"/>
            </w:tcMar>
            <w:vAlign w:val="center"/>
          </w:tcPr>
          <w:p>
            <w:pPr>
              <w:pStyle w:val="TableContents"/>
              <w:bidi w:val="0"/>
              <w:spacing w:before="0" w:after="283"/>
              <w:ind w:left="0" w:right="0" w:firstLine="600"/>
              <w:jc w:val="right"/>
              <w:rPr>
                <w:rFonts w:ascii="Times New Roman" w:hAnsi="Times New Roman"/>
                <w:color w:val="000000"/>
                <w:sz w:val="20"/>
              </w:rPr>
            </w:pPr>
            <w:r>
              <w:rPr>
                <w:rFonts w:ascii="Times New Roman" w:hAnsi="Times New Roman"/>
                <w:color w:val="000000"/>
                <w:sz w:val="20"/>
              </w:rPr>
              <w:t>94</w:t>
            </w:r>
          </w:p>
        </w:tc>
      </w:tr>
      <w:tr>
        <w:trPr/>
        <w:tc>
          <w:tcPr>
            <w:tcW w:w="9244" w:type="dxa"/>
            <w:tcBorders/>
            <w:tcMar>
              <w:top w:w="0" w:type="dxa"/>
              <w:left w:w="0" w:type="dxa"/>
              <w:bottom w:w="0" w:type="dxa"/>
              <w:right w:w="0" w:type="dxa"/>
            </w:tcMar>
            <w:vAlign w:val="center"/>
          </w:tcPr>
          <w:p>
            <w:pPr>
              <w:pStyle w:val="TableContents"/>
              <w:bidi w:val="0"/>
              <w:spacing w:before="0" w:after="283"/>
              <w:ind w:left="0" w:right="0" w:firstLine="600"/>
              <w:jc w:val="left"/>
              <w:rPr/>
            </w:pPr>
            <w:hyperlink w:anchor="consolidated_statements_changes_in_equit">
              <w:r>
                <w:rPr>
                  <w:rStyle w:val="InternetLink"/>
                  <w:rFonts w:ascii="Times New Roman" w:hAnsi="Times New Roman"/>
                  <w:color w:val="0000FF"/>
                  <w:sz w:val="20"/>
                  <w:u w:val="single"/>
                </w:rPr>
                <w:t>Consolidated Statements of Changes in Equity for December 31, 2025, 2024 and 2023</w:t>
              </w:r>
            </w:hyperlink>
          </w:p>
        </w:tc>
        <w:tc>
          <w:tcPr>
            <w:tcW w:w="961" w:type="dxa"/>
            <w:tcBorders/>
            <w:tcMar>
              <w:top w:w="0" w:type="dxa"/>
              <w:left w:w="0" w:type="dxa"/>
              <w:bottom w:w="0" w:type="dxa"/>
              <w:right w:w="0" w:type="dxa"/>
            </w:tcMar>
            <w:vAlign w:val="center"/>
          </w:tcPr>
          <w:p>
            <w:pPr>
              <w:pStyle w:val="TableContents"/>
              <w:bidi w:val="0"/>
              <w:spacing w:before="0" w:after="283"/>
              <w:ind w:left="0" w:right="0" w:firstLine="600"/>
              <w:jc w:val="right"/>
              <w:rPr>
                <w:rFonts w:ascii="Times New Roman" w:hAnsi="Times New Roman"/>
                <w:color w:val="000000"/>
                <w:sz w:val="20"/>
              </w:rPr>
            </w:pPr>
            <w:r>
              <w:rPr>
                <w:rFonts w:ascii="Times New Roman" w:hAnsi="Times New Roman"/>
                <w:color w:val="000000"/>
                <w:sz w:val="20"/>
              </w:rPr>
              <w:t>95</w:t>
            </w:r>
          </w:p>
        </w:tc>
      </w:tr>
      <w:tr>
        <w:trPr/>
        <w:tc>
          <w:tcPr>
            <w:tcW w:w="9244" w:type="dxa"/>
            <w:tcBorders/>
            <w:tcMar>
              <w:top w:w="0" w:type="dxa"/>
              <w:left w:w="0" w:type="dxa"/>
              <w:bottom w:w="0" w:type="dxa"/>
              <w:right w:w="0" w:type="dxa"/>
            </w:tcMar>
            <w:vAlign w:val="center"/>
          </w:tcPr>
          <w:p>
            <w:pPr>
              <w:pStyle w:val="TableContents"/>
              <w:bidi w:val="0"/>
              <w:spacing w:before="0" w:after="283"/>
              <w:ind w:left="0" w:right="0" w:firstLine="600"/>
              <w:jc w:val="left"/>
              <w:rPr/>
            </w:pPr>
            <w:hyperlink w:anchor="consolidated_statements_cash_flows">
              <w:r>
                <w:rPr>
                  <w:rStyle w:val="InternetLink"/>
                  <w:rFonts w:ascii="Times New Roman" w:hAnsi="Times New Roman"/>
                  <w:color w:val="0000FF"/>
                  <w:sz w:val="20"/>
                  <w:u w:val="single"/>
                </w:rPr>
                <w:t>Consolidated Statements of Cash Flows for December 31, 2025, 2024 and 2023</w:t>
              </w:r>
            </w:hyperlink>
          </w:p>
        </w:tc>
        <w:tc>
          <w:tcPr>
            <w:tcW w:w="961" w:type="dxa"/>
            <w:tcBorders/>
            <w:tcMar>
              <w:top w:w="0" w:type="dxa"/>
              <w:left w:w="0" w:type="dxa"/>
              <w:bottom w:w="0" w:type="dxa"/>
              <w:right w:w="0" w:type="dxa"/>
            </w:tcMar>
            <w:vAlign w:val="center"/>
          </w:tcPr>
          <w:p>
            <w:pPr>
              <w:pStyle w:val="TableContents"/>
              <w:bidi w:val="0"/>
              <w:spacing w:before="0" w:after="283"/>
              <w:ind w:left="0" w:right="0" w:firstLine="600"/>
              <w:jc w:val="right"/>
              <w:rPr>
                <w:rFonts w:ascii="Times New Roman" w:hAnsi="Times New Roman"/>
                <w:color w:val="000000"/>
                <w:sz w:val="20"/>
              </w:rPr>
            </w:pPr>
            <w:r>
              <w:rPr>
                <w:rFonts w:ascii="Times New Roman" w:hAnsi="Times New Roman"/>
                <w:color w:val="000000"/>
                <w:sz w:val="20"/>
              </w:rPr>
              <w:t>98</w:t>
            </w:r>
          </w:p>
        </w:tc>
      </w:tr>
      <w:tr>
        <w:trPr/>
        <w:tc>
          <w:tcPr>
            <w:tcW w:w="9244" w:type="dxa"/>
            <w:tcBorders/>
            <w:tcMar>
              <w:top w:w="0" w:type="dxa"/>
              <w:left w:w="0" w:type="dxa"/>
              <w:bottom w:w="0" w:type="dxa"/>
              <w:right w:w="0" w:type="dxa"/>
            </w:tcMar>
            <w:vAlign w:val="center"/>
          </w:tcPr>
          <w:p>
            <w:pPr>
              <w:pStyle w:val="TableContents"/>
              <w:bidi w:val="0"/>
              <w:spacing w:before="0" w:after="283"/>
              <w:ind w:left="0" w:right="0" w:firstLine="600"/>
              <w:jc w:val="left"/>
              <w:rPr/>
            </w:pPr>
            <w:hyperlink w:anchor="notes_to_consolidated_financial_statemen">
              <w:r>
                <w:rPr>
                  <w:rStyle w:val="InternetLink"/>
                  <w:rFonts w:ascii="Times New Roman" w:hAnsi="Times New Roman"/>
                  <w:color w:val="0000FF"/>
                  <w:sz w:val="20"/>
                  <w:u w:val="single"/>
                </w:rPr>
                <w:t>Notes to Consolidated Financial Statements</w:t>
              </w:r>
            </w:hyperlink>
          </w:p>
        </w:tc>
        <w:tc>
          <w:tcPr>
            <w:tcW w:w="961" w:type="dxa"/>
            <w:tcBorders/>
            <w:tcMar>
              <w:top w:w="0" w:type="dxa"/>
              <w:left w:w="0" w:type="dxa"/>
              <w:bottom w:w="0" w:type="dxa"/>
              <w:right w:w="0" w:type="dxa"/>
            </w:tcMar>
            <w:vAlign w:val="center"/>
          </w:tcPr>
          <w:p>
            <w:pPr>
              <w:pStyle w:val="TableContents"/>
              <w:bidi w:val="0"/>
              <w:spacing w:before="0" w:after="283"/>
              <w:ind w:left="0" w:right="0" w:firstLine="600"/>
              <w:jc w:val="right"/>
              <w:rPr>
                <w:rFonts w:ascii="Times New Roman" w:hAnsi="Times New Roman"/>
                <w:color w:val="000000"/>
                <w:sz w:val="20"/>
              </w:rPr>
            </w:pPr>
            <w:r>
              <w:rPr>
                <w:rFonts w:ascii="Times New Roman" w:hAnsi="Times New Roman"/>
                <w:color w:val="000000"/>
                <w:sz w:val="20"/>
              </w:rPr>
              <w:t>99</w:t>
            </w:r>
          </w:p>
        </w:tc>
      </w:tr>
      <w:tr>
        <w:trPr/>
        <w:tc>
          <w:tcPr>
            <w:tcW w:w="9244" w:type="dxa"/>
            <w:tcBorders/>
            <w:tcMar>
              <w:top w:w="0" w:type="dxa"/>
              <w:left w:w="0" w:type="dxa"/>
              <w:bottom w:w="0" w:type="dxa"/>
              <w:right w:w="0" w:type="dxa"/>
            </w:tcMar>
            <w:vAlign w:val="center"/>
          </w:tcPr>
          <w:p>
            <w:pPr>
              <w:pStyle w:val="TableContents"/>
              <w:bidi w:val="0"/>
              <w:spacing w:before="0" w:after="283"/>
              <w:ind w:left="0" w:right="0" w:firstLine="600"/>
              <w:jc w:val="left"/>
              <w:rPr/>
            </w:pPr>
            <w:hyperlink w:anchor="scheduleii_valuation">
              <w:r>
                <w:rPr>
                  <w:rStyle w:val="InternetLink"/>
                  <w:rFonts w:ascii="Times New Roman" w:hAnsi="Times New Roman"/>
                  <w:color w:val="0000FF"/>
                  <w:sz w:val="20"/>
                  <w:u w:val="single"/>
                </w:rPr>
                <w:t>Supplemental Financial Statement Schedule II: Valuation and Qualifying Accounts as of and for December 31, 2025, 2024, and 2023</w:t>
              </w:r>
            </w:hyperlink>
          </w:p>
        </w:tc>
        <w:tc>
          <w:tcPr>
            <w:tcW w:w="9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w:t>
            </w:r>
          </w:p>
        </w:tc>
      </w:tr>
    </w:tbl>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89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9" w:name="reportofindependentregisteredpublic"/>
      <w:bookmarkEnd w:id="29"/>
      <w:r>
        <w:rPr>
          <w:rFonts w:ascii="Times New Roman" w:hAnsi="Times New Roman"/>
          <w:b/>
          <w:color w:val="000000"/>
          <w:sz w:val="20"/>
        </w:rPr>
        <w:t>Report of Independent Registered Public Accounting Firm</w:t>
      </w:r>
    </w:p>
    <w:p>
      <w:pPr>
        <w:pStyle w:val="TextBody"/>
        <w:bidi w:val="0"/>
        <w:jc w:val="left"/>
        <w:rPr/>
      </w:pPr>
      <w:r>
        <w:rPr/>
        <w:t> </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To the Board of Directors and Stockholders of Universal Health Services, Inc.</w:t>
      </w:r>
    </w:p>
    <w:p>
      <w:pPr>
        <w:pStyle w:val="TextBody"/>
        <w:bidi w:val="0"/>
        <w:spacing w:before="40" w:after="160"/>
        <w:jc w:val="left"/>
        <w:rPr>
          <w:rFonts w:ascii="Times New Roman" w:hAnsi="Times New Roman"/>
          <w:b/>
          <w:i/>
          <w:color w:val="000000"/>
          <w:sz w:val="20"/>
        </w:rPr>
      </w:pPr>
      <w:r>
        <w:rPr>
          <w:rFonts w:ascii="Times New Roman" w:hAnsi="Times New Roman"/>
          <w:b/>
          <w:i/>
          <w:color w:val="000000"/>
          <w:sz w:val="20"/>
        </w:rPr>
        <w:t>Opinions on the Financial Statements and Internal Control over Financial Reporting</w:t>
      </w:r>
    </w:p>
    <w:p>
      <w:pPr>
        <w:pStyle w:val="TextBody"/>
        <w:bidi w:val="0"/>
        <w:spacing w:before="40" w:after="160"/>
        <w:jc w:val="left"/>
        <w:rPr>
          <w:rFonts w:ascii="Times New Roman" w:hAnsi="Times New Roman"/>
          <w:sz w:val="20"/>
        </w:rPr>
      </w:pPr>
      <w:r>
        <w:rPr>
          <w:rFonts w:ascii="Times New Roman" w:hAnsi="Times New Roman"/>
          <w:color w:val="000000"/>
          <w:sz w:val="20"/>
        </w:rPr>
        <w:t xml:space="preserve">We have audited the accompanying consolidated balance sheets of Universal Health Services, Inc. and its subsidiaries (the "Company") as of December 31, 2025 and 2024, and the related consolidated statements of income, of comprehensive income, of changes in equity and of cash flows for each of the three years in the period ended December 31, 2025, including the related notes and financial statement schedule listed in the accompanying index (collectively referred to as the "consolidated financial statements"). We also have audited the Company's internal control over financial reporting as of December 31, 2025, based on criteria established in </w:t>
      </w:r>
      <w:r>
        <w:rPr>
          <w:rFonts w:ascii="Times New Roman" w:hAnsi="Times New Roman"/>
          <w:i/>
          <w:color w:val="000000"/>
          <w:sz w:val="20"/>
        </w:rPr>
        <w:t>Internal Control - Integrated Framework</w:t>
      </w:r>
      <w:r>
        <w:rPr>
          <w:rFonts w:ascii="Times New Roman" w:hAnsi="Times New Roman"/>
          <w:color w:val="000000"/>
          <w:sz w:val="20"/>
        </w:rPr>
        <w:t xml:space="preserve"> (2013) issued by the Committee of Sponsoring Organizations of the Treadway Commission (COSO).</w:t>
      </w:r>
    </w:p>
    <w:p>
      <w:pPr>
        <w:pStyle w:val="TextBody"/>
        <w:bidi w:val="0"/>
        <w:spacing w:before="40" w:after="160"/>
        <w:jc w:val="left"/>
        <w:rPr>
          <w:rFonts w:ascii="Times New Roman" w:hAnsi="Times New Roman"/>
          <w:sz w:val="20"/>
        </w:rPr>
      </w:pPr>
      <w:r>
        <w:rPr>
          <w:rFonts w:ascii="Times New Roman" w:hAnsi="Times New Roman"/>
          <w:color w:val="000000"/>
          <w:sz w:val="20"/>
        </w:rPr>
        <w:t xml:space="preserve">In our opinion, the consolidated financial statements referred to above present fairly, in all material respects, the financial position of the Company as of December 31, 2025 and 2024, and the results of its operations and its cash flows for each of the three years in the period ended December 31, 2025 in conformity with accounting principles generally accepted in the United States of America. Also in our opinion, the Company maintained, in all material respects, effective internal control over financial reporting as of December 31, 2025, based on criteria established in </w:t>
      </w:r>
      <w:r>
        <w:rPr>
          <w:rFonts w:ascii="Times New Roman" w:hAnsi="Times New Roman"/>
          <w:i/>
          <w:color w:val="000000"/>
          <w:sz w:val="20"/>
        </w:rPr>
        <w:t>Internal Control - Integrated Framework</w:t>
      </w:r>
      <w:r>
        <w:rPr>
          <w:rFonts w:ascii="Times New Roman" w:hAnsi="Times New Roman"/>
          <w:color w:val="000000"/>
          <w:sz w:val="20"/>
        </w:rPr>
        <w:t xml:space="preserve"> (2013) issued by the COSO.</w:t>
      </w:r>
    </w:p>
    <w:p>
      <w:pPr>
        <w:pStyle w:val="TextBody"/>
        <w:bidi w:val="0"/>
        <w:spacing w:before="40" w:after="160"/>
        <w:jc w:val="left"/>
        <w:rPr>
          <w:rFonts w:ascii="Times New Roman" w:hAnsi="Times New Roman"/>
          <w:b/>
          <w:i/>
          <w:color w:val="000000"/>
          <w:sz w:val="20"/>
        </w:rPr>
      </w:pPr>
      <w:r>
        <w:rPr>
          <w:rFonts w:ascii="Times New Roman" w:hAnsi="Times New Roman"/>
          <w:b/>
          <w:i/>
          <w:color w:val="000000"/>
          <w:sz w:val="20"/>
        </w:rPr>
        <w:t>Basis for Opinions</w:t>
      </w:r>
    </w:p>
    <w:p>
      <w:pPr>
        <w:pStyle w:val="TextBody"/>
        <w:bidi w:val="0"/>
        <w:spacing w:before="40" w:after="160"/>
        <w:jc w:val="left"/>
        <w:rPr>
          <w:rFonts w:ascii="Times New Roman" w:hAnsi="Times New Roman"/>
          <w:color w:val="000000"/>
          <w:sz w:val="20"/>
        </w:rPr>
      </w:pPr>
      <w:r>
        <w:rPr>
          <w:rFonts w:ascii="Times New Roman" w:hAnsi="Times New Roman"/>
          <w:color w:val="000000"/>
          <w:sz w:val="20"/>
        </w:rPr>
        <w:t>The Company's management is responsible for these consolidated financial statements,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40" w:after="160"/>
        <w:jc w:val="left"/>
        <w:rPr>
          <w:rFonts w:ascii="Times New Roman" w:hAnsi="Times New Roman"/>
          <w:color w:val="000000"/>
          <w:sz w:val="20"/>
        </w:rPr>
      </w:pPr>
      <w:r>
        <w:rPr>
          <w:rFonts w:ascii="Times New Roman" w:hAnsi="Times New Roman"/>
          <w:color w:val="000000"/>
          <w:sz w:val="20"/>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pStyle w:val="TextBody"/>
        <w:bidi w:val="0"/>
        <w:spacing w:before="40" w:after="160"/>
        <w:jc w:val="left"/>
        <w:rPr>
          <w:rFonts w:ascii="Times New Roman" w:hAnsi="Times New Roman"/>
          <w:color w:val="000000"/>
          <w:sz w:val="20"/>
        </w:rPr>
      </w:pPr>
      <w:r>
        <w:rPr>
          <w:rFonts w:ascii="Times New Roman" w:hAnsi="Times New Roman"/>
          <w:color w:val="000000"/>
          <w:sz w:val="20"/>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pStyle w:val="TextBody"/>
        <w:bidi w:val="0"/>
        <w:spacing w:before="40" w:after="160"/>
        <w:jc w:val="left"/>
        <w:rPr>
          <w:rFonts w:ascii="Times New Roman" w:hAnsi="Times New Roman"/>
          <w:b/>
          <w:i/>
          <w:color w:val="000000"/>
          <w:sz w:val="20"/>
        </w:rPr>
      </w:pPr>
      <w:r>
        <w:rPr>
          <w:rFonts w:ascii="Times New Roman" w:hAnsi="Times New Roman"/>
          <w:b/>
          <w:i/>
          <w:color w:val="000000"/>
          <w:sz w:val="20"/>
        </w:rPr>
        <w:t>Definition and Limitations of Internal Control over Financial Reporting</w:t>
      </w:r>
    </w:p>
    <w:p>
      <w:pPr>
        <w:pStyle w:val="TextBody"/>
        <w:bidi w:val="0"/>
        <w:spacing w:before="40" w:after="160"/>
        <w:jc w:val="left"/>
        <w:rPr>
          <w:rFonts w:ascii="Times New Roman" w:hAnsi="Times New Roman"/>
          <w:color w:val="000000"/>
          <w:sz w:val="20"/>
        </w:rPr>
      </w:pPr>
      <w:r>
        <w:rPr>
          <w:rFonts w:ascii="Times New Roman" w:hAnsi="Times New Roman"/>
          <w:color w:val="000000"/>
          <w:sz w:val="20"/>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pStyle w:val="TextBody"/>
        <w:bidi w:val="0"/>
        <w:spacing w:before="40" w:after="160"/>
        <w:jc w:val="left"/>
        <w:rPr>
          <w:rFonts w:ascii="Times New Roman" w:hAnsi="Times New Roman"/>
          <w:color w:val="000000"/>
          <w:sz w:val="20"/>
        </w:rPr>
      </w:pPr>
      <w:r>
        <w:rPr>
          <w:rFonts w:ascii="Times New Roman" w:hAnsi="Times New Roman"/>
          <w:color w:val="000000"/>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90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Critical Audit Matters</w:t>
      </w:r>
    </w:p>
    <w:p>
      <w:pPr>
        <w:pStyle w:val="TextBody"/>
        <w:bidi w:val="0"/>
        <w:spacing w:before="200" w:after="160"/>
        <w:jc w:val="left"/>
        <w:rPr>
          <w:rFonts w:ascii="Times New Roman" w:hAnsi="Times New Roman"/>
          <w:color w:val="000000"/>
          <w:sz w:val="20"/>
        </w:rPr>
      </w:pPr>
      <w:r>
        <w:rPr>
          <w:rFonts w:ascii="Times New Roman" w:hAnsi="Times New Roman"/>
          <w:color w:val="000000"/>
          <w:sz w:val="20"/>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pStyle w:val="TextBody"/>
        <w:bidi w:val="0"/>
        <w:spacing w:before="40" w:after="283"/>
        <w:jc w:val="left"/>
        <w:rPr>
          <w:rFonts w:ascii="Times New Roman" w:hAnsi="Times New Roman"/>
          <w:i/>
          <w:color w:val="000000"/>
          <w:sz w:val="20"/>
        </w:rPr>
      </w:pPr>
      <w:r>
        <w:rPr>
          <w:rFonts w:ascii="Times New Roman" w:hAnsi="Times New Roman"/>
          <w:i/>
          <w:color w:val="000000"/>
          <w:sz w:val="20"/>
        </w:rPr>
        <w:t>Valuation of accounts receivable</w:t>
      </w:r>
    </w:p>
    <w:p>
      <w:pPr>
        <w:pStyle w:val="TextBody"/>
        <w:bidi w:val="0"/>
        <w:spacing w:before="200" w:after="160"/>
        <w:jc w:val="left"/>
        <w:rPr>
          <w:rFonts w:ascii="Times New Roman" w:hAnsi="Times New Roman"/>
          <w:color w:val="000000"/>
          <w:sz w:val="20"/>
        </w:rPr>
      </w:pPr>
      <w:r>
        <w:rPr>
          <w:rFonts w:ascii="Times New Roman" w:hAnsi="Times New Roman"/>
          <w:color w:val="000000"/>
          <w:sz w:val="20"/>
        </w:rPr>
        <w:t xml:space="preserve">As described in Notes 1 and 10 to the consolidated financial statements, the Company reports net patient service revenue at the estimated net realizable amounts from patients and third-party payers and others for services rendered. The Company has agreements with third-party payers that provide for payments to the Company at amounts different from established rates. Payment arrangements include rates per discharge, reimbursed costs, discounted charges and per diem payments. Estimates of contractual allowances, which represent explicit price concessions, under managed care plans are based upon the payment terms specified in the related contractual agreements. Management estimates Medicare and Medicaid revenues using the latest available financial information, patient utilization data, government provided data and in accordance with applicable Medicare and Medicaid payment rules and regulations. Management monitors the historical collection rates, as well as changes in applicable laws, rules and regulations and contract terms, to assure that provisions are made using the most accurate information available. In addition to explicit price concessions, management estimates revenue adjustments for implicit price concessions based on general factors such as payer mix, the aging of the receivables and historical collection experience. Management routinely reviews accounts receivable balances in conjunction with these factors and other economic conditions which might ultimately affect the collectability of the patient accounts and make adjustments to the allowances as warranted. As of December 31, 2025, the net accounts receivable balance was $2.6 billion. </w:t>
      </w:r>
    </w:p>
    <w:p>
      <w:pPr>
        <w:pStyle w:val="TextBody"/>
        <w:bidi w:val="0"/>
        <w:spacing w:before="40" w:after="160"/>
        <w:jc w:val="left"/>
        <w:rPr>
          <w:rFonts w:ascii="Times New Roman" w:hAnsi="Times New Roman"/>
          <w:color w:val="000000"/>
          <w:sz w:val="20"/>
        </w:rPr>
      </w:pPr>
      <w:r>
        <w:rPr>
          <w:rFonts w:ascii="Times New Roman" w:hAnsi="Times New Roman"/>
          <w:color w:val="000000"/>
          <w:sz w:val="20"/>
        </w:rPr>
        <w:t xml:space="preserve">The principal considerations for our determination that performing procedures relating to the valuation of accounts receivable is a critical audit matter are the significant judgment by management in estimating net accounts receivable, specifically as it relates to developing the estimate for explicit and implicit price concessions, which in turn led to significant auditor judgment, subjectivity and effort in performing procedures and evaluating audit evidence obtained related to the estimation of price concessions. </w:t>
      </w:r>
    </w:p>
    <w:p>
      <w:pPr>
        <w:pStyle w:val="TextBody"/>
        <w:bidi w:val="0"/>
        <w:spacing w:before="40" w:after="160"/>
        <w:jc w:val="left"/>
        <w:rPr>
          <w:rFonts w:ascii="Times New Roman" w:hAnsi="Times New Roman"/>
          <w:color w:val="000000"/>
          <w:sz w:val="20"/>
        </w:rPr>
      </w:pPr>
      <w:r>
        <w:rPr>
          <w:rFonts w:ascii="Times New Roman" w:hAnsi="Times New Roman"/>
          <w:color w:val="000000"/>
          <w:sz w:val="20"/>
        </w:rPr>
        <w:t>Addressing the matter involved performing procedures and evaluating audit evidence in connection with forming our overall opinion on the consolidated financial statements. These procedures included testing the effectiveness of controls relating to the valuation of accounts receivable, including controls over management’s valuation approach, assumptions and data used to estimate the explicit and implicit price concessions. These procedures also included, among others, (i) testing management’s process for developing the estimate for price concessions, as well as the relevance of the historical billing and collection data as an input to the valuation approach; (ii) testing the accuracy of a sample of revenue transactions and a sample of cash collections from the historical billing data and historical collection data used in management’s estimation of price concessions; (iii) evaluating the historical accuracy of management’s process for developing the estimate of the amount which will ultimately be collected by comparing actual cash collections to the previously recorded net accounts receivable balance; and (iv) developing an independent expectation of the net accounts receivable balance. Developing an independent expectation involved calculating the percentage of cash collections as compared to the recorded net accounts receivable balance as of the end of the prior year, applying those calculated percentages to the recorded accounts receivable balance as of December 31, 2025, and comparing the calculated balance to management’s estimate of the net accounts receivable balance.</w:t>
      </w:r>
    </w:p>
    <w:p>
      <w:pPr>
        <w:pStyle w:val="TextBody"/>
        <w:bidi w:val="0"/>
        <w:jc w:val="left"/>
        <w:rPr>
          <w:rFonts w:ascii="Times New Roman" w:hAnsi="Times New Roman"/>
          <w:color w:val="000000"/>
          <w:sz w:val="20"/>
        </w:rPr>
      </w:pPr>
      <w:r>
        <w:rPr>
          <w:rFonts w:ascii="Times New Roman" w:hAnsi="Times New Roman"/>
          <w:color w:val="000000"/>
          <w:sz w:val="20"/>
        </w:rPr>
        <w:t xml:space="preserve">/s/ PricewaterhouseCoopers LLP </w:t>
      </w:r>
    </w:p>
    <w:p>
      <w:pPr>
        <w:pStyle w:val="TextBody"/>
        <w:bidi w:val="0"/>
        <w:jc w:val="left"/>
        <w:rPr>
          <w:rFonts w:ascii="Times New Roman" w:hAnsi="Times New Roman"/>
          <w:color w:val="000000"/>
          <w:sz w:val="20"/>
        </w:rPr>
      </w:pPr>
      <w:r>
        <w:rPr>
          <w:rFonts w:ascii="Times New Roman" w:hAnsi="Times New Roman"/>
          <w:color w:val="000000"/>
          <w:sz w:val="20"/>
        </w:rPr>
        <w:t>Philadelphia, Pennsylvania</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February 25, 2026</w:t>
      </w:r>
    </w:p>
    <w:p>
      <w:pPr>
        <w:pStyle w:val="TextBody"/>
        <w:bidi w:val="0"/>
        <w:spacing w:before="40" w:after="160"/>
        <w:jc w:val="left"/>
        <w:rPr>
          <w:rFonts w:ascii="Times New Roman" w:hAnsi="Times New Roman"/>
          <w:color w:val="000000"/>
          <w:sz w:val="20"/>
        </w:rPr>
      </w:pPr>
      <w:r>
        <w:rPr>
          <w:rFonts w:ascii="Times New Roman" w:hAnsi="Times New Roman"/>
          <w:color w:val="000000"/>
          <w:sz w:val="20"/>
        </w:rPr>
        <w:t>We have served as the Company’s auditor since 2007.</w:t>
      </w:r>
    </w:p>
    <w:p>
      <w:pPr>
        <w:pStyle w:val="TextBody"/>
        <w:bidi w:val="0"/>
        <w:jc w:val="left"/>
        <w:rPr/>
      </w:pPr>
      <w:r>
        <w:rPr/>
        <w:t> </w:t>
      </w:r>
    </w:p>
    <w:p>
      <w:pPr>
        <w:pStyle w:val="TextBody"/>
        <w:bidi w:val="0"/>
        <w:spacing w:before="240" w:after="283"/>
        <w:jc w:val="left"/>
        <w:rPr/>
      </w:pPr>
      <w:r>
        <w:rPr/>
        <w:t> </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91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UNIVERSAL HEALTH SERVICES, INC. AND SUBSIDIARIES</w:t>
      </w:r>
    </w:p>
    <w:p>
      <w:pPr>
        <w:pStyle w:val="TextBody"/>
        <w:bidi w:val="0"/>
        <w:jc w:val="center"/>
        <w:rPr>
          <w:rFonts w:ascii="Times New Roman" w:hAnsi="Times New Roman"/>
          <w:b/>
          <w:color w:val="000000"/>
          <w:sz w:val="20"/>
        </w:rPr>
      </w:pPr>
      <w:bookmarkStart w:id="30" w:name="consolidated_statements_income"/>
      <w:bookmarkEnd w:id="30"/>
      <w:r>
        <w:rPr>
          <w:rFonts w:ascii="Times New Roman" w:hAnsi="Times New Roman"/>
          <w:b/>
          <w:color w:val="000000"/>
          <w:sz w:val="20"/>
        </w:rPr>
        <w:t>CONSOLIDATED STATEMENTS OF INCOME</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223"/>
        <w:gridCol w:w="146"/>
        <w:gridCol w:w="211"/>
        <w:gridCol w:w="1036"/>
        <w:gridCol w:w="166"/>
        <w:gridCol w:w="146"/>
        <w:gridCol w:w="211"/>
        <w:gridCol w:w="1036"/>
        <w:gridCol w:w="166"/>
        <w:gridCol w:w="146"/>
        <w:gridCol w:w="211"/>
        <w:gridCol w:w="1036"/>
        <w:gridCol w:w="471"/>
      </w:tblGrid>
      <w:tr>
        <w:trPr/>
        <w:tc>
          <w:tcPr>
            <w:tcW w:w="522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r>
      <w:tr>
        <w:trPr/>
        <w:tc>
          <w:tcPr>
            <w:tcW w:w="522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36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22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22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365"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(in thousands, except per share data)</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2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17,364,829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15,827,935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14,281,976</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charges: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5223"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color w:val="000000"/>
                <w:sz w:val="20"/>
              </w:rPr>
            </w:pPr>
            <w:r>
              <w:rPr>
                <w:rFonts w:ascii="Times New Roman" w:hAnsi="Times New Roman"/>
                <w:color w:val="000000"/>
                <w:sz w:val="20"/>
              </w:rPr>
              <w:t>Salaries, wages and benefits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8,084,582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7,518,687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7,107,484</w:t>
            </w:r>
          </w:p>
        </w:tc>
        <w:tc>
          <w:tcPr>
            <w:tcW w:w="47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5223"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color w:val="000000"/>
                <w:sz w:val="20"/>
              </w:rPr>
            </w:pPr>
            <w:r>
              <w:rPr>
                <w:rFonts w:ascii="Times New Roman" w:hAnsi="Times New Roman"/>
                <w:color w:val="000000"/>
                <w:sz w:val="20"/>
              </w:rPr>
              <w:t>Other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4,860,246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4,308,384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3,757,216</w:t>
            </w:r>
          </w:p>
        </w:tc>
        <w:tc>
          <w:tcPr>
            <w:tcW w:w="4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5223"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color w:val="000000"/>
                <w:sz w:val="20"/>
              </w:rPr>
            </w:pPr>
            <w:r>
              <w:rPr>
                <w:rFonts w:ascii="Times New Roman" w:hAnsi="Times New Roman"/>
                <w:color w:val="000000"/>
                <w:sz w:val="20"/>
              </w:rPr>
              <w:t>Supplies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1,659,009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1,587,786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1,532,828</w:t>
            </w:r>
          </w:p>
        </w:tc>
        <w:tc>
          <w:tcPr>
            <w:tcW w:w="47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5223"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618,743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584,831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568,041</w:t>
            </w:r>
          </w:p>
        </w:tc>
        <w:tc>
          <w:tcPr>
            <w:tcW w:w="4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5223"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color w:val="000000"/>
                <w:sz w:val="20"/>
              </w:rPr>
            </w:pPr>
            <w:r>
              <w:rPr>
                <w:rFonts w:ascii="Times New Roman" w:hAnsi="Times New Roman"/>
                <w:color w:val="000000"/>
                <w:sz w:val="20"/>
              </w:rPr>
              <w:t>Lease and rental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148,234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146,433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141,026</w:t>
            </w:r>
          </w:p>
        </w:tc>
        <w:tc>
          <w:tcPr>
            <w:tcW w:w="4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15,370,814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14,146,121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13,106,595</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2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1,994,015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1,681,814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1,175,381</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156,068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186,109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206,674</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(134,194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28,281</w:t>
            </w:r>
          </w:p>
        </w:tc>
        <w:tc>
          <w:tcPr>
            <w:tcW w:w="4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2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before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1,972,141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1,497,936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940,426</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for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460,959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334,827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221,119</w:t>
            </w:r>
          </w:p>
        </w:tc>
        <w:tc>
          <w:tcPr>
            <w:tcW w:w="4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2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1,511,182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1,163,109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719,307</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Net income (loss) attributable to noncontrolling interests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22,386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21,012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1,512</w:t>
            </w:r>
          </w:p>
        </w:tc>
        <w:tc>
          <w:tcPr>
            <w:tcW w:w="4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2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attributable to UHS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1,488,796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1,142,097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717,795</w:t>
            </w:r>
          </w:p>
        </w:tc>
        <w:tc>
          <w:tcPr>
            <w:tcW w:w="4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2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Basic earnings per share attributable to UHS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10.35</w:t>
            </w:r>
          </w:p>
        </w:tc>
        <w:tc>
          <w:tcPr>
            <w:tcW w:w="4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2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Diluted earnings per share attributable to UHS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10.23</w:t>
            </w:r>
          </w:p>
        </w:tc>
        <w:tc>
          <w:tcPr>
            <w:tcW w:w="4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2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number of common shares—basic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63,581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66,554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69,321</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 Other share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804</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2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number of common shares and equivalents—diluted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64,462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67,896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70,125</w:t>
            </w:r>
          </w:p>
        </w:tc>
        <w:tc>
          <w:tcPr>
            <w:tcW w:w="4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consolidated financial statements.</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92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UNIVERSAL HEALTH SERVICES, INC. AND SUBSIDIARIES</w:t>
      </w:r>
    </w:p>
    <w:p>
      <w:pPr>
        <w:pStyle w:val="TextBody"/>
        <w:bidi w:val="0"/>
        <w:jc w:val="center"/>
        <w:rPr>
          <w:rFonts w:ascii="Times New Roman" w:hAnsi="Times New Roman"/>
          <w:b/>
          <w:color w:val="000000"/>
          <w:sz w:val="20"/>
        </w:rPr>
      </w:pPr>
      <w:bookmarkStart w:id="31" w:name="consolidated_statements_comprehensive_in"/>
      <w:bookmarkEnd w:id="31"/>
      <w:r>
        <w:rPr>
          <w:rFonts w:ascii="Times New Roman" w:hAnsi="Times New Roman"/>
          <w:b/>
          <w:color w:val="000000"/>
          <w:sz w:val="20"/>
        </w:rPr>
        <w:t>CONSOLIDATED STATEMENTS OF COMPREHENSIVE INCOME</w:t>
      </w:r>
    </w:p>
    <w:p>
      <w:pPr>
        <w:pStyle w:val="TextBody"/>
        <w:bidi w:val="0"/>
        <w:jc w:val="left"/>
        <w:rPr/>
      </w:pPr>
      <w:r>
        <w:rPr/>
        <w:t> </w:t>
      </w:r>
    </w:p>
    <w:tbl>
      <w:tblPr>
        <w:tblW w:w="9878" w:type="dxa"/>
        <w:jc w:val="left"/>
        <w:tblInd w:w="0" w:type="dxa"/>
        <w:tblLayout w:type="fixed"/>
        <w:tblCellMar>
          <w:top w:w="28" w:type="dxa"/>
          <w:left w:w="28" w:type="dxa"/>
          <w:bottom w:w="28" w:type="dxa"/>
          <w:right w:w="28" w:type="dxa"/>
        </w:tblCellMar>
      </w:tblPr>
      <w:tblGrid>
        <w:gridCol w:w="5461"/>
        <w:gridCol w:w="146"/>
        <w:gridCol w:w="211"/>
        <w:gridCol w:w="931"/>
        <w:gridCol w:w="146"/>
        <w:gridCol w:w="146"/>
        <w:gridCol w:w="211"/>
        <w:gridCol w:w="931"/>
        <w:gridCol w:w="166"/>
        <w:gridCol w:w="146"/>
        <w:gridCol w:w="211"/>
        <w:gridCol w:w="781"/>
        <w:gridCol w:w="391"/>
      </w:tblGrid>
      <w:tr>
        <w:trPr/>
        <w:tc>
          <w:tcPr>
            <w:tcW w:w="54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54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8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4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4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80"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(Dollar amounts in thousands)</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4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1,511,182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1,163,109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719,307</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4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Minimum pension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4,166</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4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Foreign currency translation adjustment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15,271</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4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4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income (loss) before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40,856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19,437</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expense related to items of other</w:t>
              <w:br/>
              <w:t>   comprehensive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4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other comprehensive income (loss), net of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40,582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18,957</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4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Comprehensive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1,551,764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1,161,021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738,264</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Comprehensive loss (income) attributable to noncontrolling</w:t>
              <w:br/>
              <w:t>   interests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22,386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21,012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1,512</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4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Comprehensive income attributable to UHS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1,529,378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1,140,009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736,752</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consolidated financial statements.</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93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16"/>
        </w:rPr>
      </w:pPr>
      <w:r>
        <w:rPr>
          <w:rFonts w:ascii="Times New Roman" w:hAnsi="Times New Roman"/>
          <w:b/>
          <w:color w:val="000000"/>
          <w:sz w:val="16"/>
        </w:rPr>
        <w:t>UNIVERSAL HEALTH SERVICES, INC. AND SUBSIDIARIES</w:t>
      </w:r>
    </w:p>
    <w:p>
      <w:pPr>
        <w:pStyle w:val="TextBody"/>
        <w:bidi w:val="0"/>
        <w:jc w:val="center"/>
        <w:rPr>
          <w:rFonts w:ascii="Times New Roman" w:hAnsi="Times New Roman"/>
          <w:b/>
          <w:color w:val="000000"/>
          <w:sz w:val="16"/>
        </w:rPr>
      </w:pPr>
      <w:bookmarkStart w:id="32" w:name="consolidated_balance_sheets"/>
      <w:bookmarkEnd w:id="32"/>
      <w:r>
        <w:rPr>
          <w:rFonts w:ascii="Times New Roman" w:hAnsi="Times New Roman"/>
          <w:b/>
          <w:color w:val="000000"/>
          <w:sz w:val="16"/>
        </w:rPr>
        <w:t>CONSOLIDATED BALANCE SHEETS</w:t>
      </w:r>
    </w:p>
    <w:p>
      <w:pPr>
        <w:pStyle w:val="TextBody"/>
        <w:bidi w:val="0"/>
        <w:jc w:val="left"/>
        <w:rPr/>
      </w:pPr>
      <w:r>
        <w:rPr/>
        <w:t> </w:t>
      </w:r>
    </w:p>
    <w:tbl>
      <w:tblPr>
        <w:tblW w:w="10124" w:type="dxa"/>
        <w:jc w:val="left"/>
        <w:tblInd w:w="0" w:type="dxa"/>
        <w:tblLayout w:type="fixed"/>
        <w:tblCellMar>
          <w:top w:w="28" w:type="dxa"/>
          <w:left w:w="28" w:type="dxa"/>
          <w:bottom w:w="28" w:type="dxa"/>
          <w:right w:w="28" w:type="dxa"/>
        </w:tblCellMar>
      </w:tblPr>
      <w:tblGrid>
        <w:gridCol w:w="6651"/>
        <w:gridCol w:w="146"/>
        <w:gridCol w:w="196"/>
        <w:gridCol w:w="916"/>
        <w:gridCol w:w="166"/>
        <w:gridCol w:w="146"/>
        <w:gridCol w:w="196"/>
        <w:gridCol w:w="916"/>
        <w:gridCol w:w="791"/>
      </w:tblGrid>
      <w:tr>
        <w:trPr/>
        <w:tc>
          <w:tcPr>
            <w:tcW w:w="66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r>
      <w:tr>
        <w:trPr/>
        <w:tc>
          <w:tcPr>
            <w:tcW w:w="66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December 31,</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6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2024</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6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3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(Dollar amounts in thousands)</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65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137,797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125,983</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Accounts receivable,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2,602,434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2,177,751</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Supplies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232,110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220,940</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435,574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291,614</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65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Total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3,407,915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2,816,288</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Land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759,281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745,706</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Buildings and improvements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8,076,327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7,671,206</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3,393,692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3,260,350</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Property under finance lease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129,012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125,018</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6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12,358,312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11,802,280</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Accumulated depreciation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(6,481,714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(6,071,058</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66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5,876,598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5,731,222</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Construction-in-progress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1,131,499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841,003</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6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7,008,097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6,572,225</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Goodwill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3,990,213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3,932,879</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Deferred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70,517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118,449</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Right of use assets-operating leases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374,239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418,719</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Deferred charges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9,272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9,404</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667,340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601,785</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6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5,111,581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5,081,236</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15,527,593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14,469,749</w:t>
            </w:r>
          </w:p>
        </w:tc>
        <w:tc>
          <w:tcPr>
            <w:tcW w:w="7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65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Current maturities of long-term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748,158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40,059</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750,134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632,001</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Accrued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65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Compensation and related benefits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681,583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622,625</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65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26,197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30,250</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65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Taxes other than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267,898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161,683</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65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73,237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74,649</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65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690,464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634,920</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65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Current federal and state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14,219</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665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6"/>
              </w:rPr>
            </w:pPr>
            <w:r>
              <w:rPr>
                <w:rFonts w:ascii="Times New Roman" w:hAnsi="Times New Roman"/>
                <w:color w:val="000000"/>
                <w:sz w:val="16"/>
              </w:rPr>
              <w:t>Total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3,239,601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2,210,406</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6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 noncurrent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527,827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655,806</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Operating lease liabilities noncurrent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340,715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376,239</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Deferred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Long-term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4,004,393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4,464,482</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Commitments and contingencies (Note 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Redeemable noncontrolling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70,620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13,293</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16"/>
              </w:rPr>
              <w:t>Class A Common Stock, voting, $.01</w:t>
            </w:r>
            <w:r>
              <w:rPr>
                <w:rFonts w:ascii="Times New Roman" w:hAnsi="Times New Roman"/>
                <w:color w:val="000000"/>
                <w:sz w:val="20"/>
              </w:rPr>
              <w:t> </w:t>
            </w:r>
            <w:r>
              <w:rPr>
                <w:rFonts w:ascii="Times New Roman" w:hAnsi="Times New Roman"/>
                <w:color w:val="000000"/>
                <w:sz w:val="16"/>
              </w:rPr>
              <w:t>par value; authorized 12,000,000</w:t>
            </w:r>
            <w:r>
              <w:rPr>
                <w:rFonts w:ascii="Times New Roman" w:hAnsi="Times New Roman"/>
                <w:color w:val="000000"/>
                <w:sz w:val="20"/>
              </w:rPr>
              <w:t> </w:t>
            </w:r>
            <w:r>
              <w:rPr>
                <w:rFonts w:ascii="Times New Roman" w:hAnsi="Times New Roman"/>
                <w:color w:val="000000"/>
                <w:sz w:val="16"/>
              </w:rPr>
              <w:t>shares: issued</w:t>
              <w:br/>
              <w:t>   and outstanding 6,574,600</w:t>
            </w:r>
            <w:r>
              <w:rPr>
                <w:rFonts w:ascii="Times New Roman" w:hAnsi="Times New Roman"/>
                <w:color w:val="000000"/>
                <w:sz w:val="20"/>
              </w:rPr>
              <w:t> </w:t>
            </w:r>
            <w:r>
              <w:rPr>
                <w:rFonts w:ascii="Times New Roman" w:hAnsi="Times New Roman"/>
                <w:color w:val="000000"/>
                <w:sz w:val="16"/>
              </w:rPr>
              <w:t>shares in 2025 and 6,576,475</w:t>
            </w:r>
            <w:r>
              <w:rPr>
                <w:rFonts w:ascii="Times New Roman" w:hAnsi="Times New Roman"/>
                <w:color w:val="000000"/>
                <w:sz w:val="20"/>
              </w:rPr>
              <w:t> </w:t>
            </w:r>
            <w:r>
              <w:rPr>
                <w:rFonts w:ascii="Times New Roman" w:hAnsi="Times New Roman"/>
                <w:color w:val="000000"/>
                <w:sz w:val="16"/>
              </w:rPr>
              <w:t>shares in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16"/>
              </w:rPr>
              <w:t>Class B Common Stock, limited voting, $.01</w:t>
            </w:r>
            <w:r>
              <w:rPr>
                <w:rFonts w:ascii="Times New Roman" w:hAnsi="Times New Roman"/>
                <w:color w:val="000000"/>
                <w:sz w:val="20"/>
              </w:rPr>
              <w:t> </w:t>
            </w:r>
            <w:r>
              <w:rPr>
                <w:rFonts w:ascii="Times New Roman" w:hAnsi="Times New Roman"/>
                <w:color w:val="000000"/>
                <w:sz w:val="16"/>
              </w:rPr>
              <w:t>par value; authorized 150,000,000</w:t>
              <w:br/>
              <w:t>   shares: issued and outstanding 53,815,223</w:t>
            </w:r>
            <w:r>
              <w:rPr>
                <w:rFonts w:ascii="Times New Roman" w:hAnsi="Times New Roman"/>
                <w:color w:val="000000"/>
                <w:sz w:val="20"/>
              </w:rPr>
              <w:t> </w:t>
            </w:r>
            <w:r>
              <w:rPr>
                <w:rFonts w:ascii="Times New Roman" w:hAnsi="Times New Roman"/>
                <w:color w:val="000000"/>
                <w:sz w:val="16"/>
              </w:rPr>
              <w:t>shares in 2025 and 57,726,557</w:t>
            </w:r>
            <w:r>
              <w:rPr>
                <w:rFonts w:ascii="Times New Roman" w:hAnsi="Times New Roman"/>
                <w:color w:val="000000"/>
                <w:sz w:val="20"/>
              </w:rPr>
              <w:t> </w:t>
            </w:r>
            <w:r>
              <w:rPr>
                <w:rFonts w:ascii="Times New Roman" w:hAnsi="Times New Roman"/>
                <w:color w:val="000000"/>
                <w:sz w:val="16"/>
              </w:rPr>
              <w:t>shares in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577</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16"/>
              </w:rPr>
              <w:t>Class C Common Stock, voting, $.01</w:t>
            </w:r>
            <w:r>
              <w:rPr>
                <w:rFonts w:ascii="Times New Roman" w:hAnsi="Times New Roman"/>
                <w:color w:val="000000"/>
                <w:sz w:val="20"/>
              </w:rPr>
              <w:t> </w:t>
            </w:r>
            <w:r>
              <w:rPr>
                <w:rFonts w:ascii="Times New Roman" w:hAnsi="Times New Roman"/>
                <w:color w:val="000000"/>
                <w:sz w:val="16"/>
              </w:rPr>
              <w:t>par value; authorized 1,200,000</w:t>
            </w:r>
            <w:r>
              <w:rPr>
                <w:rFonts w:ascii="Times New Roman" w:hAnsi="Times New Roman"/>
                <w:color w:val="000000"/>
                <w:sz w:val="20"/>
              </w:rPr>
              <w:t> </w:t>
            </w:r>
            <w:r>
              <w:rPr>
                <w:rFonts w:ascii="Times New Roman" w:hAnsi="Times New Roman"/>
                <w:color w:val="000000"/>
                <w:sz w:val="16"/>
              </w:rPr>
              <w:t>shares: issued</w:t>
              <w:br/>
              <w:t>   and outstanding 661,688</w:t>
            </w:r>
            <w:r>
              <w:rPr>
                <w:rFonts w:ascii="Times New Roman" w:hAnsi="Times New Roman"/>
                <w:color w:val="000000"/>
                <w:sz w:val="20"/>
              </w:rPr>
              <w:t> </w:t>
            </w:r>
            <w:r>
              <w:rPr>
                <w:rFonts w:ascii="Times New Roman" w:hAnsi="Times New Roman"/>
                <w:color w:val="000000"/>
                <w:sz w:val="16"/>
              </w:rPr>
              <w:t>shares in 2025 and 661,688</w:t>
            </w:r>
            <w:r>
              <w:rPr>
                <w:rFonts w:ascii="Times New Roman" w:hAnsi="Times New Roman"/>
                <w:color w:val="000000"/>
                <w:sz w:val="20"/>
              </w:rPr>
              <w:t> </w:t>
            </w:r>
            <w:r>
              <w:rPr>
                <w:rFonts w:ascii="Times New Roman" w:hAnsi="Times New Roman"/>
                <w:color w:val="000000"/>
                <w:sz w:val="16"/>
              </w:rPr>
              <w:t>shares in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16"/>
              </w:rPr>
              <w:t>Class D Common Stock, limited voting, $.01</w:t>
            </w:r>
            <w:r>
              <w:rPr>
                <w:rFonts w:ascii="Times New Roman" w:hAnsi="Times New Roman"/>
                <w:color w:val="000000"/>
                <w:sz w:val="20"/>
              </w:rPr>
              <w:t> </w:t>
            </w:r>
            <w:r>
              <w:rPr>
                <w:rFonts w:ascii="Times New Roman" w:hAnsi="Times New Roman"/>
                <w:color w:val="000000"/>
                <w:sz w:val="16"/>
              </w:rPr>
              <w:t>par value; authorized 5,000,000</w:t>
            </w:r>
            <w:r>
              <w:rPr>
                <w:rFonts w:ascii="Times New Roman" w:hAnsi="Times New Roman"/>
                <w:color w:val="000000"/>
                <w:sz w:val="20"/>
              </w:rPr>
              <w:t> </w:t>
            </w:r>
            <w:r>
              <w:rPr>
                <w:rFonts w:ascii="Times New Roman" w:hAnsi="Times New Roman"/>
                <w:color w:val="000000"/>
                <w:sz w:val="16"/>
              </w:rPr>
              <w:t>shares:</w:t>
              <w:br/>
              <w:t>   issued and outstanding 12,497</w:t>
            </w:r>
            <w:r>
              <w:rPr>
                <w:rFonts w:ascii="Times New Roman" w:hAnsi="Times New Roman"/>
                <w:color w:val="000000"/>
                <w:sz w:val="20"/>
              </w:rPr>
              <w:t> </w:t>
            </w:r>
            <w:r>
              <w:rPr>
                <w:rFonts w:ascii="Times New Roman" w:hAnsi="Times New Roman"/>
                <w:color w:val="000000"/>
                <w:sz w:val="16"/>
              </w:rPr>
              <w:t>shares in 2025 and 12,614</w:t>
            </w:r>
            <w:r>
              <w:rPr>
                <w:rFonts w:ascii="Times New Roman" w:hAnsi="Times New Roman"/>
                <w:color w:val="000000"/>
                <w:sz w:val="20"/>
              </w:rPr>
              <w:t> </w:t>
            </w:r>
            <w:r>
              <w:rPr>
                <w:rFonts w:ascii="Times New Roman" w:hAnsi="Times New Roman"/>
                <w:color w:val="000000"/>
                <w:sz w:val="16"/>
              </w:rPr>
              <w:t>shares in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Cumulative dividends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(765,357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(713,705</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66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Retained earnings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7,992,755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7,372,061</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Accumulated other comprehensive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47,783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7,201</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Universal Health Services, Inc. common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7,275,792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6,666,207</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Noncontrolling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62,996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83,316</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7,338,788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6,749,523</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15,527,593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14,469,749</w:t>
            </w:r>
          </w:p>
        </w:tc>
        <w:tc>
          <w:tcPr>
            <w:tcW w:w="7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center"/>
        <w:rPr>
          <w:rFonts w:ascii="Times New Roman" w:hAnsi="Times New Roman"/>
          <w:color w:val="000000"/>
          <w:sz w:val="16"/>
        </w:rPr>
      </w:pPr>
      <w:r>
        <w:rPr>
          <w:rFonts w:ascii="Times New Roman" w:hAnsi="Times New Roman"/>
          <w:color w:val="000000"/>
          <w:sz w:val="16"/>
        </w:rPr>
        <w:t>The accompanying notes are an integral part of these consolidated financial statements.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94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UNIVERSAL HEALTH SERVICES, INC. AND SUBSIDIARIES</w:t>
      </w:r>
    </w:p>
    <w:p>
      <w:pPr>
        <w:pStyle w:val="TextBody"/>
        <w:bidi w:val="0"/>
        <w:jc w:val="center"/>
        <w:rPr>
          <w:rFonts w:ascii="Times New Roman" w:hAnsi="Times New Roman"/>
          <w:sz w:val="20"/>
        </w:rPr>
      </w:pPr>
      <w:bookmarkStart w:id="33" w:name="consolidated_statements_changes_in_equit"/>
      <w:bookmarkEnd w:id="33"/>
      <w:r>
        <w:rPr>
          <w:rFonts w:ascii="Times New Roman" w:hAnsi="Times New Roman"/>
          <w:b/>
          <w:color w:val="000000"/>
          <w:sz w:val="20"/>
        </w:rPr>
        <w:t>CONSOLIDATED STATEMENTS</w:t>
      </w:r>
      <w:r>
        <w:rPr>
          <w:rFonts w:ascii="Times New Roman" w:hAnsi="Times New Roman"/>
          <w:color w:val="000000"/>
          <w:sz w:val="20"/>
        </w:rPr>
        <w:t xml:space="preserve"> </w:t>
      </w:r>
      <w:r>
        <w:rPr>
          <w:rFonts w:ascii="Times New Roman" w:hAnsi="Times New Roman"/>
          <w:b/>
          <w:color w:val="000000"/>
          <w:sz w:val="20"/>
        </w:rPr>
        <w:t>OF CHANGES IN EQUITY</w:t>
      </w:r>
    </w:p>
    <w:p>
      <w:pPr>
        <w:pStyle w:val="TextBody"/>
        <w:bidi w:val="0"/>
        <w:jc w:val="center"/>
        <w:rPr>
          <w:rFonts w:ascii="Times New Roman" w:hAnsi="Times New Roman"/>
          <w:b/>
          <w:color w:val="000000"/>
          <w:sz w:val="20"/>
        </w:rPr>
      </w:pPr>
      <w:r>
        <w:rPr>
          <w:rFonts w:ascii="Times New Roman" w:hAnsi="Times New Roman"/>
          <w:b/>
          <w:color w:val="000000"/>
          <w:sz w:val="20"/>
        </w:rPr>
        <w:t>FOR THE TWELVE MONTHS ENDED DECEMBER 31, 2025</w:t>
      </w:r>
    </w:p>
    <w:p>
      <w:pPr>
        <w:pStyle w:val="TextBody"/>
        <w:bidi w:val="0"/>
        <w:jc w:val="center"/>
        <w:rPr>
          <w:rFonts w:ascii="Times New Roman" w:hAnsi="Times New Roman"/>
          <w:b/>
          <w:color w:val="000000"/>
          <w:sz w:val="20"/>
        </w:rPr>
      </w:pPr>
      <w:r>
        <w:rPr>
          <w:rFonts w:ascii="Times New Roman" w:hAnsi="Times New Roman"/>
          <w:b/>
          <w:color w:val="000000"/>
          <w:sz w:val="20"/>
        </w:rPr>
        <w:t>(in thousands)</w:t>
      </w:r>
    </w:p>
    <w:p>
      <w:pPr>
        <w:pStyle w:val="TextBody"/>
        <w:bidi w:val="0"/>
        <w:jc w:val="left"/>
        <w:rPr/>
      </w:pPr>
      <w:r>
        <w:rPr/>
        <w:t> </w:t>
      </w:r>
    </w:p>
    <w:tbl>
      <w:tblPr>
        <w:tblW w:w="12477" w:type="dxa"/>
        <w:jc w:val="left"/>
        <w:tblInd w:w="0" w:type="dxa"/>
        <w:tblLayout w:type="fixed"/>
        <w:tblCellMar>
          <w:top w:w="28" w:type="dxa"/>
          <w:left w:w="28" w:type="dxa"/>
          <w:bottom w:w="28" w:type="dxa"/>
          <w:right w:w="28" w:type="dxa"/>
        </w:tblCellMar>
      </w:tblPr>
      <w:tblGrid>
        <w:gridCol w:w="1046"/>
        <w:gridCol w:w="146"/>
        <w:gridCol w:w="240"/>
        <w:gridCol w:w="631"/>
        <w:gridCol w:w="151"/>
        <w:gridCol w:w="146"/>
        <w:gridCol w:w="189"/>
        <w:gridCol w:w="397"/>
        <w:gridCol w:w="146"/>
        <w:gridCol w:w="146"/>
        <w:gridCol w:w="189"/>
        <w:gridCol w:w="397"/>
        <w:gridCol w:w="151"/>
        <w:gridCol w:w="146"/>
        <w:gridCol w:w="189"/>
        <w:gridCol w:w="397"/>
        <w:gridCol w:w="146"/>
        <w:gridCol w:w="146"/>
        <w:gridCol w:w="189"/>
        <w:gridCol w:w="397"/>
        <w:gridCol w:w="146"/>
        <w:gridCol w:w="146"/>
        <w:gridCol w:w="166"/>
        <w:gridCol w:w="541"/>
        <w:gridCol w:w="151"/>
        <w:gridCol w:w="146"/>
        <w:gridCol w:w="166"/>
        <w:gridCol w:w="586"/>
        <w:gridCol w:w="151"/>
        <w:gridCol w:w="146"/>
        <w:gridCol w:w="252"/>
        <w:gridCol w:w="664"/>
        <w:gridCol w:w="146"/>
        <w:gridCol w:w="146"/>
        <w:gridCol w:w="169"/>
        <w:gridCol w:w="597"/>
        <w:gridCol w:w="151"/>
        <w:gridCol w:w="146"/>
        <w:gridCol w:w="223"/>
        <w:gridCol w:w="648"/>
        <w:gridCol w:w="151"/>
        <w:gridCol w:w="146"/>
        <w:gridCol w:w="166"/>
        <w:gridCol w:w="586"/>
        <w:gridCol w:w="356"/>
      </w:tblGrid>
      <w:tr>
        <w:trPr/>
        <w:tc>
          <w:tcPr>
            <w:tcW w:w="10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r>
      <w:tr>
        <w:trPr/>
        <w:tc>
          <w:tcPr>
            <w:tcW w:w="10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pPr>
            <w:r>
              <w:rPr/>
              <w:t> </w:t>
            </w:r>
          </w:p>
        </w:tc>
        <w:tc>
          <w:tcPr>
            <w:tcW w:w="58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Accumulated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UHS</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0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Redeemable</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left w:val="single" w:sz="4" w:space="0" w:color="000000"/>
            </w:tcBorders>
            <w:shd w:fill="FFFFFF" w:val="clear"/>
            <w:tcMar>
              <w:top w:w="0" w:type="dxa"/>
              <w:bottom w:w="0" w:type="dxa"/>
              <w:right w:w="0" w:type="dxa"/>
            </w:tcMar>
            <w:vAlign w:val="center"/>
          </w:tcPr>
          <w:p>
            <w:pPr>
              <w:pStyle w:val="TableContents"/>
              <w:bidi w:val="0"/>
              <w:spacing w:before="0" w:after="283"/>
              <w:jc w:val="center"/>
              <w:rPr/>
            </w:pPr>
            <w:r>
              <w:rPr/>
              <w:t> </w:t>
            </w:r>
          </w:p>
        </w:tc>
        <w:tc>
          <w:tcPr>
            <w:tcW w:w="58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Common</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0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Noncontrolling</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left w:val="single" w:sz="4" w:space="0" w:color="000000"/>
            </w:tcBorders>
            <w:shd w:fill="FFFFFF" w:val="clear"/>
            <w:tcMar>
              <w:top w:w="0" w:type="dxa"/>
              <w:bottom w:w="0" w:type="dxa"/>
              <w:right w:w="0" w:type="dxa"/>
            </w:tcMar>
            <w:vAlign w:val="center"/>
          </w:tcPr>
          <w:p>
            <w:pPr>
              <w:pStyle w:val="TableContents"/>
              <w:bidi w:val="0"/>
              <w:spacing w:before="0" w:after="283"/>
              <w:jc w:val="center"/>
              <w:rPr/>
            </w:pPr>
            <w:r>
              <w:rPr/>
              <w:t> </w:t>
            </w:r>
          </w:p>
        </w:tc>
        <w:tc>
          <w:tcPr>
            <w:tcW w:w="58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Class 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Class B</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Class 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Class 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Cumulative</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Retained</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Comprehensive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Stockholders'</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Noncontrolling</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0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Interest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left w:val="single" w:sz="4" w:space="0" w:color="000000"/>
            </w:tcBorders>
            <w:shd w:fill="FFFFFF" w:val="clear"/>
            <w:tcMar>
              <w:top w:w="0" w:type="dxa"/>
              <w:bottom w:w="0" w:type="dxa"/>
              <w:right w:w="0" w:type="dxa"/>
            </w:tcMar>
            <w:vAlign w:val="center"/>
          </w:tcPr>
          <w:p>
            <w:pPr>
              <w:pStyle w:val="TableContents"/>
              <w:bidi w:val="0"/>
              <w:spacing w:before="0" w:after="283"/>
              <w:jc w:val="center"/>
              <w:rPr/>
            </w:pPr>
            <w:r>
              <w:rPr/>
              <w:t> </w:t>
            </w:r>
          </w:p>
        </w:tc>
        <w:tc>
          <w:tcPr>
            <w:tcW w:w="5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Common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Common</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Common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Common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Dividends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Earnings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Income (Loss)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Equity</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Interest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Total</w:t>
            </w:r>
          </w:p>
        </w:tc>
        <w:tc>
          <w:tcPr>
            <w:tcW w:w="3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Balance, January 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13,293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577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(713,705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7,372,061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7,201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6,666,207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83,316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6,749,523</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left w:val="single" w:sz="4" w:space="0" w:color="000000"/>
            </w:tcBorders>
            <w:shd w:fill="CFF0FC" w:val="clear"/>
            <w:tcMar>
              <w:top w:w="0" w:type="dxa"/>
              <w:bottom w:w="0" w:type="dxa"/>
              <w:right w:w="0" w:type="dxa"/>
            </w:tcMar>
            <w:vAlign w:val="center"/>
          </w:tcPr>
          <w:p>
            <w:pPr>
              <w:pStyle w:val="TableContents"/>
              <w:bidi w:val="0"/>
              <w:spacing w:before="0" w:after="283"/>
              <w:jc w:val="left"/>
              <w:rPr/>
            </w:pPr>
            <w:r>
              <w:rPr/>
              <w:t> </w:t>
            </w:r>
          </w:p>
        </w:tc>
        <w:tc>
          <w:tcPr>
            <w:tcW w:w="58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104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Issued/(converted) including tax benefits from</w:t>
              <w:br/>
              <w:t>   exercise of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16,897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16,908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16,908</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104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Repurchased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left w:val="single" w:sz="4" w:space="0" w:color="000000"/>
            </w:tcBorders>
            <w:shd w:fill="CFF0FC" w:val="clear"/>
            <w:tcMar>
              <w:top w:w="0" w:type="dxa"/>
              <w:bottom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(975,747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(975,797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(975,797</w:t>
            </w:r>
          </w:p>
        </w:tc>
        <w:tc>
          <w:tcPr>
            <w:tcW w:w="3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w:t>
            </w:r>
          </w:p>
        </w:tc>
      </w:tr>
      <w:tr>
        <w:trPr/>
        <w:tc>
          <w:tcPr>
            <w:tcW w:w="104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Restricted share-based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60,150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60,150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60,150</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Dividends paid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left w:val="single" w:sz="4" w:space="0" w:color="000000"/>
            </w:tcBorders>
            <w:shd w:fill="CFF0FC" w:val="clear"/>
            <w:tcMar>
              <w:top w:w="0" w:type="dxa"/>
              <w:bottom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(51,652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(51,652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(51,652</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10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Stock option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33,805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33,805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33,805</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Reclass of noncontrolling interests to redeemable noncontrolling interests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38,523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left w:val="single" w:sz="4" w:space="0" w:color="000000"/>
            </w:tcBorders>
            <w:shd w:fill="CFF0FC" w:val="clear"/>
            <w:tcMar>
              <w:top w:w="0" w:type="dxa"/>
              <w:bottom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(38,523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(38,523</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10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Change in redemption amount of redeemable noncontrolling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2,311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(3,207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(3,207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895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(2,312</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10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Distributions to noncontrolling interests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(2,396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left w:val="single" w:sz="4" w:space="0" w:color="000000"/>
            </w:tcBorders>
            <w:shd w:fill="CFF0FC" w:val="clear"/>
            <w:tcMar>
              <w:top w:w="0" w:type="dxa"/>
              <w:bottom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(9,338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(9,338</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10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Purchase (sale) of ownership interests by (from) minority members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10,835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12,314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12,314</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Comprehensive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left w:val="single" w:sz="4" w:space="0" w:color="000000"/>
            </w:tcBorders>
            <w:shd w:fill="CFF0FC" w:val="clear"/>
            <w:tcMar>
              <w:top w:w="0" w:type="dxa"/>
              <w:bottom w:w="0" w:type="dxa"/>
              <w:right w:w="0" w:type="dxa"/>
            </w:tcMar>
            <w:vAlign w:val="center"/>
          </w:tcPr>
          <w:p>
            <w:pPr>
              <w:pStyle w:val="TableContents"/>
              <w:bidi w:val="0"/>
              <w:spacing w:before="0" w:after="283"/>
              <w:jc w:val="left"/>
              <w:rPr/>
            </w:pPr>
            <w:r>
              <w:rPr/>
              <w:t> </w:t>
            </w:r>
          </w:p>
        </w:tc>
        <w:tc>
          <w:tcPr>
            <w:tcW w:w="58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104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Net income to UHS / noncontrolling interests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8,054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1,488,796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1,488,796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14,332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1,503,128</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104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left w:val="single" w:sz="4" w:space="0" w:color="000000"/>
            </w:tcBorders>
            <w:shd w:fill="CFF0FC" w:val="clear"/>
            <w:tcMar>
              <w:top w:w="0" w:type="dxa"/>
              <w:bottom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104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Foreign currency translation adjustments (net of income tax effect of $450)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38,291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38,291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38,291</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104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Minimum pension liability (net of income tax effect of $724)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left w:val="single" w:sz="4" w:space="0" w:color="000000"/>
            </w:tcBorders>
            <w:shd w:fill="CFF0FC" w:val="clear"/>
            <w:tcMar>
              <w:top w:w="0" w:type="dxa"/>
              <w:bottom w:w="0" w:type="dxa"/>
              <w:right w:w="0" w:type="dxa"/>
            </w:tcMar>
            <w:vAlign w:val="center"/>
          </w:tcPr>
          <w:p>
            <w:pPr>
              <w:pStyle w:val="TableContents"/>
              <w:bidi w:val="0"/>
              <w:spacing w:before="0" w:after="283"/>
              <w:jc w:val="left"/>
              <w:rPr/>
            </w:pPr>
            <w:r>
              <w:rPr/>
              <w:t> </w:t>
            </w:r>
          </w:p>
        </w:tc>
        <w:tc>
          <w:tcPr>
            <w:tcW w:w="1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2,291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2,291</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2,291</w:t>
            </w:r>
          </w:p>
        </w:tc>
        <w:tc>
          <w:tcPr>
            <w:tcW w:w="3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0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Subtotal - comprehensive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8,054</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pPr>
            <w:r>
              <w:rPr/>
              <w:t> </w:t>
            </w:r>
          </w:p>
        </w:tc>
        <w:tc>
          <w:tcPr>
            <w:tcW w:w="1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1,488,796</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40,582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1,529,378</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14,332</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1,543,710</w:t>
            </w:r>
          </w:p>
        </w:tc>
        <w:tc>
          <w:tcPr>
            <w:tcW w:w="3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0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Balance,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70,620</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left w:val="single" w:sz="4" w:space="0" w:color="000000"/>
            </w:tcBorders>
            <w:shd w:fill="CFF0FC" w:val="clear"/>
            <w:tcMar>
              <w:top w:w="0" w:type="dxa"/>
              <w:bottom w:w="0" w:type="dxa"/>
              <w:right w:w="0" w:type="dxa"/>
            </w:tcMar>
            <w:vAlign w:val="center"/>
          </w:tcPr>
          <w:p>
            <w:pPr>
              <w:pStyle w:val="TableContents"/>
              <w:bidi w:val="0"/>
              <w:spacing w:before="0" w:after="283"/>
              <w:jc w:val="left"/>
              <w:rPr/>
            </w:pPr>
            <w:r>
              <w:rPr/>
              <w:t> </w:t>
            </w:r>
          </w:p>
        </w:tc>
        <w:tc>
          <w:tcPr>
            <w:tcW w:w="1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3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3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538</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3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3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(765,357</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7,992,755</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47,783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7,275,792</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62,996</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7,338,788</w:t>
            </w:r>
          </w:p>
        </w:tc>
        <w:tc>
          <w:tcPr>
            <w:tcW w:w="3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consolidated financial statements.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95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UNIVERSAL HEALTH SERVICES, INC.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CONSOLIDATED STATEMENTS OF CHANGES IN EQUITY—(Continued)</w:t>
      </w:r>
    </w:p>
    <w:p>
      <w:pPr>
        <w:pStyle w:val="TextBody"/>
        <w:bidi w:val="0"/>
        <w:jc w:val="center"/>
        <w:rPr>
          <w:rFonts w:ascii="Times New Roman" w:hAnsi="Times New Roman"/>
          <w:b/>
          <w:color w:val="000000"/>
          <w:sz w:val="20"/>
        </w:rPr>
      </w:pPr>
      <w:r>
        <w:rPr>
          <w:rFonts w:ascii="Times New Roman" w:hAnsi="Times New Roman"/>
          <w:b/>
          <w:color w:val="000000"/>
          <w:sz w:val="20"/>
        </w:rPr>
        <w:t>FOR THE TWELVE MONTHS ENDED DECEMBER 31, 2024</w:t>
      </w:r>
    </w:p>
    <w:p>
      <w:pPr>
        <w:pStyle w:val="TextBody"/>
        <w:bidi w:val="0"/>
        <w:jc w:val="center"/>
        <w:rPr>
          <w:rFonts w:ascii="Times New Roman" w:hAnsi="Times New Roman"/>
          <w:b/>
          <w:color w:val="000000"/>
          <w:sz w:val="20"/>
        </w:rPr>
      </w:pPr>
      <w:r>
        <w:rPr>
          <w:rFonts w:ascii="Times New Roman" w:hAnsi="Times New Roman"/>
          <w:b/>
          <w:color w:val="000000"/>
          <w:sz w:val="20"/>
        </w:rPr>
        <w:t>(in thousands)</w:t>
      </w:r>
    </w:p>
    <w:p>
      <w:pPr>
        <w:pStyle w:val="TextBody"/>
        <w:bidi w:val="0"/>
        <w:jc w:val="left"/>
        <w:rPr/>
      </w:pPr>
      <w:r>
        <w:rPr/>
        <w:t> </w:t>
      </w:r>
    </w:p>
    <w:tbl>
      <w:tblPr>
        <w:tblW w:w="12482" w:type="dxa"/>
        <w:jc w:val="left"/>
        <w:tblInd w:w="0" w:type="dxa"/>
        <w:tblLayout w:type="fixed"/>
        <w:tblCellMar>
          <w:top w:w="28" w:type="dxa"/>
          <w:left w:w="28" w:type="dxa"/>
          <w:bottom w:w="28" w:type="dxa"/>
          <w:right w:w="28" w:type="dxa"/>
        </w:tblCellMar>
      </w:tblPr>
      <w:tblGrid>
        <w:gridCol w:w="1046"/>
        <w:gridCol w:w="146"/>
        <w:gridCol w:w="240"/>
        <w:gridCol w:w="631"/>
        <w:gridCol w:w="151"/>
        <w:gridCol w:w="146"/>
        <w:gridCol w:w="189"/>
        <w:gridCol w:w="397"/>
        <w:gridCol w:w="146"/>
        <w:gridCol w:w="146"/>
        <w:gridCol w:w="189"/>
        <w:gridCol w:w="397"/>
        <w:gridCol w:w="151"/>
        <w:gridCol w:w="146"/>
        <w:gridCol w:w="189"/>
        <w:gridCol w:w="397"/>
        <w:gridCol w:w="146"/>
        <w:gridCol w:w="146"/>
        <w:gridCol w:w="189"/>
        <w:gridCol w:w="397"/>
        <w:gridCol w:w="146"/>
        <w:gridCol w:w="146"/>
        <w:gridCol w:w="166"/>
        <w:gridCol w:w="541"/>
        <w:gridCol w:w="151"/>
        <w:gridCol w:w="146"/>
        <w:gridCol w:w="166"/>
        <w:gridCol w:w="586"/>
        <w:gridCol w:w="151"/>
        <w:gridCol w:w="146"/>
        <w:gridCol w:w="258"/>
        <w:gridCol w:w="658"/>
        <w:gridCol w:w="151"/>
        <w:gridCol w:w="146"/>
        <w:gridCol w:w="169"/>
        <w:gridCol w:w="597"/>
        <w:gridCol w:w="151"/>
        <w:gridCol w:w="146"/>
        <w:gridCol w:w="240"/>
        <w:gridCol w:w="631"/>
        <w:gridCol w:w="151"/>
        <w:gridCol w:w="146"/>
        <w:gridCol w:w="166"/>
        <w:gridCol w:w="586"/>
        <w:gridCol w:w="356"/>
      </w:tblGrid>
      <w:tr>
        <w:trPr/>
        <w:tc>
          <w:tcPr>
            <w:tcW w:w="10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r>
      <w:tr>
        <w:trPr/>
        <w:tc>
          <w:tcPr>
            <w:tcW w:w="10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pPr>
            <w:r>
              <w:rPr/>
              <w:t> </w:t>
            </w:r>
          </w:p>
        </w:tc>
        <w:tc>
          <w:tcPr>
            <w:tcW w:w="58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Accumulated</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UHS</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0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Redeemable</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left w:val="single" w:sz="4" w:space="0" w:color="000000"/>
            </w:tcBorders>
            <w:shd w:fill="FFFFFF" w:val="clear"/>
            <w:tcMar>
              <w:top w:w="0" w:type="dxa"/>
              <w:bottom w:w="0" w:type="dxa"/>
              <w:right w:w="0" w:type="dxa"/>
            </w:tcMar>
            <w:vAlign w:val="center"/>
          </w:tcPr>
          <w:p>
            <w:pPr>
              <w:pStyle w:val="TableContents"/>
              <w:bidi w:val="0"/>
              <w:spacing w:before="0" w:after="283"/>
              <w:jc w:val="center"/>
              <w:rPr/>
            </w:pPr>
            <w:r>
              <w:rPr/>
              <w:t> </w:t>
            </w:r>
          </w:p>
        </w:tc>
        <w:tc>
          <w:tcPr>
            <w:tcW w:w="58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Other</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Common</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0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Noncontrolling</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left w:val="single" w:sz="4" w:space="0" w:color="000000"/>
            </w:tcBorders>
            <w:shd w:fill="FFFFFF" w:val="clear"/>
            <w:tcMar>
              <w:top w:w="0" w:type="dxa"/>
              <w:bottom w:w="0" w:type="dxa"/>
              <w:right w:w="0" w:type="dxa"/>
            </w:tcMar>
            <w:vAlign w:val="center"/>
          </w:tcPr>
          <w:p>
            <w:pPr>
              <w:pStyle w:val="TableContents"/>
              <w:bidi w:val="0"/>
              <w:spacing w:before="0" w:after="283"/>
              <w:jc w:val="center"/>
              <w:rPr/>
            </w:pPr>
            <w:r>
              <w:rPr/>
              <w:t> </w:t>
            </w:r>
          </w:p>
        </w:tc>
        <w:tc>
          <w:tcPr>
            <w:tcW w:w="58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Class 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Class B</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Class 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Class 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Cumulative</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Retained</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Comprehensive</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Stockholders'</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Noncontrolling</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0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Interest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left w:val="single" w:sz="4" w:space="0" w:color="000000"/>
            </w:tcBorders>
            <w:shd w:fill="FFFFFF" w:val="clear"/>
            <w:tcMar>
              <w:top w:w="0" w:type="dxa"/>
              <w:bottom w:w="0" w:type="dxa"/>
              <w:right w:w="0" w:type="dxa"/>
            </w:tcMar>
            <w:vAlign w:val="center"/>
          </w:tcPr>
          <w:p>
            <w:pPr>
              <w:pStyle w:val="TableContents"/>
              <w:bidi w:val="0"/>
              <w:spacing w:before="0" w:after="283"/>
              <w:jc w:val="center"/>
              <w:rPr/>
            </w:pPr>
            <w:r>
              <w:rPr/>
              <w:t> </w:t>
            </w:r>
          </w:p>
        </w:tc>
        <w:tc>
          <w:tcPr>
            <w:tcW w:w="5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Common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Common</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Common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Common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Dividends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Earnings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Income (Loss)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Equity</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Interest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Total</w:t>
            </w:r>
          </w:p>
        </w:tc>
        <w:tc>
          <w:tcPr>
            <w:tcW w:w="3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Balance, January 1,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5,191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599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(659,890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6,798,930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9,289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6,149,001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47,714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6,196,715</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left w:val="single" w:sz="4" w:space="0" w:color="000000"/>
            </w:tcBorders>
            <w:shd w:fill="CFF0FC" w:val="clear"/>
            <w:tcMar>
              <w:top w:w="0" w:type="dxa"/>
              <w:bottom w:w="0" w:type="dxa"/>
              <w:right w:w="0" w:type="dxa"/>
            </w:tcMar>
            <w:vAlign w:val="center"/>
          </w:tcPr>
          <w:p>
            <w:pPr>
              <w:pStyle w:val="TableContents"/>
              <w:bidi w:val="0"/>
              <w:spacing w:before="0" w:after="283"/>
              <w:jc w:val="left"/>
              <w:rPr/>
            </w:pPr>
            <w:r>
              <w:rPr/>
              <w:t> </w:t>
            </w:r>
          </w:p>
        </w:tc>
        <w:tc>
          <w:tcPr>
            <w:tcW w:w="58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104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Issued/(converted) including tax benefits from</w:t>
              <w:br/>
              <w:t>   exercise of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15,226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15,238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15,238</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104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Repurchased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left w:val="single" w:sz="4" w:space="0" w:color="000000"/>
            </w:tcBorders>
            <w:shd w:fill="CFF0FC" w:val="clear"/>
            <w:tcMar>
              <w:top w:w="0" w:type="dxa"/>
              <w:bottom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(674,946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(674,980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(674,980</w:t>
            </w:r>
          </w:p>
        </w:tc>
        <w:tc>
          <w:tcPr>
            <w:tcW w:w="3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w:t>
            </w:r>
          </w:p>
        </w:tc>
      </w:tr>
      <w:tr>
        <w:trPr/>
        <w:tc>
          <w:tcPr>
            <w:tcW w:w="104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Restricted share-based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43,626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43,626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43,626</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Dividends paid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left w:val="single" w:sz="4" w:space="0" w:color="000000"/>
            </w:tcBorders>
            <w:shd w:fill="CFF0FC" w:val="clear"/>
            <w:tcMar>
              <w:top w:w="0" w:type="dxa"/>
              <w:bottom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(53,815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(53,815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(53,815</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10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Stock option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54,289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54,289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54,289</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Change in redemption amount of redeemable noncontrolling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7,144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left w:val="single" w:sz="4" w:space="0" w:color="000000"/>
            </w:tcBorders>
            <w:shd w:fill="CFF0FC" w:val="clear"/>
            <w:tcMar>
              <w:top w:w="0" w:type="dxa"/>
              <w:bottom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(7,144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(7,144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(7,144</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10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Distributions to noncontrolling interests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(650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(5,860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(5,860</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10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Purchase of ownership interests by minority members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left w:val="single" w:sz="4" w:space="0" w:color="000000"/>
            </w:tcBorders>
            <w:shd w:fill="CFF0FC" w:val="clear"/>
            <w:tcMar>
              <w:top w:w="0" w:type="dxa"/>
              <w:bottom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22,056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22,056</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Comprehensive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pPr>
            <w:r>
              <w:rPr/>
              <w:t> </w:t>
            </w:r>
          </w:p>
        </w:tc>
        <w:tc>
          <w:tcPr>
            <w:tcW w:w="58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104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Net income to UHS / noncontrolling interests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1,608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left w:val="single" w:sz="4" w:space="0" w:color="000000"/>
            </w:tcBorders>
            <w:shd w:fill="CFF0FC" w:val="clear"/>
            <w:tcMar>
              <w:top w:w="0" w:type="dxa"/>
              <w:bottom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1,142,097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1,142,097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19,406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1,161,503</w:t>
            </w:r>
          </w:p>
        </w:tc>
        <w:tc>
          <w:tcPr>
            <w:tcW w:w="3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104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104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Foreign currency translation adjustments (net of income tax effect of $704)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left w:val="single" w:sz="4" w:space="0" w:color="000000"/>
            </w:tcBorders>
            <w:shd w:fill="CFF0FC" w:val="clear"/>
            <w:tcMar>
              <w:top w:w="0" w:type="dxa"/>
              <w:bottom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(3,941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(3,941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(3,941</w:t>
            </w:r>
          </w:p>
        </w:tc>
        <w:tc>
          <w:tcPr>
            <w:tcW w:w="3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w:t>
            </w:r>
          </w:p>
        </w:tc>
      </w:tr>
      <w:tr>
        <w:trPr/>
        <w:tc>
          <w:tcPr>
            <w:tcW w:w="104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Minimum pension liability (net of income tax effect of $580)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pPr>
            <w:r>
              <w:rPr/>
              <w:t> </w:t>
            </w:r>
          </w:p>
        </w:tc>
        <w:tc>
          <w:tcPr>
            <w:tcW w:w="1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1,836</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1,836</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1,836</w:t>
            </w:r>
          </w:p>
        </w:tc>
        <w:tc>
          <w:tcPr>
            <w:tcW w:w="3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0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Subtotal - comprehensive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1,608</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left w:val="single" w:sz="4" w:space="0" w:color="000000"/>
            </w:tcBorders>
            <w:shd w:fill="CFF0FC" w:val="clear"/>
            <w:tcMar>
              <w:top w:w="0" w:type="dxa"/>
              <w:bottom w:w="0" w:type="dxa"/>
              <w:right w:w="0" w:type="dxa"/>
            </w:tcMar>
            <w:vAlign w:val="center"/>
          </w:tcPr>
          <w:p>
            <w:pPr>
              <w:pStyle w:val="TableContents"/>
              <w:bidi w:val="0"/>
              <w:spacing w:before="0" w:after="283"/>
              <w:jc w:val="left"/>
              <w:rPr/>
            </w:pPr>
            <w:r>
              <w:rPr/>
              <w:t> </w:t>
            </w:r>
          </w:p>
        </w:tc>
        <w:tc>
          <w:tcPr>
            <w:tcW w:w="1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1,142,080</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(2,088</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1,139,992</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19,406</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1,159,398</w:t>
            </w:r>
          </w:p>
        </w:tc>
        <w:tc>
          <w:tcPr>
            <w:tcW w:w="3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0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Balance, December 31,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13,293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577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(713,705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7,372,061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7,201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6,666,207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83,316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6,749,523</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consolidated financial statements.</w:t>
      </w:r>
    </w:p>
    <w:p>
      <w:pPr>
        <w:pStyle w:val="TextBody"/>
        <w:bidi w:val="0"/>
        <w:jc w:val="left"/>
        <w:rPr/>
      </w:pPr>
      <w:r>
        <w:rPr/>
        <w:t> </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96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UNIVERSAL HEALTH SERVICES, INC.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CONSOLIDATED STATEMENTS OF CHANGES IN EQUITY—(Continued)</w:t>
      </w:r>
    </w:p>
    <w:p>
      <w:pPr>
        <w:pStyle w:val="TextBody"/>
        <w:bidi w:val="0"/>
        <w:jc w:val="center"/>
        <w:rPr>
          <w:rFonts w:ascii="Times New Roman" w:hAnsi="Times New Roman"/>
          <w:b/>
          <w:color w:val="000000"/>
          <w:sz w:val="20"/>
        </w:rPr>
      </w:pPr>
      <w:r>
        <w:rPr>
          <w:rFonts w:ascii="Times New Roman" w:hAnsi="Times New Roman"/>
          <w:b/>
          <w:color w:val="000000"/>
          <w:sz w:val="20"/>
        </w:rPr>
        <w:t>FOR THE TWELVE MONTHS ENDED DECEMBER 31, 2023</w:t>
      </w:r>
    </w:p>
    <w:p>
      <w:pPr>
        <w:pStyle w:val="TextBody"/>
        <w:bidi w:val="0"/>
        <w:jc w:val="center"/>
        <w:rPr>
          <w:rFonts w:ascii="Times New Roman" w:hAnsi="Times New Roman"/>
          <w:b/>
          <w:color w:val="000000"/>
          <w:sz w:val="20"/>
        </w:rPr>
      </w:pPr>
      <w:r>
        <w:rPr>
          <w:rFonts w:ascii="Times New Roman" w:hAnsi="Times New Roman"/>
          <w:b/>
          <w:color w:val="000000"/>
          <w:sz w:val="20"/>
        </w:rPr>
        <w:t>(in thousands)</w:t>
      </w:r>
    </w:p>
    <w:p>
      <w:pPr>
        <w:pStyle w:val="TextBody"/>
        <w:bidi w:val="0"/>
        <w:jc w:val="left"/>
        <w:rPr/>
      </w:pPr>
      <w:r>
        <w:rPr/>
        <w:t> </w:t>
      </w:r>
    </w:p>
    <w:tbl>
      <w:tblPr>
        <w:tblW w:w="12482" w:type="dxa"/>
        <w:jc w:val="left"/>
        <w:tblInd w:w="0" w:type="dxa"/>
        <w:tblLayout w:type="fixed"/>
        <w:tblCellMar>
          <w:top w:w="28" w:type="dxa"/>
          <w:left w:w="28" w:type="dxa"/>
          <w:bottom w:w="28" w:type="dxa"/>
          <w:right w:w="28" w:type="dxa"/>
        </w:tblCellMar>
      </w:tblPr>
      <w:tblGrid>
        <w:gridCol w:w="1046"/>
        <w:gridCol w:w="146"/>
        <w:gridCol w:w="245"/>
        <w:gridCol w:w="626"/>
        <w:gridCol w:w="151"/>
        <w:gridCol w:w="146"/>
        <w:gridCol w:w="189"/>
        <w:gridCol w:w="397"/>
        <w:gridCol w:w="146"/>
        <w:gridCol w:w="146"/>
        <w:gridCol w:w="189"/>
        <w:gridCol w:w="397"/>
        <w:gridCol w:w="151"/>
        <w:gridCol w:w="146"/>
        <w:gridCol w:w="189"/>
        <w:gridCol w:w="397"/>
        <w:gridCol w:w="146"/>
        <w:gridCol w:w="146"/>
        <w:gridCol w:w="189"/>
        <w:gridCol w:w="397"/>
        <w:gridCol w:w="146"/>
        <w:gridCol w:w="146"/>
        <w:gridCol w:w="166"/>
        <w:gridCol w:w="541"/>
        <w:gridCol w:w="151"/>
        <w:gridCol w:w="146"/>
        <w:gridCol w:w="166"/>
        <w:gridCol w:w="586"/>
        <w:gridCol w:w="151"/>
        <w:gridCol w:w="146"/>
        <w:gridCol w:w="252"/>
        <w:gridCol w:w="664"/>
        <w:gridCol w:w="151"/>
        <w:gridCol w:w="146"/>
        <w:gridCol w:w="169"/>
        <w:gridCol w:w="597"/>
        <w:gridCol w:w="151"/>
        <w:gridCol w:w="146"/>
        <w:gridCol w:w="240"/>
        <w:gridCol w:w="631"/>
        <w:gridCol w:w="151"/>
        <w:gridCol w:w="146"/>
        <w:gridCol w:w="166"/>
        <w:gridCol w:w="586"/>
        <w:gridCol w:w="356"/>
      </w:tblGrid>
      <w:tr>
        <w:trPr/>
        <w:tc>
          <w:tcPr>
            <w:tcW w:w="10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r>
      <w:tr>
        <w:trPr/>
        <w:tc>
          <w:tcPr>
            <w:tcW w:w="10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pPr>
            <w:r>
              <w:rPr/>
              <w:t> </w:t>
            </w:r>
          </w:p>
        </w:tc>
        <w:tc>
          <w:tcPr>
            <w:tcW w:w="58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Accumulated</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UHS</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0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Redeemable</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left w:val="single" w:sz="4" w:space="0" w:color="000000"/>
            </w:tcBorders>
            <w:shd w:fill="FFFFFF" w:val="clear"/>
            <w:tcMar>
              <w:top w:w="0" w:type="dxa"/>
              <w:bottom w:w="0" w:type="dxa"/>
              <w:right w:w="0" w:type="dxa"/>
            </w:tcMar>
            <w:vAlign w:val="center"/>
          </w:tcPr>
          <w:p>
            <w:pPr>
              <w:pStyle w:val="TableContents"/>
              <w:bidi w:val="0"/>
              <w:spacing w:before="0" w:after="283"/>
              <w:jc w:val="center"/>
              <w:rPr/>
            </w:pPr>
            <w:r>
              <w:rPr/>
              <w:t> </w:t>
            </w:r>
          </w:p>
        </w:tc>
        <w:tc>
          <w:tcPr>
            <w:tcW w:w="58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Other</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Common</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0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Noncontrolling</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left w:val="single" w:sz="4" w:space="0" w:color="000000"/>
            </w:tcBorders>
            <w:shd w:fill="FFFFFF" w:val="clear"/>
            <w:tcMar>
              <w:top w:w="0" w:type="dxa"/>
              <w:bottom w:w="0" w:type="dxa"/>
              <w:right w:w="0" w:type="dxa"/>
            </w:tcMar>
            <w:vAlign w:val="center"/>
          </w:tcPr>
          <w:p>
            <w:pPr>
              <w:pStyle w:val="TableContents"/>
              <w:bidi w:val="0"/>
              <w:spacing w:before="0" w:after="283"/>
              <w:jc w:val="center"/>
              <w:rPr/>
            </w:pPr>
            <w:r>
              <w:rPr/>
              <w:t> </w:t>
            </w:r>
          </w:p>
        </w:tc>
        <w:tc>
          <w:tcPr>
            <w:tcW w:w="58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Class 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Class B</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Class 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Class 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Cumulative</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Retained</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Comprehensive</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Stockholders'</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Noncontrolling</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0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Interest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left w:val="single" w:sz="4" w:space="0" w:color="000000"/>
            </w:tcBorders>
            <w:shd w:fill="FFFFFF" w:val="clear"/>
            <w:tcMar>
              <w:top w:w="0" w:type="dxa"/>
              <w:bottom w:w="0" w:type="dxa"/>
              <w:right w:w="0" w:type="dxa"/>
            </w:tcMar>
            <w:vAlign w:val="center"/>
          </w:tcPr>
          <w:p>
            <w:pPr>
              <w:pStyle w:val="TableContents"/>
              <w:bidi w:val="0"/>
              <w:spacing w:before="0" w:after="283"/>
              <w:jc w:val="center"/>
              <w:rPr/>
            </w:pPr>
            <w:r>
              <w:rPr/>
              <w:t> </w:t>
            </w:r>
          </w:p>
        </w:tc>
        <w:tc>
          <w:tcPr>
            <w:tcW w:w="5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Common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Common</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Common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Common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Dividends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Earnings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Income (Loss)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Equity</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Interest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Total</w:t>
            </w:r>
          </w:p>
        </w:tc>
        <w:tc>
          <w:tcPr>
            <w:tcW w:w="3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Balance, January 1, 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4,695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637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(604,127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6,533,667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(9,668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5,920,582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44,768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5,965,350</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left w:val="single" w:sz="4" w:space="0" w:color="000000"/>
            </w:tcBorders>
            <w:shd w:fill="CFF0FC" w:val="clear"/>
            <w:tcMar>
              <w:top w:w="0" w:type="dxa"/>
              <w:bottom w:w="0" w:type="dxa"/>
              <w:right w:w="0" w:type="dxa"/>
            </w:tcMar>
            <w:vAlign w:val="center"/>
          </w:tcPr>
          <w:p>
            <w:pPr>
              <w:pStyle w:val="TableContents"/>
              <w:bidi w:val="0"/>
              <w:spacing w:before="0" w:after="283"/>
              <w:jc w:val="left"/>
              <w:rPr/>
            </w:pPr>
            <w:r>
              <w:rPr/>
              <w:t> </w:t>
            </w:r>
          </w:p>
        </w:tc>
        <w:tc>
          <w:tcPr>
            <w:tcW w:w="58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104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Issued/(converted) including tax benefits from</w:t>
              <w:br/>
              <w:t>   exercise of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13,760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13,763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13,763</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104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Repurchased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left w:val="single" w:sz="4" w:space="0" w:color="000000"/>
            </w:tcBorders>
            <w:shd w:fill="CFF0FC" w:val="clear"/>
            <w:tcMar>
              <w:top w:w="0" w:type="dxa"/>
              <w:bottom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(552,567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(552,608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(552,608</w:t>
            </w:r>
          </w:p>
        </w:tc>
        <w:tc>
          <w:tcPr>
            <w:tcW w:w="3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w:t>
            </w:r>
          </w:p>
        </w:tc>
      </w:tr>
      <w:tr>
        <w:trPr/>
        <w:tc>
          <w:tcPr>
            <w:tcW w:w="104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Restricted share-based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22,032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22,032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22,032</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Dividends paid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left w:val="single" w:sz="4" w:space="0" w:color="000000"/>
            </w:tcBorders>
            <w:shd w:fill="CFF0FC" w:val="clear"/>
            <w:tcMar>
              <w:top w:w="0" w:type="dxa"/>
              <w:bottom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(55,763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(55,763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(55,763</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10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Stock option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64,243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64,243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64,243</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Distributions to noncontrolling interests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(1,050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left w:val="single" w:sz="4" w:space="0" w:color="000000"/>
            </w:tcBorders>
            <w:shd w:fill="CFF0FC" w:val="clear"/>
            <w:tcMar>
              <w:top w:w="0" w:type="dxa"/>
              <w:bottom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(5,780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(5,780</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10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Purchase of ownership interests by minority members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8,760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8,760</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Comprehensive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left w:val="single" w:sz="4" w:space="0" w:color="000000"/>
            </w:tcBorders>
            <w:shd w:fill="CFF0FC" w:val="clear"/>
            <w:tcMar>
              <w:top w:w="0" w:type="dxa"/>
              <w:bottom w:w="0" w:type="dxa"/>
              <w:right w:w="0" w:type="dxa"/>
            </w:tcMar>
            <w:vAlign w:val="center"/>
          </w:tcPr>
          <w:p>
            <w:pPr>
              <w:pStyle w:val="TableContents"/>
              <w:bidi w:val="0"/>
              <w:spacing w:before="0" w:after="283"/>
              <w:jc w:val="left"/>
              <w:rPr/>
            </w:pPr>
            <w:r>
              <w:rPr/>
              <w:t> </w:t>
            </w:r>
          </w:p>
        </w:tc>
        <w:tc>
          <w:tcPr>
            <w:tcW w:w="58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104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Net income to UHS / noncontrolling interests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1,546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717,795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717,795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717,761</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104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Foreign currency translation adjustments (net of income tax effect of $520)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left w:val="single" w:sz="4" w:space="0" w:color="000000"/>
            </w:tcBorders>
            <w:shd w:fill="CFF0FC" w:val="clear"/>
            <w:tcMar>
              <w:top w:w="0" w:type="dxa"/>
              <w:bottom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15,791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15,791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15,791</w:t>
            </w:r>
          </w:p>
        </w:tc>
        <w:tc>
          <w:tcPr>
            <w:tcW w:w="3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104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Minimum pension liability (net of income tax effect of $1,000)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pPr>
            <w:r>
              <w:rPr/>
              <w:t> </w:t>
            </w:r>
          </w:p>
        </w:tc>
        <w:tc>
          <w:tcPr>
            <w:tcW w:w="1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3,166</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3,166</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3,166</w:t>
            </w:r>
          </w:p>
        </w:tc>
        <w:tc>
          <w:tcPr>
            <w:tcW w:w="3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0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Subtotal - comprehensive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1,546</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left w:val="single" w:sz="4" w:space="0" w:color="000000"/>
            </w:tcBorders>
            <w:shd w:fill="CFF0FC" w:val="clear"/>
            <w:tcMar>
              <w:top w:w="0" w:type="dxa"/>
              <w:bottom w:w="0" w:type="dxa"/>
              <w:right w:w="0" w:type="dxa"/>
            </w:tcMar>
            <w:vAlign w:val="center"/>
          </w:tcPr>
          <w:p>
            <w:pPr>
              <w:pStyle w:val="TableContents"/>
              <w:bidi w:val="0"/>
              <w:spacing w:before="0" w:after="283"/>
              <w:jc w:val="left"/>
              <w:rPr/>
            </w:pPr>
            <w:r>
              <w:rPr/>
              <w:t> </w:t>
            </w:r>
          </w:p>
        </w:tc>
        <w:tc>
          <w:tcPr>
            <w:tcW w:w="1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717,795</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18,957</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736,752</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(34</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736,718</w:t>
            </w:r>
          </w:p>
        </w:tc>
        <w:tc>
          <w:tcPr>
            <w:tcW w:w="3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0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Balance, December 31, 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5,191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599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(659,890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6,798,930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9,289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6,149,001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47,714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6,196,715</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consolidated financial statements.</w:t>
      </w:r>
    </w:p>
    <w:p>
      <w:pPr>
        <w:pStyle w:val="TextBody"/>
        <w:bidi w:val="0"/>
        <w:jc w:val="left"/>
        <w:rPr/>
      </w:pPr>
      <w:r>
        <w:rPr/>
        <w:t> </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97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UNIVERSAL HEALTH SERVICES, INC. AND SUBSIDIARIES</w:t>
      </w:r>
    </w:p>
    <w:p>
      <w:pPr>
        <w:pStyle w:val="TextBody"/>
        <w:bidi w:val="0"/>
        <w:jc w:val="center"/>
        <w:rPr>
          <w:rFonts w:ascii="Times New Roman" w:hAnsi="Times New Roman"/>
          <w:b/>
          <w:color w:val="000000"/>
          <w:sz w:val="20"/>
        </w:rPr>
      </w:pPr>
      <w:bookmarkStart w:id="34" w:name="consolidated_statements_cash_flows"/>
      <w:bookmarkEnd w:id="34"/>
      <w:r>
        <w:rPr>
          <w:rFonts w:ascii="Times New Roman" w:hAnsi="Times New Roman"/>
          <w:b/>
          <w:color w:val="000000"/>
          <w:sz w:val="20"/>
        </w:rPr>
        <w:t>CONSOLIDATED STATEMENTS OF CASH FLOWS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138"/>
        <w:gridCol w:w="146"/>
        <w:gridCol w:w="211"/>
        <w:gridCol w:w="991"/>
        <w:gridCol w:w="166"/>
        <w:gridCol w:w="146"/>
        <w:gridCol w:w="211"/>
        <w:gridCol w:w="991"/>
        <w:gridCol w:w="166"/>
        <w:gridCol w:w="146"/>
        <w:gridCol w:w="211"/>
        <w:gridCol w:w="931"/>
        <w:gridCol w:w="751"/>
      </w:tblGrid>
      <w:tr>
        <w:trPr/>
        <w:tc>
          <w:tcPr>
            <w:tcW w:w="513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r>
      <w:tr>
        <w:trPr/>
        <w:tc>
          <w:tcPr>
            <w:tcW w:w="51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7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9"/>
              </w:rPr>
            </w:pPr>
            <w:r>
              <w:rPr>
                <w:rFonts w:ascii="Times New Roman" w:hAnsi="Times New Roman"/>
                <w:b/>
                <w:color w:val="000000"/>
                <w:sz w:val="19"/>
              </w:rPr>
              <w:t>Year Ended December 31,</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9"/>
              </w:rPr>
            </w:pPr>
            <w:r>
              <w:rPr>
                <w:rFonts w:ascii="Times New Roman" w:hAnsi="Times New Roman"/>
                <w:b/>
                <w:color w:val="000000"/>
                <w:sz w:val="19"/>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9"/>
              </w:rPr>
            </w:pPr>
            <w:r>
              <w:rPr>
                <w:rFonts w:ascii="Times New Roman" w:hAnsi="Times New Roman"/>
                <w:b/>
                <w:color w:val="000000"/>
                <w:sz w:val="19"/>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9"/>
              </w:rPr>
            </w:pPr>
            <w:r>
              <w:rPr>
                <w:rFonts w:ascii="Times New Roman" w:hAnsi="Times New Roman"/>
                <w:b/>
                <w:color w:val="000000"/>
                <w:sz w:val="19"/>
              </w:rPr>
              <w:t>2023</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70"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(Amounts in thousands)</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1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Cash Flows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5138"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color w:val="000000"/>
                <w:sz w:val="19"/>
              </w:rPr>
            </w:pPr>
            <w:r>
              <w:rPr>
                <w:rFonts w:ascii="Times New Roman" w:hAnsi="Times New Roman"/>
                <w:color w:val="000000"/>
                <w:sz w:val="19"/>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1,511,182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1,163,109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719,307</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9"/>
              </w:rPr>
            </w:pPr>
            <w:r>
              <w:rPr>
                <w:rFonts w:ascii="Times New Roman" w:hAnsi="Times New Roman"/>
                <w:i/>
                <w:color w:val="000000"/>
                <w:sz w:val="19"/>
              </w:rPr>
              <w:t>Adjustments to reconcile net income to net cash provided by operating</w:t>
              <w:br/>
              <w:t>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5138"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color w:val="000000"/>
                <w:sz w:val="19"/>
              </w:rPr>
            </w:pPr>
            <w:r>
              <w:rPr>
                <w:rFonts w:ascii="Times New Roman" w:hAnsi="Times New Roman"/>
                <w:color w:val="000000"/>
                <w:sz w:val="19"/>
              </w:rPr>
              <w:t>Depreciation &amp;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618,743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584,831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568,041</w:t>
            </w:r>
          </w:p>
        </w:tc>
        <w:tc>
          <w:tcPr>
            <w:tcW w:w="75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5138"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color w:val="000000"/>
                <w:sz w:val="19"/>
              </w:rPr>
            </w:pPr>
            <w:r>
              <w:rPr>
                <w:rFonts w:ascii="Times New Roman" w:hAnsi="Times New Roman"/>
                <w:color w:val="000000"/>
                <w:sz w:val="19"/>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95,688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99,349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87,720</w:t>
            </w:r>
          </w:p>
        </w:tc>
        <w:tc>
          <w:tcPr>
            <w:tcW w:w="75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5138"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color w:val="000000"/>
                <w:sz w:val="19"/>
              </w:rPr>
            </w:pPr>
            <w:r>
              <w:rPr>
                <w:rFonts w:ascii="Times New Roman" w:hAnsi="Times New Roman"/>
                <w:color w:val="000000"/>
                <w:sz w:val="19"/>
              </w:rPr>
              <w:t>Unrealized gain on non-marketable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(93,291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0</w:t>
            </w:r>
          </w:p>
        </w:tc>
        <w:tc>
          <w:tcPr>
            <w:tcW w:w="75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5138"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color w:val="000000"/>
                <w:sz w:val="19"/>
              </w:rPr>
            </w:pPr>
            <w:r>
              <w:rPr>
                <w:rFonts w:ascii="Times New Roman" w:hAnsi="Times New Roman"/>
                <w:color w:val="000000"/>
                <w:sz w:val="19"/>
              </w:rPr>
              <w:t>Loss (gain) on sales of assets and businesses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7,968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(9,920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(6,250</w:t>
            </w:r>
          </w:p>
        </w:tc>
        <w:tc>
          <w:tcPr>
            <w:tcW w:w="75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color w:val="000000"/>
                <w:sz w:val="19"/>
              </w:rPr>
            </w:pPr>
            <w:r>
              <w:rPr>
                <w:rFonts w:ascii="Times New Roman" w:hAnsi="Times New Roman"/>
                <w:color w:val="000000"/>
                <w:sz w:val="19"/>
              </w:rPr>
              <w:t>)</w:t>
            </w:r>
          </w:p>
        </w:tc>
      </w:tr>
      <w:tr>
        <w:trPr/>
        <w:tc>
          <w:tcPr>
            <w:tcW w:w="5138"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color w:val="000000"/>
                <w:sz w:val="19"/>
              </w:rPr>
            </w:pPr>
            <w:r>
              <w:rPr>
                <w:rFonts w:ascii="Times New Roman" w:hAnsi="Times New Roman"/>
                <w:color w:val="000000"/>
                <w:sz w:val="19"/>
              </w:rPr>
              <w:t>Costs related to extinguishment of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3,158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0</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9"/>
              </w:rPr>
            </w:pPr>
            <w:r>
              <w:rPr>
                <w:rFonts w:ascii="Times New Roman" w:hAnsi="Times New Roman"/>
                <w:i/>
                <w:color w:val="000000"/>
                <w:sz w:val="19"/>
              </w:rPr>
              <w:t>Changes in assets &amp; liabilities, net of effects from acquisitions and</w:t>
              <w:br/>
              <w:t>   dispositions: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5138"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color w:val="000000"/>
                <w:sz w:val="19"/>
              </w:rPr>
            </w:pPr>
            <w:r>
              <w:rPr>
                <w:rFonts w:ascii="Times New Roman" w:hAnsi="Times New Roman"/>
                <w:color w:val="000000"/>
                <w:sz w:val="19"/>
              </w:rPr>
              <w:t>Accounts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(317,985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67,355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(182,444</w:t>
            </w:r>
          </w:p>
        </w:tc>
        <w:tc>
          <w:tcPr>
            <w:tcW w:w="75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color w:val="000000"/>
                <w:sz w:val="19"/>
              </w:rPr>
            </w:pPr>
            <w:r>
              <w:rPr>
                <w:rFonts w:ascii="Times New Roman" w:hAnsi="Times New Roman"/>
                <w:color w:val="000000"/>
                <w:sz w:val="19"/>
              </w:rPr>
              <w:t>)</w:t>
            </w:r>
          </w:p>
        </w:tc>
      </w:tr>
      <w:tr>
        <w:trPr/>
        <w:tc>
          <w:tcPr>
            <w:tcW w:w="5138"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color w:val="000000"/>
                <w:sz w:val="19"/>
              </w:rPr>
            </w:pPr>
            <w:r>
              <w:rPr>
                <w:rFonts w:ascii="Times New Roman" w:hAnsi="Times New Roman"/>
                <w:color w:val="000000"/>
                <w:sz w:val="19"/>
              </w:rPr>
              <w:t>Accrued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(4,053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12,814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1,193</w:t>
            </w:r>
          </w:p>
        </w:tc>
        <w:tc>
          <w:tcPr>
            <w:tcW w:w="75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5138"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color w:val="000000"/>
                <w:sz w:val="19"/>
              </w:rPr>
            </w:pPr>
            <w:r>
              <w:rPr>
                <w:rFonts w:ascii="Times New Roman" w:hAnsi="Times New Roman"/>
                <w:color w:val="000000"/>
                <w:sz w:val="19"/>
              </w:rPr>
              <w:t>Accrued and deferred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(21,441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12,651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(43,450</w:t>
            </w:r>
          </w:p>
        </w:tc>
        <w:tc>
          <w:tcPr>
            <w:tcW w:w="75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color w:val="000000"/>
                <w:sz w:val="19"/>
              </w:rPr>
            </w:pPr>
            <w:r>
              <w:rPr>
                <w:rFonts w:ascii="Times New Roman" w:hAnsi="Times New Roman"/>
                <w:color w:val="000000"/>
                <w:sz w:val="19"/>
              </w:rPr>
              <w:t>)</w:t>
            </w:r>
          </w:p>
        </w:tc>
      </w:tr>
      <w:tr>
        <w:trPr/>
        <w:tc>
          <w:tcPr>
            <w:tcW w:w="5138"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color w:val="000000"/>
                <w:sz w:val="19"/>
              </w:rPr>
            </w:pPr>
            <w:r>
              <w:rPr>
                <w:rFonts w:ascii="Times New Roman" w:hAnsi="Times New Roman"/>
                <w:color w:val="000000"/>
                <w:sz w:val="19"/>
              </w:rPr>
              <w:t>Other working capital accounts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99,189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61,897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(32,321</w:t>
            </w:r>
          </w:p>
        </w:tc>
        <w:tc>
          <w:tcPr>
            <w:tcW w:w="75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color w:val="000000"/>
                <w:sz w:val="19"/>
              </w:rPr>
            </w:pPr>
            <w:r>
              <w:rPr>
                <w:rFonts w:ascii="Times New Roman" w:hAnsi="Times New Roman"/>
                <w:color w:val="000000"/>
                <w:sz w:val="19"/>
              </w:rPr>
              <w:t>)</w:t>
            </w:r>
          </w:p>
        </w:tc>
      </w:tr>
      <w:tr>
        <w:trPr/>
        <w:tc>
          <w:tcPr>
            <w:tcW w:w="5138"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color w:val="000000"/>
                <w:sz w:val="19"/>
              </w:rPr>
            </w:pPr>
            <w:r>
              <w:rPr>
                <w:rFonts w:ascii="Times New Roman" w:hAnsi="Times New Roman"/>
                <w:color w:val="000000"/>
                <w:sz w:val="19"/>
              </w:rPr>
              <w:t>Other assets and deferred charges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(28,599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(12,163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48,517</w:t>
            </w:r>
          </w:p>
        </w:tc>
        <w:tc>
          <w:tcPr>
            <w:tcW w:w="75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5138"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color w:val="000000"/>
                <w:sz w:val="19"/>
              </w:rPr>
            </w:pPr>
            <w:r>
              <w:rPr>
                <w:rFonts w:ascii="Times New Roman" w:hAnsi="Times New Roman"/>
                <w:color w:val="000000"/>
                <w:sz w:val="19"/>
              </w:rPr>
              <w:t>Other,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19,700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21,811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39,133</w:t>
            </w:r>
          </w:p>
        </w:tc>
        <w:tc>
          <w:tcPr>
            <w:tcW w:w="75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5138"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color w:val="000000"/>
                <w:sz w:val="19"/>
              </w:rPr>
            </w:pPr>
            <w:r>
              <w:rPr>
                <w:rFonts w:ascii="Times New Roman" w:hAnsi="Times New Roman"/>
                <w:color w:val="000000"/>
                <w:sz w:val="19"/>
              </w:rPr>
              <w:t>Accrued insurance expense, net of commercial premiums paid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236,771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254,394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183,462</w:t>
            </w:r>
          </w:p>
        </w:tc>
        <w:tc>
          <w:tcPr>
            <w:tcW w:w="75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5138"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color w:val="000000"/>
                <w:sz w:val="19"/>
              </w:rPr>
            </w:pPr>
            <w:r>
              <w:rPr>
                <w:rFonts w:ascii="Times New Roman" w:hAnsi="Times New Roman"/>
                <w:color w:val="000000"/>
                <w:sz w:val="19"/>
              </w:rPr>
              <w:t>Payments made in settlement of self-insurance claims, net of commercial insurance reimbursements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(259,475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(192,185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(118,089</w:t>
            </w:r>
          </w:p>
        </w:tc>
        <w:tc>
          <w:tcPr>
            <w:tcW w:w="75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color w:val="000000"/>
                <w:sz w:val="19"/>
              </w:rPr>
            </w:pPr>
            <w:r>
              <w:rPr>
                <w:rFonts w:ascii="Times New Roman" w:hAnsi="Times New Roman"/>
                <w:color w:val="000000"/>
                <w:sz w:val="19"/>
              </w:rPr>
              <w:t>)</w:t>
            </w:r>
          </w:p>
        </w:tc>
      </w:tr>
      <w:tr>
        <w:trPr/>
        <w:tc>
          <w:tcPr>
            <w:tcW w:w="5138"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color w:val="000000"/>
                <w:sz w:val="19"/>
              </w:rPr>
            </w:pPr>
            <w:r>
              <w:rPr>
                <w:rFonts w:ascii="Times New Roman" w:hAnsi="Times New Roman"/>
                <w:color w:val="000000"/>
                <w:sz w:val="19"/>
              </w:rPr>
              <w:t>Deferred grant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2,978</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560"/>
              <w:jc w:val="left"/>
              <w:rPr/>
            </w:pPr>
            <w:r>
              <w:rPr/>
              <w:t> </w:t>
            </w:r>
          </w:p>
        </w:tc>
      </w:tr>
      <w:tr>
        <w:trPr/>
        <w:tc>
          <w:tcPr>
            <w:tcW w:w="5138" w:type="dxa"/>
            <w:tcBorders/>
            <w:shd w:fill="CFF0FC" w:val="clear"/>
            <w:tcMar>
              <w:top w:w="0" w:type="dxa"/>
              <w:left w:w="0" w:type="dxa"/>
              <w:bottom w:w="0" w:type="dxa"/>
              <w:right w:w="0" w:type="dxa"/>
            </w:tcMar>
            <w:vAlign w:val="center"/>
          </w:tcPr>
          <w:p>
            <w:pPr>
              <w:pStyle w:val="TableContents"/>
              <w:bidi w:val="0"/>
              <w:spacing w:before="0" w:after="283"/>
              <w:ind w:left="0" w:right="0" w:firstLine="560"/>
              <w:jc w:val="left"/>
              <w:rPr>
                <w:rFonts w:ascii="Times New Roman" w:hAnsi="Times New Roman"/>
                <w:color w:val="000000"/>
                <w:sz w:val="19"/>
              </w:rPr>
            </w:pPr>
            <w:r>
              <w:rPr>
                <w:rFonts w:ascii="Times New Roman" w:hAnsi="Times New Roman"/>
                <w:color w:val="000000"/>
                <w:sz w:val="19"/>
              </w:rPr>
              <w:t>Net cash provided by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1,864,397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2,067,101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1,267,797</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1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Cash Flows from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5138"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color w:val="000000"/>
                <w:sz w:val="19"/>
              </w:rPr>
            </w:pPr>
            <w:r>
              <w:rPr>
                <w:rFonts w:ascii="Times New Roman" w:hAnsi="Times New Roman"/>
                <w:color w:val="000000"/>
                <w:sz w:val="19"/>
              </w:rPr>
              <w:t>Property and equipment additions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(1,015,152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(943,810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(743,055</w:t>
            </w:r>
          </w:p>
        </w:tc>
        <w:tc>
          <w:tcPr>
            <w:tcW w:w="75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color w:val="000000"/>
                <w:sz w:val="19"/>
              </w:rPr>
            </w:pPr>
            <w:r>
              <w:rPr>
                <w:rFonts w:ascii="Times New Roman" w:hAnsi="Times New Roman"/>
                <w:color w:val="000000"/>
                <w:sz w:val="19"/>
              </w:rPr>
              <w:t>)</w:t>
            </w:r>
          </w:p>
        </w:tc>
      </w:tr>
      <w:tr>
        <w:trPr/>
        <w:tc>
          <w:tcPr>
            <w:tcW w:w="5138"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color w:val="000000"/>
                <w:sz w:val="19"/>
              </w:rPr>
            </w:pPr>
            <w:r>
              <w:rPr>
                <w:rFonts w:ascii="Times New Roman" w:hAnsi="Times New Roman"/>
                <w:color w:val="000000"/>
                <w:sz w:val="19"/>
              </w:rPr>
              <w:t>Proceeds received from sales of assets and businesses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15,863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38,563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24,187</w:t>
            </w:r>
          </w:p>
        </w:tc>
        <w:tc>
          <w:tcPr>
            <w:tcW w:w="75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5138"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color w:val="000000"/>
                <w:sz w:val="19"/>
              </w:rPr>
            </w:pPr>
            <w:r>
              <w:rPr>
                <w:rFonts w:ascii="Times New Roman" w:hAnsi="Times New Roman"/>
                <w:color w:val="000000"/>
                <w:sz w:val="19"/>
              </w:rPr>
              <w:t>Acquisition of businesses and property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(47,804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(18,998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(3,728</w:t>
            </w:r>
          </w:p>
        </w:tc>
        <w:tc>
          <w:tcPr>
            <w:tcW w:w="75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color w:val="000000"/>
                <w:sz w:val="19"/>
              </w:rPr>
            </w:pPr>
            <w:r>
              <w:rPr>
                <w:rFonts w:ascii="Times New Roman" w:hAnsi="Times New Roman"/>
                <w:color w:val="000000"/>
                <w:sz w:val="19"/>
              </w:rPr>
              <w:t>)</w:t>
            </w:r>
          </w:p>
        </w:tc>
      </w:tr>
      <w:tr>
        <w:trPr/>
        <w:tc>
          <w:tcPr>
            <w:tcW w:w="5138"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color w:val="000000"/>
                <w:sz w:val="19"/>
              </w:rPr>
            </w:pPr>
            <w:r>
              <w:rPr>
                <w:rFonts w:ascii="Times New Roman" w:hAnsi="Times New Roman"/>
                <w:color w:val="000000"/>
                <w:sz w:val="19"/>
              </w:rPr>
              <w:t>(Outflows) inflows from foreign exchange contracts that hedge our net U.K. investment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(52,213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12,860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(40,695</w:t>
            </w:r>
          </w:p>
        </w:tc>
        <w:tc>
          <w:tcPr>
            <w:tcW w:w="75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color w:val="000000"/>
                <w:sz w:val="19"/>
              </w:rPr>
            </w:pPr>
            <w:r>
              <w:rPr>
                <w:rFonts w:ascii="Times New Roman" w:hAnsi="Times New Roman"/>
                <w:color w:val="000000"/>
                <w:sz w:val="19"/>
              </w:rPr>
              <w:t>)</w:t>
            </w:r>
          </w:p>
        </w:tc>
      </w:tr>
      <w:tr>
        <w:trPr/>
        <w:tc>
          <w:tcPr>
            <w:tcW w:w="5138"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color w:val="000000"/>
                <w:sz w:val="19"/>
              </w:rPr>
            </w:pPr>
            <w:r>
              <w:rPr>
                <w:rFonts w:ascii="Times New Roman" w:hAnsi="Times New Roman"/>
                <w:color w:val="000000"/>
                <w:sz w:val="19"/>
              </w:rPr>
              <w:t>Costs incurred for purchase and development of enterprise resource planning application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(24,695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0</w:t>
            </w:r>
          </w:p>
        </w:tc>
        <w:tc>
          <w:tcPr>
            <w:tcW w:w="75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5138"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color w:val="000000"/>
                <w:sz w:val="19"/>
              </w:rPr>
            </w:pPr>
            <w:r>
              <w:rPr>
                <w:rFonts w:ascii="Times New Roman" w:hAnsi="Times New Roman"/>
                <w:color w:val="000000"/>
                <w:sz w:val="19"/>
              </w:rPr>
              <w:t>Proceeds received from sale of marketable equity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63,073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0</w:t>
            </w:r>
          </w:p>
        </w:tc>
        <w:tc>
          <w:tcPr>
            <w:tcW w:w="75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5138"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color w:val="000000"/>
                <w:sz w:val="19"/>
              </w:rPr>
            </w:pPr>
            <w:r>
              <w:rPr>
                <w:rFonts w:ascii="Times New Roman" w:hAnsi="Times New Roman"/>
                <w:color w:val="000000"/>
                <w:sz w:val="19"/>
              </w:rPr>
              <w:t>Investments in non-marketable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(9,831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0</w:t>
            </w:r>
          </w:p>
        </w:tc>
        <w:tc>
          <w:tcPr>
            <w:tcW w:w="75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5138"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color w:val="000000"/>
                <w:sz w:val="19"/>
              </w:rPr>
            </w:pPr>
            <w:r>
              <w:rPr>
                <w:rFonts w:ascii="Times New Roman" w:hAnsi="Times New Roman"/>
                <w:color w:val="000000"/>
                <w:sz w:val="19"/>
              </w:rPr>
              <w:t>Decrease in capital reserves of commercial insurance subsidiary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142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276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16</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560"/>
              <w:jc w:val="left"/>
              <w:rPr/>
            </w:pPr>
            <w:r>
              <w:rPr/>
              <w:t> </w:t>
            </w:r>
          </w:p>
        </w:tc>
      </w:tr>
      <w:tr>
        <w:trPr/>
        <w:tc>
          <w:tcPr>
            <w:tcW w:w="5138" w:type="dxa"/>
            <w:tcBorders/>
            <w:shd w:fill="CFF0FC" w:val="clear"/>
            <w:tcMar>
              <w:top w:w="0" w:type="dxa"/>
              <w:left w:w="0" w:type="dxa"/>
              <w:bottom w:w="0" w:type="dxa"/>
              <w:right w:w="0" w:type="dxa"/>
            </w:tcMar>
            <w:vAlign w:val="center"/>
          </w:tcPr>
          <w:p>
            <w:pPr>
              <w:pStyle w:val="TableContents"/>
              <w:bidi w:val="0"/>
              <w:spacing w:before="0" w:after="283"/>
              <w:ind w:left="0" w:right="0" w:firstLine="560"/>
              <w:jc w:val="left"/>
              <w:rPr>
                <w:rFonts w:ascii="Times New Roman" w:hAnsi="Times New Roman"/>
                <w:color w:val="000000"/>
                <w:sz w:val="19"/>
              </w:rPr>
            </w:pPr>
            <w:r>
              <w:rPr>
                <w:rFonts w:ascii="Times New Roman" w:hAnsi="Times New Roman"/>
                <w:color w:val="000000"/>
                <w:sz w:val="19"/>
              </w:rPr>
              <w:t>Net cash used in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(1,070,617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(911,109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(763,275</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51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Cash Flows from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5138"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color w:val="000000"/>
                <w:sz w:val="19"/>
              </w:rPr>
            </w:pPr>
            <w:r>
              <w:rPr>
                <w:rFonts w:ascii="Times New Roman" w:hAnsi="Times New Roman"/>
                <w:color w:val="000000"/>
                <w:sz w:val="19"/>
              </w:rPr>
              <w:t>Repayments of long-term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(43,504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(2,640,001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(85,480</w:t>
            </w:r>
          </w:p>
        </w:tc>
        <w:tc>
          <w:tcPr>
            <w:tcW w:w="75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color w:val="000000"/>
                <w:sz w:val="19"/>
              </w:rPr>
            </w:pPr>
            <w:r>
              <w:rPr>
                <w:rFonts w:ascii="Times New Roman" w:hAnsi="Times New Roman"/>
                <w:color w:val="000000"/>
                <w:sz w:val="19"/>
              </w:rPr>
              <w:t>)</w:t>
            </w:r>
          </w:p>
        </w:tc>
      </w:tr>
      <w:tr>
        <w:trPr/>
        <w:tc>
          <w:tcPr>
            <w:tcW w:w="5138"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color w:val="000000"/>
                <w:sz w:val="19"/>
              </w:rPr>
            </w:pPr>
            <w:r>
              <w:rPr>
                <w:rFonts w:ascii="Times New Roman" w:hAnsi="Times New Roman"/>
                <w:color w:val="000000"/>
                <w:sz w:val="19"/>
              </w:rPr>
              <w:t>Additional borrowings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285,536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2,210,248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185,100</w:t>
            </w:r>
          </w:p>
        </w:tc>
        <w:tc>
          <w:tcPr>
            <w:tcW w:w="75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5138"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color w:val="000000"/>
                <w:sz w:val="19"/>
              </w:rPr>
            </w:pPr>
            <w:r>
              <w:rPr>
                <w:rFonts w:ascii="Times New Roman" w:hAnsi="Times New Roman"/>
                <w:color w:val="000000"/>
                <w:sz w:val="19"/>
              </w:rPr>
              <w:t>Financing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(12,566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(308</w:t>
            </w:r>
          </w:p>
        </w:tc>
        <w:tc>
          <w:tcPr>
            <w:tcW w:w="75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color w:val="000000"/>
                <w:sz w:val="19"/>
              </w:rPr>
            </w:pPr>
            <w:r>
              <w:rPr>
                <w:rFonts w:ascii="Times New Roman" w:hAnsi="Times New Roman"/>
                <w:color w:val="000000"/>
                <w:sz w:val="19"/>
              </w:rPr>
              <w:t>)</w:t>
            </w:r>
          </w:p>
        </w:tc>
      </w:tr>
      <w:tr>
        <w:trPr/>
        <w:tc>
          <w:tcPr>
            <w:tcW w:w="5138"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color w:val="000000"/>
                <w:sz w:val="19"/>
              </w:rPr>
            </w:pPr>
            <w:r>
              <w:rPr>
                <w:rFonts w:ascii="Times New Roman" w:hAnsi="Times New Roman"/>
                <w:color w:val="000000"/>
                <w:sz w:val="19"/>
              </w:rPr>
              <w:t>Repurchase of common shares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(967,951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(670,754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(547,363</w:t>
            </w:r>
          </w:p>
        </w:tc>
        <w:tc>
          <w:tcPr>
            <w:tcW w:w="75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color w:val="000000"/>
                <w:sz w:val="19"/>
              </w:rPr>
            </w:pPr>
            <w:r>
              <w:rPr>
                <w:rFonts w:ascii="Times New Roman" w:hAnsi="Times New Roman"/>
                <w:color w:val="000000"/>
                <w:sz w:val="19"/>
              </w:rPr>
              <w:t>)</w:t>
            </w:r>
          </w:p>
        </w:tc>
      </w:tr>
      <w:tr>
        <w:trPr/>
        <w:tc>
          <w:tcPr>
            <w:tcW w:w="5138"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color w:val="000000"/>
                <w:sz w:val="19"/>
              </w:rPr>
            </w:pPr>
            <w:r>
              <w:rPr>
                <w:rFonts w:ascii="Times New Roman" w:hAnsi="Times New Roman"/>
                <w:color w:val="000000"/>
                <w:sz w:val="19"/>
              </w:rPr>
              <w:t>Dividends paid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(51,267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(53,346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(55,480</w:t>
            </w:r>
          </w:p>
        </w:tc>
        <w:tc>
          <w:tcPr>
            <w:tcW w:w="75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color w:val="000000"/>
                <w:sz w:val="19"/>
              </w:rPr>
            </w:pPr>
            <w:r>
              <w:rPr>
                <w:rFonts w:ascii="Times New Roman" w:hAnsi="Times New Roman"/>
                <w:color w:val="000000"/>
                <w:sz w:val="19"/>
              </w:rPr>
              <w:t>)</w:t>
            </w:r>
          </w:p>
        </w:tc>
      </w:tr>
      <w:tr>
        <w:trPr/>
        <w:tc>
          <w:tcPr>
            <w:tcW w:w="5138"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color w:val="000000"/>
                <w:sz w:val="19"/>
              </w:rPr>
            </w:pPr>
            <w:r>
              <w:rPr>
                <w:rFonts w:ascii="Times New Roman" w:hAnsi="Times New Roman"/>
                <w:color w:val="000000"/>
                <w:sz w:val="19"/>
              </w:rPr>
              <w:t>Issuance of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16,729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15,070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13,654</w:t>
            </w:r>
          </w:p>
        </w:tc>
        <w:tc>
          <w:tcPr>
            <w:tcW w:w="75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5138"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color w:val="000000"/>
                <w:sz w:val="19"/>
              </w:rPr>
            </w:pPr>
            <w:r>
              <w:rPr>
                <w:rFonts w:ascii="Times New Roman" w:hAnsi="Times New Roman"/>
                <w:color w:val="000000"/>
                <w:sz w:val="19"/>
              </w:rPr>
              <w:t>Profit distributions to noncontrolling interests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(11,734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(6,508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(6,830</w:t>
            </w:r>
          </w:p>
        </w:tc>
        <w:tc>
          <w:tcPr>
            <w:tcW w:w="75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color w:val="000000"/>
                <w:sz w:val="19"/>
              </w:rPr>
            </w:pPr>
            <w:r>
              <w:rPr>
                <w:rFonts w:ascii="Times New Roman" w:hAnsi="Times New Roman"/>
                <w:color w:val="000000"/>
                <w:sz w:val="19"/>
              </w:rPr>
              <w:t>)</w:t>
            </w:r>
          </w:p>
        </w:tc>
      </w:tr>
      <w:tr>
        <w:trPr/>
        <w:tc>
          <w:tcPr>
            <w:tcW w:w="5138"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color w:val="000000"/>
                <w:sz w:val="19"/>
              </w:rPr>
            </w:pPr>
            <w:r>
              <w:rPr>
                <w:rFonts w:ascii="Times New Roman" w:hAnsi="Times New Roman"/>
                <w:color w:val="000000"/>
                <w:sz w:val="19"/>
              </w:rPr>
              <w:t>Purchase of ownership interests by minority members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22,846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12,980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2,762</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560"/>
              <w:jc w:val="left"/>
              <w:rPr/>
            </w:pPr>
            <w:r>
              <w:rPr/>
              <w:t> </w:t>
            </w:r>
          </w:p>
        </w:tc>
      </w:tr>
      <w:tr>
        <w:trPr/>
        <w:tc>
          <w:tcPr>
            <w:tcW w:w="5138" w:type="dxa"/>
            <w:tcBorders/>
            <w:shd w:fill="CFF0FC" w:val="clear"/>
            <w:tcMar>
              <w:top w:w="0" w:type="dxa"/>
              <w:left w:w="0" w:type="dxa"/>
              <w:bottom w:w="0" w:type="dxa"/>
              <w:right w:w="0" w:type="dxa"/>
            </w:tcMar>
            <w:vAlign w:val="center"/>
          </w:tcPr>
          <w:p>
            <w:pPr>
              <w:pStyle w:val="TableContents"/>
              <w:bidi w:val="0"/>
              <w:spacing w:before="0" w:after="283"/>
              <w:ind w:left="0" w:right="0" w:firstLine="560"/>
              <w:jc w:val="left"/>
              <w:rPr>
                <w:rFonts w:ascii="Times New Roman" w:hAnsi="Times New Roman"/>
                <w:color w:val="000000"/>
                <w:sz w:val="19"/>
              </w:rPr>
            </w:pPr>
            <w:r>
              <w:rPr>
                <w:rFonts w:ascii="Times New Roman" w:hAnsi="Times New Roman"/>
                <w:color w:val="000000"/>
                <w:sz w:val="19"/>
              </w:rPr>
              <w:t>Net cash used in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(749,727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(1,144,877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(493,945</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80"/>
              <w:jc w:val="left"/>
              <w:rPr>
                <w:rFonts w:ascii="Times New Roman" w:hAnsi="Times New Roman"/>
                <w:color w:val="000000"/>
                <w:sz w:val="19"/>
              </w:rPr>
            </w:pPr>
            <w:r>
              <w:rPr>
                <w:rFonts w:ascii="Times New Roman" w:hAnsi="Times New Roman"/>
                <w:color w:val="000000"/>
                <w:sz w:val="19"/>
              </w:rPr>
              <w:t>)</w:t>
            </w:r>
          </w:p>
        </w:tc>
      </w:tr>
      <w:tr>
        <w:trPr/>
        <w:tc>
          <w:tcPr>
            <w:tcW w:w="5138"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color w:val="000000"/>
                <w:sz w:val="19"/>
              </w:rPr>
            </w:pPr>
            <w:r>
              <w:rPr>
                <w:rFonts w:ascii="Times New Roman" w:hAnsi="Times New Roman"/>
                <w:color w:val="000000"/>
                <w:sz w:val="19"/>
              </w:rPr>
              <w:t>Effect of exchange rate changes on 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2,517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(833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3,056</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1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Increase in cash, cash equivalents and 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46,570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10,282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13,633</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Cash, cash equivalents and restricted cash, beginning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224,752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214,470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200,837</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1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Cash, cash equivalents and restricted cash,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9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271,322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9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224,752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214,470</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1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Supplemental Disclosures of Cash Flow Information: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13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Interest paid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156,041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168,274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200,446</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13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Income taxes paid, net of refunds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470,865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325,430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257,896</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13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Noncash purchases of property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74,423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118,109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66,899</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consolidated financial statements.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98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35" w:name="notes_to_consolidated_financial_statemen"/>
      <w:bookmarkEnd w:id="35"/>
      <w:r>
        <w:rPr>
          <w:rFonts w:ascii="Times New Roman" w:hAnsi="Times New Roman"/>
          <w:b/>
          <w:color w:val="000000"/>
          <w:sz w:val="20"/>
        </w:rPr>
        <w:t>NOTES TO CONSOLIDATED FINANCIAL STATEMENTS</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18"/>
        </w:rPr>
        <w:t xml:space="preserve">1) </w:t>
      </w:r>
      <w:r>
        <w:rPr>
          <w:rFonts w:ascii="Times New Roman" w:hAnsi="Times New Roman"/>
          <w:b/>
          <w:color w:val="000000"/>
          <w:sz w:val="20"/>
        </w:rPr>
        <w:t>BUSINESS AND SUMMARY OF SIGNIFICANT ACCOUNTING POLICIES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Services provided by our hospitals, all of which are operated by subsidiaries of ours, include general and specialty surgery, internal medicine, obstetrics, emergency room care, radiology, oncology, diagnostic care, coronary care, pediatric services, pharmacy services and/or behavioral health services. We, through our subsidiaries, provide capital resources as well as a variety of management services to our facilities, including central purchasing, information services, finance and control systems, facilities planning, physician recruitment services, administrative personnel management, marketing and public relations.</w:t>
      </w:r>
    </w:p>
    <w:p>
      <w:pPr>
        <w:pStyle w:val="TextBody"/>
        <w:bidi w:val="0"/>
        <w:spacing w:before="120" w:after="283"/>
        <w:jc w:val="left"/>
        <w:rPr>
          <w:rFonts w:ascii="Times New Roman" w:hAnsi="Times New Roman"/>
          <w:sz w:val="20"/>
        </w:rPr>
      </w:pPr>
      <w:r>
        <w:rPr>
          <w:rFonts w:ascii="Times New Roman" w:hAnsi="Times New Roman"/>
          <w:b/>
          <w:color w:val="000000"/>
          <w:sz w:val="20"/>
        </w:rPr>
        <w:t xml:space="preserve">Principles of Consolidation: </w:t>
      </w:r>
      <w:r>
        <w:rPr>
          <w:rFonts w:ascii="Times New Roman" w:hAnsi="Times New Roman"/>
          <w:color w:val="000000"/>
          <w:sz w:val="20"/>
        </w:rPr>
        <w:t>The consolidated financial statements include the accounts of our majority-owned subsidiaries and partnerships controlled by us or our subsidiaries as the managing general partner. All intercompany accounts and transactions have been eliminated.</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Revenue Recognition:</w:t>
      </w:r>
    </w:p>
    <w:p>
      <w:pPr>
        <w:pStyle w:val="TextBody"/>
        <w:bidi w:val="0"/>
        <w:spacing w:before="120" w:after="283"/>
        <w:jc w:val="left"/>
        <w:rPr>
          <w:rFonts w:ascii="Times New Roman" w:hAnsi="Times New Roman"/>
          <w:sz w:val="20"/>
        </w:rPr>
      </w:pPr>
      <w:r>
        <w:rPr>
          <w:rFonts w:ascii="Times New Roman" w:hAnsi="Times New Roman"/>
          <w:i/>
          <w:color w:val="000000"/>
          <w:sz w:val="20"/>
        </w:rPr>
        <w:t>Patient services provided in the U.S.:</w:t>
      </w:r>
      <w:r>
        <w:rPr>
          <w:rFonts w:ascii="Times New Roman" w:hAnsi="Times New Roman"/>
          <w:color w:val="000000"/>
          <w:sz w:val="20"/>
        </w:rPr>
        <w:t xml:space="preserve"> We report net patient service revenue at the estimated net realizable amounts from patients and third-party payers and others for services rendered. We have agreements with third-party payers that provide for payments to us at amounts different from our established rates. Payment arrangements include rates per discharge, reimbursed costs, discounted charges and per diem payments. Estimates of contractual allowances under managed care plans, which represent explicit price concessions, are based upon the payment terms specified in the related contractual agreements. We closely monitor our historical collection rates, as well as changes in applicable laws, rules and regulations and contract terms, to assure that provisions are made using the most accurate information available. However, due to the complexities involved in these estimations, actual payments from payers may be different from the amounts we estimate and record.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estimate our Medicare and Medicaid revenues using the latest available financial information, patient utilization data, government provided data and in accordance with applicable Medicare and Medicaid payment rules and regulations. The laws and regulations governing the Medicare and Medicaid programs are extremely complex and subject to interpretation. Certain types of payments by the Medicare program and state Medicaid programs (e.g. Medicaid State Directed Payments, Medicare Disproportionate Share Hospital, Medicare Allowable Bad Debts and Inpatient Psychiatric Services) are subject to retroactive adjustment in future periods as a result of administrative review and audit and our estimates may vary from the final settlements. The funding of both federal Medicare and state Medicaid programs are subject to legislative and regulatory changes. As such, we cannot provide any assurance that future legislation and regulations, if enacted, will not have a material impact on our future Medicare and Medicaid reimbursements. </w:t>
      </w:r>
    </w:p>
    <w:p>
      <w:pPr>
        <w:pStyle w:val="TextBody"/>
        <w:bidi w:val="0"/>
        <w:spacing w:before="120" w:after="283"/>
        <w:jc w:val="left"/>
        <w:rPr>
          <w:rFonts w:ascii="Times New Roman" w:hAnsi="Times New Roman"/>
          <w:sz w:val="20"/>
        </w:rPr>
      </w:pPr>
      <w:r>
        <w:rPr>
          <w:rFonts w:ascii="Times New Roman" w:hAnsi="Times New Roman"/>
          <w:i/>
          <w:color w:val="000000"/>
          <w:sz w:val="20"/>
        </w:rPr>
        <w:t>Behavioral health care services provided in the U.K.:</w:t>
      </w:r>
      <w:r>
        <w:rPr>
          <w:rFonts w:ascii="Times New Roman" w:hAnsi="Times New Roman"/>
          <w:color w:val="000000"/>
          <w:sz w:val="20"/>
        </w:rPr>
        <w:t xml:space="preserve"> The majority of the revenues generated by our behavioral health care facilities located in the U.K. are recorded pursuant to contracts with the National Health Service and other local governments for services including the following: behavioral health care services, rehabilitation services, residential homes, nursing homes, supported living services and specialist day services. </w:t>
      </w:r>
    </w:p>
    <w:p>
      <w:pPr>
        <w:pStyle w:val="TextBody"/>
        <w:bidi w:val="0"/>
        <w:spacing w:before="120" w:after="283"/>
        <w:jc w:val="left"/>
        <w:rPr>
          <w:rFonts w:ascii="Times New Roman" w:hAnsi="Times New Roman"/>
          <w:sz w:val="20"/>
        </w:rPr>
      </w:pPr>
      <w:r>
        <w:rPr>
          <w:rFonts w:ascii="Times New Roman" w:hAnsi="Times New Roman"/>
          <w:i/>
          <w:color w:val="000000"/>
          <w:sz w:val="20"/>
        </w:rPr>
        <w:t xml:space="preserve">Commercial health insurer - certain acute care markets: </w:t>
      </w:r>
      <w:r>
        <w:rPr>
          <w:rFonts w:ascii="Times New Roman" w:hAnsi="Times New Roman"/>
          <w:color w:val="000000"/>
          <w:sz w:val="20"/>
        </w:rPr>
        <w:t xml:space="preserve">The majority of the revenues generated by our commercial health insurer conducting business in certain acute care markets relate to Medicare Advantage premiums which are determined by the Centers for Medicare and Medicaid Services ("CMS") utilizing a risk adjustment model that apportions premiums paid to health plans according to health and geographic factors. Risk score adjustments result in retroactive premium adjustments. The revenue adjustments are recognized when the amount is determinable and collectability or liability is reasonably assured. CMS also uses a star rating system which is derived from comprehensive evaluations of member satisfaction, quality of care and operational efficiency. In addition, our insurer also generates revenues from premiums for coverage under membership contracts with employer groups and individuals.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See </w:t>
      </w:r>
      <w:r>
        <w:rPr>
          <w:rFonts w:ascii="Times New Roman" w:hAnsi="Times New Roman"/>
          <w:i/>
          <w:color w:val="000000"/>
          <w:sz w:val="20"/>
        </w:rPr>
        <w:t>Note 10 - Revenue Recognition</w:t>
      </w:r>
      <w:r>
        <w:rPr>
          <w:rFonts w:ascii="Times New Roman" w:hAnsi="Times New Roman"/>
          <w:color w:val="000000"/>
          <w:sz w:val="20"/>
        </w:rPr>
        <w:t>, for additional disclosure related to our revenues including a disaggregation of our consolidated net revenues by major source for each of the periods presented herein.</w:t>
      </w:r>
    </w:p>
    <w:p>
      <w:pPr>
        <w:pStyle w:val="TextBody"/>
        <w:bidi w:val="0"/>
        <w:spacing w:before="120" w:after="283"/>
        <w:jc w:val="left"/>
        <w:rPr>
          <w:rFonts w:ascii="Times New Roman" w:hAnsi="Times New Roman"/>
          <w:sz w:val="20"/>
        </w:rPr>
      </w:pPr>
      <w:r>
        <w:rPr>
          <w:rFonts w:ascii="Times New Roman" w:hAnsi="Times New Roman"/>
          <w:b/>
          <w:color w:val="000000"/>
          <w:sz w:val="20"/>
        </w:rPr>
        <w:t xml:space="preserve">Charity Care, Uninsured Discounts and Other Adjustments to Revenue: </w:t>
      </w:r>
      <w:r>
        <w:rPr>
          <w:rFonts w:ascii="Times New Roman" w:hAnsi="Times New Roman"/>
          <w:color w:val="000000"/>
          <w:sz w:val="20"/>
        </w:rPr>
        <w:t xml:space="preserve">Collection of receivables from third-party payers and patients is our primary source of cash and is critical to our operating performance. Our primary collection risks relate to uninsured patients and the portion of the bill which is the patient’s responsibility, primarily co-payments and deductibles. We estimate our revenue adjustments for implicit price concessions based on general factors such as payer mix, the aging of the receivables and historical collection experience. We routinely review accounts receivable balances in conjunction with these factors and other economic conditions which might ultimately affect the collectability of the patient accounts and make adjustments to our allowances as warranted. At our acute care hospitals, third party liability accounts are pursued until all payment and adjustments are posted to the patient account. For those accounts with a patient balance after third party liability is finalized or accounts for uninsured patients, the patient receives statements and collection letters.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99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Historically, a significant portion of the patients treated throughout our portfolio of acute care hospitals are uninsured patients which, in part, has resulted from patients who are employed but do not have health insurance or who have policies with relatively high deductibles. Patients treated at our hospitals for non-elective services, who have gross income of various amounts, dependent upon the state, ranging from 200% to 400% of the federal poverty guidelines, are deemed eligible for charity care. The federal poverty guidelines are established by the federal government and are based on income and family size. Because we do not pursue collection of amounts that qualify as charity care, the transaction price is fully adjusted and there is no impact in our net revenues or in our accounts receivable, net.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portion of the accounts receivable at our acute care facilities are comprised of Medicaid accounts that are pending approval from third-party payers but we also have smaller amounts due from other miscellaneous payers such as county indigent programs in certain states. Our patient registration process includes an interview of the patient or the patient’s responsible party at the time of registration. At that time, an insurance eligibility determination is made and an insurance plan code is assigned. There are various pre-established insurance profiles in our patient accounting system which determine the expected insurance reimbursement for each patient based on the insurance plan code assigned and the services rendered. Certain patients may be classified as Medicaid pending at registration based upon a screening evaluation if we are unable to definitively determine if they are currently Medicaid eligible. When a patient is registered as Medicaid eligible or Medicaid pending, our patient accounting system records net revenues for services provided to that patient based upon the established Medicaid reimbursement rates, subject to the ultimate disposition of the patient’s Medicaid eligibility. When the patient’s ultimate eligibility is determined, reclassifications may occur which impacts net revenues in future periods. Although the patient’s ultimate eligibility determination may result in adjustments to net revenues, these adjustments do not have a material impact on our results of operations in 2025, 2024 or 2023 since our facilities make estimates at each financial reporting period to adjust revenue based on historical collections.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also provide discounts to uninsured patients (included in “uninsured discounts” amounts below) who do not qualify for Medicaid or charity care. Because we do not pursue collection of amounts classified as uninsured discounts, the transaction price is fully adjusted and there is no impact in our net revenues or in our net accounts receivable. In implementing the discount policy, we first attempt to qualify uninsured patients for governmental programs, charity care or any other discount program. If an uninsured patient does not qualify for these programs, the uninsured discount is applied.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Uncompensated care (charity care and uninsured discounts):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shows the amounts recorded at our acute care hospitals for charity care and uninsured discounts, based on charges at established rates, for the years ended December 31, 2025, 2024 and 2023:</w:t>
      </w:r>
    </w:p>
    <w:p>
      <w:pPr>
        <w:pStyle w:val="TextBody"/>
        <w:bidi w:val="0"/>
        <w:jc w:val="left"/>
        <w:rPr/>
      </w:pPr>
      <w:r>
        <w:rPr/>
        <w:t> </w:t>
      </w:r>
    </w:p>
    <w:tbl>
      <w:tblPr>
        <w:tblW w:w="9550" w:type="dxa"/>
        <w:jc w:val="left"/>
        <w:tblInd w:w="0" w:type="dxa"/>
        <w:tblLayout w:type="fixed"/>
        <w:tblCellMar>
          <w:top w:w="28" w:type="dxa"/>
          <w:left w:w="28" w:type="dxa"/>
          <w:bottom w:w="28" w:type="dxa"/>
          <w:right w:w="28" w:type="dxa"/>
        </w:tblCellMar>
      </w:tblPr>
      <w:tblGrid>
        <w:gridCol w:w="2251"/>
        <w:gridCol w:w="146"/>
        <w:gridCol w:w="211"/>
        <w:gridCol w:w="931"/>
        <w:gridCol w:w="146"/>
        <w:gridCol w:w="146"/>
        <w:gridCol w:w="146"/>
        <w:gridCol w:w="421"/>
        <w:gridCol w:w="271"/>
        <w:gridCol w:w="146"/>
        <w:gridCol w:w="211"/>
        <w:gridCol w:w="931"/>
        <w:gridCol w:w="146"/>
        <w:gridCol w:w="146"/>
        <w:gridCol w:w="146"/>
        <w:gridCol w:w="421"/>
        <w:gridCol w:w="271"/>
        <w:gridCol w:w="146"/>
        <w:gridCol w:w="211"/>
        <w:gridCol w:w="931"/>
        <w:gridCol w:w="146"/>
        <w:gridCol w:w="146"/>
        <w:gridCol w:w="146"/>
        <w:gridCol w:w="421"/>
        <w:gridCol w:w="316"/>
      </w:tblGrid>
      <w:tr>
        <w:trPr/>
        <w:tc>
          <w:tcPr>
            <w:tcW w:w="22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37" w:type="dxa"/>
            <w:gridSpan w:val="2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(dollar amounts in thousands)</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Charity care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984,235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819,681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843,449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2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Uninsured discounts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2,964,840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2,677,026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1,792,493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2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uncompensated care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3,949,075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3,496,707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2,635,942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3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40" w:after="283"/>
        <w:jc w:val="left"/>
        <w:rPr>
          <w:rFonts w:ascii="Times New Roman" w:hAnsi="Times New Roman"/>
          <w:i/>
          <w:color w:val="000000"/>
          <w:sz w:val="20"/>
        </w:rPr>
      </w:pPr>
      <w:r>
        <w:rPr>
          <w:rFonts w:ascii="Times New Roman" w:hAnsi="Times New Roman"/>
          <w:i/>
          <w:color w:val="000000"/>
          <w:sz w:val="20"/>
        </w:rPr>
        <w:t>The estimated cost of providing uncompensated care: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estimated cost of providing uncompensated care, as reflected below, were based on a calculation which multiplied the percentage of operating expenses for our acute care hospitals to gross charges for those hospitals by the above-mentioned total uncompensated care amounts. The percentage of cost to gross charges is calculated based on the total operating expenses for our acute care facilities divided by gross patient service revenue for those facilities. An increase in the level of uninsured patients to our facilities and the resulting adverse trends in the adjustments to net revenues and uncompensated care provided could have a material unfavorable impact on our future operating results.</w:t>
      </w:r>
    </w:p>
    <w:p>
      <w:pPr>
        <w:pStyle w:val="TextBody"/>
        <w:bidi w:val="0"/>
        <w:jc w:val="left"/>
        <w:rPr/>
      </w:pPr>
      <w:r>
        <w:rPr/>
        <w:t> </w:t>
      </w:r>
    </w:p>
    <w:tbl>
      <w:tblPr>
        <w:tblW w:w="7963" w:type="dxa"/>
        <w:jc w:val="left"/>
        <w:tblInd w:w="0" w:type="dxa"/>
        <w:tblLayout w:type="fixed"/>
        <w:tblCellMar>
          <w:top w:w="28" w:type="dxa"/>
          <w:left w:w="28" w:type="dxa"/>
          <w:bottom w:w="28" w:type="dxa"/>
          <w:right w:w="28" w:type="dxa"/>
        </w:tblCellMar>
      </w:tblPr>
      <w:tblGrid>
        <w:gridCol w:w="4066"/>
        <w:gridCol w:w="146"/>
        <w:gridCol w:w="211"/>
        <w:gridCol w:w="781"/>
        <w:gridCol w:w="146"/>
        <w:gridCol w:w="146"/>
        <w:gridCol w:w="211"/>
        <w:gridCol w:w="781"/>
        <w:gridCol w:w="146"/>
        <w:gridCol w:w="146"/>
        <w:gridCol w:w="211"/>
        <w:gridCol w:w="781"/>
        <w:gridCol w:w="191"/>
      </w:tblGrid>
      <w:tr>
        <w:trPr/>
        <w:tc>
          <w:tcPr>
            <w:tcW w:w="40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0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(amounts in thousands)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Estimated cost of providing charity care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87,756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75,227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83,383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Estimated cost of providing uninsured discounts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264,349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245,687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177,206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Estimated cost of providing uncompensated care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352,105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320,914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260,589</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sz w:val="20"/>
        </w:rPr>
      </w:pPr>
      <w:r>
        <w:rPr>
          <w:rFonts w:ascii="Times New Roman" w:hAnsi="Times New Roman"/>
          <w:b/>
          <w:color w:val="000000"/>
          <w:sz w:val="20"/>
        </w:rPr>
        <w:t>Concentration of Revenues:</w:t>
      </w:r>
      <w:r>
        <w:rPr>
          <w:rFonts w:ascii="Times New Roman" w:hAnsi="Times New Roman"/>
          <w:color w:val="000000"/>
          <w:sz w:val="20"/>
        </w:rPr>
        <w:t xml:space="preserve"> Our eight acute care hospitals and nine free-standing emergency departments in the Las Vegas, Nevada, market contributed, on a combined basis, 15% in both 2025 and 2024 and 14% in 2023 of our consolidated net revenues.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100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color w:val="000000"/>
          <w:sz w:val="20"/>
        </w:rPr>
        <w:t>Cash, Cash Equivalents and Restricted Cash:</w:t>
      </w:r>
      <w:r>
        <w:rPr>
          <w:rFonts w:ascii="Times New Roman" w:hAnsi="Times New Roman"/>
          <w:color w:val="000000"/>
          <w:sz w:val="20"/>
        </w:rPr>
        <w:t xml:space="preserve"> We consider all highly liquid investments purchased with maturities of three months or less to be cash equivalents.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Cash, cash equivalents, and restricted cash as reported in the consolidated statements of cash flows are presented separately on our consolidated balance sheets as follow:</w:t>
      </w:r>
    </w:p>
    <w:tbl>
      <w:tblPr>
        <w:tblW w:w="7843" w:type="dxa"/>
        <w:jc w:val="left"/>
        <w:tblInd w:w="0" w:type="dxa"/>
        <w:tblLayout w:type="fixed"/>
        <w:tblCellMar>
          <w:top w:w="28" w:type="dxa"/>
          <w:left w:w="28" w:type="dxa"/>
          <w:bottom w:w="28" w:type="dxa"/>
          <w:right w:w="28" w:type="dxa"/>
        </w:tblCellMar>
      </w:tblPr>
      <w:tblGrid>
        <w:gridCol w:w="3946"/>
        <w:gridCol w:w="146"/>
        <w:gridCol w:w="211"/>
        <w:gridCol w:w="781"/>
        <w:gridCol w:w="146"/>
        <w:gridCol w:w="146"/>
        <w:gridCol w:w="211"/>
        <w:gridCol w:w="781"/>
        <w:gridCol w:w="146"/>
        <w:gridCol w:w="146"/>
        <w:gridCol w:w="211"/>
        <w:gridCol w:w="781"/>
        <w:gridCol w:w="191"/>
      </w:tblGrid>
      <w:tr>
        <w:trPr/>
        <w:tc>
          <w:tcPr>
            <w:tcW w:w="3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9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(amounts in thousands)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137,797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125,983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119,439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cash (a)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133,525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98,769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95,031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cash, cash equivalents and 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271,322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224,752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214,470</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9354"/>
        <w:gridCol w:w="851"/>
      </w:tblGrid>
      <w:tr>
        <w:trPr/>
        <w:tc>
          <w:tcPr>
            <w:tcW w:w="9354"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ind w:left="0" w:right="0" w:firstLine="720"/>
              <w:jc w:val="left"/>
              <w:rPr>
                <w:sz w:val="4"/>
                <w:szCs w:val="4"/>
              </w:rPr>
            </w:pPr>
            <w:r>
              <w:rPr>
                <w:sz w:val="4"/>
                <w:szCs w:val="4"/>
              </w:rPr>
            </w:r>
          </w:p>
        </w:tc>
      </w:tr>
      <w:tr>
        <w:trPr/>
        <w:tc>
          <w:tcPr>
            <w:tcW w:w="9354" w:type="dxa"/>
            <w:tcBorders/>
            <w:shd w:fill="FFFFFF" w:val="clear"/>
            <w:tcMar>
              <w:top w:w="0" w:type="dxa"/>
              <w:left w:w="0" w:type="dxa"/>
              <w:bottom w:w="0" w:type="dxa"/>
              <w:right w:w="0" w:type="dxa"/>
            </w:tcMar>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(a)</w:t>
            </w:r>
          </w:p>
          <w:p>
            <w:pPr>
              <w:pStyle w:val="TableContents"/>
              <w:bidi w:val="0"/>
              <w:jc w:val="left"/>
              <w:rPr>
                <w:rFonts w:ascii="Times New Roman" w:hAnsi="Times New Roman"/>
                <w:color w:val="000000"/>
                <w:sz w:val="20"/>
              </w:rPr>
            </w:pPr>
            <w:r>
              <w:rPr>
                <w:rFonts w:ascii="Times New Roman" w:hAnsi="Times New Roman"/>
                <w:color w:val="000000"/>
                <w:sz w:val="20"/>
              </w:rPr>
              <w:t>Restricted cash is included in other assets on the accompanying consolidated balance sheets and consists of statutorily required capital reserves related to our commercial insurance subsidiary.</w:t>
            </w:r>
          </w:p>
          <w:p>
            <w:pPr>
              <w:pStyle w:val="TableContents"/>
              <w:bidi w:val="0"/>
              <w:spacing w:before="120" w:after="283"/>
              <w:ind w:left="0" w:right="0" w:firstLine="720"/>
              <w:jc w:val="left"/>
              <w:rPr>
                <w:rFonts w:ascii="Times New Roman" w:hAnsi="Times New Roman"/>
                <w:color w:val="000000"/>
                <w:sz w:val="20"/>
              </w:rPr>
            </w:pPr>
            <w:r>
              <w:rPr>
                <w:rFonts w:ascii="Times New Roman" w:hAnsi="Times New Roman"/>
                <w:color w:val="000000"/>
                <w:sz w:val="20"/>
              </w:rPr>
              <w:t>The fair value of our restricted cash was computed based upon quotes received from financial institutions. We consider these to be “level 1” in the fair value hierarchy as outlined in the authoritative guidance for disclosures in connection with financial securities.</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left"/>
        <w:rPr>
          <w:rFonts w:ascii="Times New Roman" w:hAnsi="Times New Roman"/>
          <w:sz w:val="20"/>
        </w:rPr>
      </w:pPr>
      <w:r>
        <w:rPr>
          <w:rFonts w:ascii="Times New Roman" w:hAnsi="Times New Roman"/>
          <w:b/>
          <w:color w:val="000000"/>
          <w:sz w:val="20"/>
        </w:rPr>
        <w:t>Property and Equipment:</w:t>
      </w:r>
      <w:r>
        <w:rPr>
          <w:rFonts w:ascii="Times New Roman" w:hAnsi="Times New Roman"/>
          <w:color w:val="000000"/>
          <w:sz w:val="20"/>
        </w:rPr>
        <w:t xml:space="preserve"> Property and equipment are stated at cost. Expenditures for renewals and improvements are charged to the property accounts. Replacements, maintenance and repairs which do not improve or extend the life of the respective asset are expensed as incurred. We remove the cost and the related accumulated depreciation from the accounts for assets sold or retired and the resulting gains or losses are included in the results of operations. Construction-in-progress includes both construction projects and equipment not yet placed into service.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capitalized interest during the construction period of major construction projects and during the development and implementation of information technology applications amounting to $33.6 million during 2025, $38.9 million during 2024 and $24.4 million during 2023.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Depreciation is provided on the straight-line method over the estimated useful lives of buildings and improvements (twenty to forty years) and equipment (three to fifteen years). Depreciation expense was $594.0 million during 2025, $559.6 million during 2024 and $535.6 million during 2023. </w:t>
      </w:r>
    </w:p>
    <w:p>
      <w:pPr>
        <w:pStyle w:val="TextBody"/>
        <w:bidi w:val="0"/>
        <w:spacing w:before="120" w:after="283"/>
        <w:jc w:val="left"/>
        <w:rPr>
          <w:rFonts w:ascii="Times New Roman" w:hAnsi="Times New Roman"/>
          <w:sz w:val="20"/>
        </w:rPr>
      </w:pPr>
      <w:r>
        <w:rPr>
          <w:rFonts w:ascii="Times New Roman" w:hAnsi="Times New Roman"/>
          <w:b/>
          <w:color w:val="000000"/>
          <w:sz w:val="20"/>
        </w:rPr>
        <w:t xml:space="preserve">Long-Lived Assets: </w:t>
      </w:r>
      <w:r>
        <w:rPr>
          <w:rFonts w:ascii="Times New Roman" w:hAnsi="Times New Roman"/>
          <w:color w:val="000000"/>
          <w:sz w:val="20"/>
        </w:rPr>
        <w:t>We review our long-lived assets, including intangible assets, for impairment whenever events or circumstances indicate that the carrying value of these assets may not be recoverable. The assessment of possible impairment is based on our ability to recover the carrying value of our asset based on our estimate of its undiscounted future cash flows. If the analysis indicates that the carrying value is not recoverable from future cash flows, the asset is written down to its estimated fair value and an impairment loss is recognized. Fair values are determined based on estimated future cash flows using appropriate discount rates.</w:t>
      </w:r>
    </w:p>
    <w:p>
      <w:pPr>
        <w:pStyle w:val="TextBody"/>
        <w:bidi w:val="0"/>
        <w:spacing w:before="120" w:after="283"/>
        <w:jc w:val="left"/>
        <w:rPr>
          <w:rFonts w:ascii="Times New Roman" w:hAnsi="Times New Roman"/>
          <w:sz w:val="20"/>
        </w:rPr>
      </w:pPr>
      <w:r>
        <w:rPr>
          <w:rFonts w:ascii="Times New Roman" w:hAnsi="Times New Roman"/>
          <w:b/>
          <w:color w:val="000000"/>
          <w:sz w:val="20"/>
        </w:rPr>
        <w:t xml:space="preserve">Goodwill: </w:t>
      </w:r>
      <w:r>
        <w:rPr>
          <w:rFonts w:ascii="Times New Roman" w:hAnsi="Times New Roman"/>
          <w:color w:val="000000"/>
          <w:sz w:val="20"/>
        </w:rPr>
        <w:t>Goodwill is reviewed for impairment at the reporting unit level on an annual basis or sooner if the indicators of impairment arise. Our judgments regarding the existence of impairment indicators are based on market conditions and operational performance of each reporting unit. We have designated October 1</w:t>
      </w:r>
      <w:r>
        <w:rPr>
          <w:rFonts w:ascii="Times New Roman" w:hAnsi="Times New Roman"/>
          <w:color w:val="000000"/>
          <w:sz w:val="13"/>
        </w:rPr>
        <w:t>st</w:t>
      </w:r>
      <w:r>
        <w:rPr>
          <w:rFonts w:ascii="Times New Roman" w:hAnsi="Times New Roman"/>
          <w:color w:val="000000"/>
          <w:sz w:val="20"/>
        </w:rPr>
        <w:t xml:space="preserve"> as our annual impairment assessment date and performed quantitative impairment assessments as of October 1, 2025 which indicated no impairment of goodwill. There were also no goodwill impairments during 2024 or 2023. Future changes in the estimates used to conduct the impairment reviews, including profitability and market value projections, could indicate impairment in future periods potentially resulting in a write-off of a portion or all of our goodwill.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the carrying amount of goodwill for the two years ended December 31, 2025 were as follows (in thousands):</w:t>
      </w:r>
    </w:p>
    <w:p>
      <w:pPr>
        <w:pStyle w:val="TextBody"/>
        <w:bidi w:val="0"/>
        <w:jc w:val="left"/>
        <w:rPr/>
      </w:pPr>
      <w:r>
        <w:rPr/>
        <w:t> </w:t>
      </w:r>
    </w:p>
    <w:tbl>
      <w:tblPr>
        <w:tblW w:w="7328" w:type="dxa"/>
        <w:jc w:val="left"/>
        <w:tblInd w:w="0" w:type="dxa"/>
        <w:tblLayout w:type="fixed"/>
        <w:tblCellMar>
          <w:top w:w="28" w:type="dxa"/>
          <w:left w:w="28" w:type="dxa"/>
          <w:bottom w:w="28" w:type="dxa"/>
          <w:right w:w="28" w:type="dxa"/>
        </w:tblCellMar>
      </w:tblPr>
      <w:tblGrid>
        <w:gridCol w:w="3091"/>
        <w:gridCol w:w="146"/>
        <w:gridCol w:w="211"/>
        <w:gridCol w:w="781"/>
        <w:gridCol w:w="146"/>
        <w:gridCol w:w="146"/>
        <w:gridCol w:w="211"/>
        <w:gridCol w:w="931"/>
        <w:gridCol w:w="166"/>
        <w:gridCol w:w="146"/>
        <w:gridCol w:w="211"/>
        <w:gridCol w:w="931"/>
        <w:gridCol w:w="211"/>
      </w:tblGrid>
      <w:tr>
        <w:trPr/>
        <w:tc>
          <w:tcPr>
            <w:tcW w:w="30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Acute Care</w:t>
              <w:br/>
              <w:t>Services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Behavioral</w:t>
              <w:br/>
              <w:t>Health</w:t>
              <w:br/>
              <w:t>Services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br/>
              <w:t>Consolidated</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January 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516,628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3,415,779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3,932,407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Goodwill acquired during the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13,252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Goodwill divested during the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(5,298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Adjustments to goodwill (a)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(7,482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(7,482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529,880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3,402,999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3,932,879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Goodwill acquired during the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21,786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Goodwill divested during the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Adjustments to goodwill (a)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35,548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35,548</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0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529,880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3,460,333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3,990,213</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0" w:after="0"/>
        <w:jc w:val="left"/>
        <w:rPr>
          <w:rFonts w:ascii="Times New Roman" w:hAnsi="Times New Roman"/>
          <w:color w:val="000000"/>
          <w:sz w:val="20"/>
        </w:rPr>
      </w:pPr>
      <w:r>
        <w:rPr>
          <w:rFonts w:ascii="Times New Roman" w:hAnsi="Times New Roman"/>
          <w:color w:val="000000"/>
          <w:sz w:val="20"/>
        </w:rPr>
        <w:t>(a)</w:t>
      </w:r>
    </w:p>
    <w:p>
      <w:pPr>
        <w:pStyle w:val="TextBody"/>
        <w:bidi w:val="0"/>
        <w:jc w:val="left"/>
        <w:rPr>
          <w:rFonts w:ascii="Times New Roman" w:hAnsi="Times New Roman"/>
          <w:color w:val="000000"/>
          <w:sz w:val="20"/>
        </w:rPr>
      </w:pPr>
      <w:r>
        <w:rPr>
          <w:rFonts w:ascii="Times New Roman" w:hAnsi="Times New Roman"/>
          <w:color w:val="000000"/>
          <w:sz w:val="20"/>
        </w:rPr>
        <w:t>The changes in the Behavioral Health Services’ goodwill consist of foreign currency translation adjustments.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101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color w:val="000000"/>
          <w:sz w:val="20"/>
        </w:rPr>
        <w:t>Other Assets, Intangible Assets and Non-Marketable Securities:</w:t>
      </w:r>
      <w:r>
        <w:rPr>
          <w:rFonts w:ascii="Times New Roman" w:hAnsi="Times New Roman"/>
          <w:color w:val="000000"/>
          <w:sz w:val="20"/>
        </w:rPr>
        <w:t xml:space="preserve"> Other assets consist primarily of amounts related to: (i) intangible assets acquired in connection with our acquisitions of Cambian Group, PLC’s adult services’ division during 2015, Ascend Health Corporation during 2012 and Psychiatric Solutions, Inc. during 2010; (ii) prepaid fees for various software and other applications used by our hospitals; (iii) statutorily required capital reserves related to our commercial insurance subsidiary ($153 million and $118 million as of December 31, 2025 and 2024, respectively); (iv) deposits; (v) investments in various businesses, including Universal Health Realty Income Trust ($4 million and $6 million as of as of December 31, 2025 and 2024, respectively), Premier, Inc. ($47 million as of December 31, 2024; in November, 2025 we sold all of our remaining shares in Premier Inc.) and non-marketable securities of a healthcare generative artificial intelligence company ($115 million and $12 million as of December 31, 2025 and 2024, respectively); (vi) the invested assets related to a deferred compensation plan that is held by an independent trustee in a rabbi-trust and that has a related payable included in other noncurrent liabilities, and; (vii) other miscellaneous assets.</w:t>
      </w:r>
    </w:p>
    <w:p>
      <w:pPr>
        <w:pStyle w:val="TextBody"/>
        <w:bidi w:val="0"/>
        <w:spacing w:before="120" w:after="160"/>
        <w:jc w:val="left"/>
        <w:rPr>
          <w:rFonts w:ascii="Times New Roman" w:hAnsi="Times New Roman"/>
          <w:color w:val="000000"/>
          <w:sz w:val="20"/>
        </w:rPr>
      </w:pPr>
      <w:r>
        <w:rPr>
          <w:rFonts w:ascii="Times New Roman" w:hAnsi="Times New Roman"/>
          <w:color w:val="000000"/>
          <w:sz w:val="20"/>
        </w:rPr>
        <w:t>The non-marketable securities that we hold are accounted for under the measurement alternative pursuant to which the carrying value is measured at cost, less any impairment, plus or minus changes resulting from observable price changes in orderly transactions for identical or similar investments of the same issuer. Adjustments are determined primarily based on a market approach as of the transaction date and are recorded in other (income) expense, net. In connection with this investment, we recorded an unrealized pre-tax gain of $93 million during the year ended December 31, 2025.</w:t>
      </w:r>
    </w:p>
    <w:p>
      <w:pPr>
        <w:pStyle w:val="TextBody"/>
        <w:bidi w:val="0"/>
        <w:jc w:val="left"/>
        <w:rPr>
          <w:rFonts w:ascii="Times New Roman" w:hAnsi="Times New Roman"/>
          <w:sz w:val="20"/>
        </w:rPr>
      </w:pPr>
      <w:r>
        <w:rPr>
          <w:rFonts w:ascii="Times New Roman" w:hAnsi="Times New Roman"/>
          <w:color w:val="000000"/>
          <w:sz w:val="20"/>
        </w:rPr>
        <w:t>Intangible assets are reviewed for impairment on an annual basis or more often if indicators of impairment arise. Our judgments regarding the existence of impairment indicators are based on market conditions and operational performance of each asset. We have designated October 1</w:t>
      </w:r>
      <w:r>
        <w:rPr>
          <w:rFonts w:ascii="Times New Roman" w:hAnsi="Times New Roman"/>
          <w:color w:val="000000"/>
          <w:sz w:val="13"/>
        </w:rPr>
        <w:t>st</w:t>
      </w:r>
      <w:r>
        <w:rPr>
          <w:rFonts w:ascii="Times New Roman" w:hAnsi="Times New Roman"/>
          <w:color w:val="000000"/>
          <w:sz w:val="20"/>
        </w:rPr>
        <w:t xml:space="preserve"> as our annual impairment assessment date and performed impairment assessments as of October 1, 2025 which indicated no impairment. There were also no intangible asset impairments during 2024 or 2023.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shows the amounts recorded as net intangible assets for the years ended December 31, 2025 and 2024:</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802"/>
        <w:gridCol w:w="146"/>
        <w:gridCol w:w="211"/>
        <w:gridCol w:w="676"/>
        <w:gridCol w:w="146"/>
        <w:gridCol w:w="146"/>
        <w:gridCol w:w="211"/>
        <w:gridCol w:w="676"/>
        <w:gridCol w:w="191"/>
      </w:tblGrid>
      <w:tr>
        <w:trPr/>
        <w:tc>
          <w:tcPr>
            <w:tcW w:w="780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78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(amounts in thousands)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8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8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Medicare licenses (a)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57,226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57,226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8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Certificates of need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7,987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8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Contract relationships and other (net of $58,953 and $57,236 of accumulated amortization for 2025 and 2024,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10,677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11,060</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8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Intangible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75,876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76,273</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(a) Indefinite lives.</w:t>
      </w:r>
    </w:p>
    <w:p>
      <w:pPr>
        <w:pStyle w:val="TextBody"/>
        <w:bidi w:val="0"/>
        <w:spacing w:before="120" w:after="283"/>
        <w:jc w:val="left"/>
        <w:rPr>
          <w:rFonts w:ascii="Times New Roman" w:hAnsi="Times New Roman"/>
          <w:sz w:val="20"/>
        </w:rPr>
      </w:pPr>
      <w:r>
        <w:rPr>
          <w:rFonts w:ascii="Times New Roman" w:hAnsi="Times New Roman"/>
          <w:b/>
          <w:color w:val="000000"/>
          <w:sz w:val="20"/>
        </w:rPr>
        <w:t xml:space="preserve">Supplies: </w:t>
      </w:r>
      <w:r>
        <w:rPr>
          <w:rFonts w:ascii="Times New Roman" w:hAnsi="Times New Roman"/>
          <w:color w:val="000000"/>
          <w:sz w:val="20"/>
        </w:rPr>
        <w:t>Supplies, which consist primarily of medical supplies, are stated at the lower of cost (first-in, first-out basis) or market.</w:t>
      </w:r>
    </w:p>
    <w:p>
      <w:pPr>
        <w:pStyle w:val="TextBody"/>
        <w:bidi w:val="0"/>
        <w:spacing w:before="120" w:after="283"/>
        <w:jc w:val="left"/>
        <w:rPr>
          <w:rFonts w:ascii="Times New Roman" w:hAnsi="Times New Roman"/>
          <w:sz w:val="20"/>
        </w:rPr>
      </w:pPr>
      <w:r>
        <w:rPr>
          <w:rFonts w:ascii="Times New Roman" w:hAnsi="Times New Roman"/>
          <w:b/>
          <w:color w:val="000000"/>
          <w:sz w:val="20"/>
        </w:rPr>
        <w:t xml:space="preserve">Self-Insured/Other Insurance Risks: </w:t>
      </w:r>
      <w:r>
        <w:rPr>
          <w:rFonts w:ascii="Times New Roman" w:hAnsi="Times New Roman"/>
          <w:color w:val="000000"/>
          <w:sz w:val="20"/>
        </w:rPr>
        <w:t>We provide for self-insured risks, primarily general and professional liability claims, workers’ compensation claims and healthcare and dental claims. Our estimated liability for self-insured professional and general liability claims is based on a number of factors including, among other things, the number of asserted claims and reported incidents, estimates of losses for these claims based on recent and historical settlement amounts and jury verdicts, estimates of incurred but not reported claims based on historical experience, and estimates of amounts recoverable under our commercial insurance policies. All relevant information, including our own historical experience, applicable per occurrence and aggregate self-insured retentions, and limitations and exclusions pursuant to our commercial insurance policies, is used in estimating our expected liability for self-insured claims. While we continuously monitor these factors, our ultimate liability for professional and general liability claims could change materially from our current estimates due to inherent uncertainties involved in making this estimate. Our estimated self-insured reserves are reviewed and changed, if necessary, at each reporting date and changes are recognized currently as additional expense or as a reduction of expense. Given our significant exposure to professional and general liability claims, there can be no assurance that a sharp increase in the number and/or severity of claims asserted against us, and/or reductions in the amount of commercial coverage available to us, will not have a material adverse effect on our future results of operations.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In addition, we also: (i) own commercial health insurers headquartered in Nevada and Puerto Rico, and; (ii) maintain self-insured employee benefits programs for employee healthcare and dental claims. The ultimate costs related to these programs/operations include expenses for claims incurred and paid in addition to an accrual for the estimated expenses incurred in connection with claims incurred but not yet reported. See </w:t>
      </w:r>
      <w:r>
        <w:rPr>
          <w:rFonts w:ascii="Times New Roman" w:hAnsi="Times New Roman"/>
          <w:i/>
          <w:color w:val="000000"/>
          <w:sz w:val="20"/>
        </w:rPr>
        <w:t xml:space="preserve">Note 8 </w:t>
      </w:r>
      <w:r>
        <w:rPr>
          <w:rFonts w:ascii="Times New Roman" w:hAnsi="Times New Roman"/>
          <w:color w:val="000000"/>
          <w:sz w:val="20"/>
        </w:rPr>
        <w:t xml:space="preserve">- </w:t>
      </w:r>
      <w:r>
        <w:rPr>
          <w:rFonts w:ascii="Times New Roman" w:hAnsi="Times New Roman"/>
          <w:i/>
          <w:color w:val="000000"/>
          <w:sz w:val="20"/>
        </w:rPr>
        <w:t xml:space="preserve">Commitments and Contingencies </w:t>
      </w:r>
      <w:r>
        <w:rPr>
          <w:rFonts w:ascii="Times New Roman" w:hAnsi="Times New Roman"/>
          <w:color w:val="000000"/>
          <w:sz w:val="20"/>
        </w:rPr>
        <w:t>for additional disclosure related to our self-insured general and professional liability and workers’ compensation liability.</w:t>
      </w:r>
    </w:p>
    <w:p>
      <w:pPr>
        <w:pStyle w:val="TextBody"/>
        <w:bidi w:val="0"/>
        <w:spacing w:before="120" w:after="283"/>
        <w:jc w:val="left"/>
        <w:rPr>
          <w:rFonts w:ascii="Times New Roman" w:hAnsi="Times New Roman"/>
          <w:sz w:val="20"/>
        </w:rPr>
      </w:pPr>
      <w:r>
        <w:rPr>
          <w:rFonts w:ascii="Times New Roman" w:hAnsi="Times New Roman"/>
          <w:b/>
          <w:color w:val="000000"/>
          <w:sz w:val="20"/>
        </w:rPr>
        <w:t>Income Taxes:</w:t>
      </w:r>
      <w:r>
        <w:rPr>
          <w:rFonts w:ascii="Times New Roman" w:hAnsi="Times New Roman"/>
          <w:color w:val="000000"/>
          <w:sz w:val="20"/>
        </w:rPr>
        <w:t xml:space="preserve"> Deferred tax assets and liabilities are recognized for the amount of taxes payable or deductible in future years as a result of differences between the tax bases of assets and liabilities and their reported amounts in the financial statements. We believe that future income will enable us to realize our deferred tax assets net of recorded valuation allowances relating to state and foreign net operating loss carry-forwards, tax credits, and interest deduction limitations.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102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operate in multiple jurisdictions with varying tax laws. We are subject to audits by any of these taxing authorities. We believe that adequate accruals have been provided for federal, foreign and state taxes.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See </w:t>
      </w:r>
      <w:r>
        <w:rPr>
          <w:rFonts w:ascii="Times New Roman" w:hAnsi="Times New Roman"/>
          <w:i/>
          <w:color w:val="000000"/>
          <w:sz w:val="20"/>
        </w:rPr>
        <w:t xml:space="preserve">Note 6-Income Taxes </w:t>
      </w:r>
      <w:r>
        <w:rPr>
          <w:rFonts w:ascii="Times New Roman" w:hAnsi="Times New Roman"/>
          <w:color w:val="000000"/>
          <w:sz w:val="20"/>
        </w:rPr>
        <w:t xml:space="preserve">for additional disclosure. </w:t>
      </w:r>
    </w:p>
    <w:p>
      <w:pPr>
        <w:pStyle w:val="TextBody"/>
        <w:bidi w:val="0"/>
        <w:spacing w:before="120" w:after="283"/>
        <w:jc w:val="left"/>
        <w:rPr>
          <w:rFonts w:ascii="Times New Roman" w:hAnsi="Times New Roman"/>
          <w:sz w:val="20"/>
        </w:rPr>
      </w:pPr>
      <w:r>
        <w:rPr>
          <w:rFonts w:ascii="Times New Roman" w:hAnsi="Times New Roman"/>
          <w:b/>
          <w:color w:val="000000"/>
          <w:sz w:val="20"/>
        </w:rPr>
        <w:t xml:space="preserve">Other Noncurrent Liabilities: </w:t>
      </w:r>
      <w:r>
        <w:rPr>
          <w:rFonts w:ascii="Times New Roman" w:hAnsi="Times New Roman"/>
          <w:color w:val="000000"/>
          <w:sz w:val="20"/>
        </w:rPr>
        <w:t xml:space="preserve">Other noncurrent liabilities include the long-term portion of our professional and general liability, workers’ compensation reserves, pension and deferred compensation liabilities, and liabilities incurred in connection with split-dollar life insurance agreements on the lives of our executive chairman of the board and his wife. </w:t>
      </w:r>
    </w:p>
    <w:p>
      <w:pPr>
        <w:pStyle w:val="TextBody"/>
        <w:bidi w:val="0"/>
        <w:spacing w:before="120" w:after="283"/>
        <w:jc w:val="left"/>
        <w:rPr>
          <w:rFonts w:ascii="Times New Roman" w:hAnsi="Times New Roman"/>
          <w:sz w:val="20"/>
        </w:rPr>
      </w:pPr>
      <w:r>
        <w:rPr>
          <w:rFonts w:ascii="Times New Roman" w:hAnsi="Times New Roman"/>
          <w:b/>
          <w:color w:val="000000"/>
          <w:sz w:val="20"/>
        </w:rPr>
        <w:t>Redeemable Noncontrolling Interests and Noncontrolling Interest:</w:t>
      </w:r>
      <w:r>
        <w:rPr>
          <w:rFonts w:ascii="Times New Roman" w:hAnsi="Times New Roman"/>
          <w:color w:val="000000"/>
          <w:sz w:val="20"/>
        </w:rPr>
        <w:t xml:space="preserve"> As of December 31, 2025, outside owners held noncontrolling, minority ownership interests of: (i) approximately 7% in an acute care facility located in Texas; (ii) 49%, 49%, 30%, 20%, 25%, and 48% in six behavioral health care facilities located in Arizona, Pennsylvania, Ohio, Washington, Missouri, and Iowa, respectively, (iii) 26% and 49% in two behavioral health care facilities located in Michigan and; (iv) approximately 5% in an acute care facility and 49% in a surgery center, located in Nevada. The noncontrolling interest and redeemable noncontrolling interest balances of $63 million and $71 million, respectively, as of December 31, 2025, consist primarily of the third-party ownership interests in these hospitals.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connection with certain of the behavioral health care facilities mentioned above, the outside owners have “put options” to potentially put their entire ownership interest to us either in the future upon the occurrence of certain triggering events (as specified in the agreements), or at the present time. If exercised, the put option requires us to purchase the minority member’s interest at fair market value. Amounts recorded as redeemable noncontrolling interests on our condensed consolidated balance sheet as of December 31, 2025 reflect the estimated fair market value of the minority ownership interests that contain such put options.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Generally accepted accounting principles require that noncontrolling interests be classified as equity and we have presented noncontrolling interests in total equity. However, since certain of our noncontrolling interests have redemption rights outside of our control, those noncontrolling interests are classified outside of permanent equity. Noncontrolling interests with an estimated redemption amount of approximately $39 million has been reclassified from noncontrolling interest to redeemable noncontrolling interests as of December 31, 2025.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minority owners of a 20% interest in a behavioral health care facility located in Pennsylvania had previously exercised their put option and we purchased their ownership interest in April, 2025</w:t>
      </w:r>
    </w:p>
    <w:p>
      <w:pPr>
        <w:pStyle w:val="TextBody"/>
        <w:bidi w:val="0"/>
        <w:spacing w:before="120" w:after="283"/>
        <w:jc w:val="left"/>
        <w:rPr>
          <w:rFonts w:ascii="Times New Roman" w:hAnsi="Times New Roman"/>
          <w:sz w:val="20"/>
        </w:rPr>
      </w:pPr>
      <w:r>
        <w:rPr>
          <w:rFonts w:ascii="Times New Roman" w:hAnsi="Times New Roman"/>
          <w:b/>
          <w:color w:val="000000"/>
          <w:sz w:val="20"/>
        </w:rPr>
        <w:t>Accumulated Other Comprehensive Income:</w:t>
      </w:r>
      <w:r>
        <w:rPr>
          <w:rFonts w:ascii="Times New Roman" w:hAnsi="Times New Roman"/>
          <w:color w:val="000000"/>
          <w:sz w:val="20"/>
        </w:rPr>
        <w:t xml:space="preserve"> The accumulated other comprehensive income (“AOCI”) component of stockholders’ equity includes: net unrealized gains and losses on effective cash flow hedges, foreign currency translation adjustments and the net minimum pension liability of a non-contributory defined benefit pension plan which covers employees at one of our subsidiaries. See </w:t>
      </w:r>
      <w:r>
        <w:rPr>
          <w:rFonts w:ascii="Times New Roman" w:hAnsi="Times New Roman"/>
          <w:i/>
          <w:color w:val="000000"/>
          <w:sz w:val="20"/>
        </w:rPr>
        <w:t>Note 11 - Pension Plan</w:t>
      </w:r>
      <w:r>
        <w:rPr>
          <w:rFonts w:ascii="Times New Roman" w:hAnsi="Times New Roman"/>
          <w:color w:val="000000"/>
          <w:sz w:val="20"/>
        </w:rPr>
        <w:t xml:space="preserve"> for additional disclosure regarding the defined benefit pension plan.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amounts recognized in AOCI for the three years ended December 31, 2025 were as follows (in thousands):</w:t>
      </w:r>
    </w:p>
    <w:p>
      <w:pPr>
        <w:pStyle w:val="TextBody"/>
        <w:bidi w:val="0"/>
        <w:jc w:val="left"/>
        <w:rPr/>
      </w:pPr>
      <w:r>
        <w:rPr/>
        <w:t> </w:t>
      </w:r>
    </w:p>
    <w:tbl>
      <w:tblPr>
        <w:tblW w:w="9279" w:type="dxa"/>
        <w:jc w:val="left"/>
        <w:tblInd w:w="0" w:type="dxa"/>
        <w:tblLayout w:type="fixed"/>
        <w:tblCellMar>
          <w:top w:w="28" w:type="dxa"/>
          <w:left w:w="28" w:type="dxa"/>
          <w:bottom w:w="28" w:type="dxa"/>
          <w:right w:w="28" w:type="dxa"/>
        </w:tblCellMar>
      </w:tblPr>
      <w:tblGrid>
        <w:gridCol w:w="3946"/>
        <w:gridCol w:w="146"/>
        <w:gridCol w:w="490"/>
        <w:gridCol w:w="875"/>
        <w:gridCol w:w="166"/>
        <w:gridCol w:w="146"/>
        <w:gridCol w:w="225"/>
        <w:gridCol w:w="721"/>
        <w:gridCol w:w="166"/>
        <w:gridCol w:w="146"/>
        <w:gridCol w:w="211"/>
        <w:gridCol w:w="631"/>
        <w:gridCol w:w="166"/>
        <w:gridCol w:w="146"/>
        <w:gridCol w:w="211"/>
        <w:gridCol w:w="676"/>
        <w:gridCol w:w="211"/>
      </w:tblGrid>
      <w:tr>
        <w:trPr/>
        <w:tc>
          <w:tcPr>
            <w:tcW w:w="3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9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Net Unrealized</w:t>
              <w:br/>
              <w:t>Gains (Losses)</w:t>
            </w:r>
            <w:r>
              <w:rPr>
                <w:rFonts w:ascii="Times New Roman" w:hAnsi="Times New Roman"/>
                <w:color w:val="000000"/>
                <w:sz w:val="16"/>
              </w:rPr>
              <w:t xml:space="preserve"> </w:t>
            </w:r>
            <w:r>
              <w:rPr>
                <w:rFonts w:ascii="Times New Roman" w:hAnsi="Times New Roman"/>
                <w:b/>
                <w:color w:val="000000"/>
                <w:sz w:val="16"/>
              </w:rPr>
              <w:t>on</w:t>
              <w:br/>
              <w:t>Effective Cash</w:t>
              <w:br/>
              <w:t>Flow Hedges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Foreign</w:t>
              <w:br/>
              <w:t>Currency</w:t>
              <w:br/>
              <w:t>Translation</w:t>
              <w:br/>
              <w:t>Adjustment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Minimum</w:t>
              <w:br/>
              <w:t>Pension</w:t>
              <w:br/>
              <w:t>Liability</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br/>
              <w:t>AOCI</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January 1, 2023, net of income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(9,668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2023 activity: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9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Pretax amount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19,437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effect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net of income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15,791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18,957</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January 1, 2024, net of income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9,289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2024 activity: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6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Pretax amount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effect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(1,284</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net of income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(3,941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(2,088</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January 1, 2025, net of income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7,201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2025 activity: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9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Pretax amount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40,856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effect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net of income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38,291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40,582</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December 31, 2025, net of income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45,886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47,783</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 xml:space="preserve">Accounting for Derivative Financial Investments and Hedging Activities and Foreign Currency Forward Exchange Contracts: </w:t>
      </w:r>
      <w:r>
        <w:rPr>
          <w:rFonts w:ascii="Times New Roman" w:hAnsi="Times New Roman"/>
          <w:color w:val="000000"/>
          <w:sz w:val="20"/>
        </w:rPr>
        <w:t xml:space="preserve">We manage our ratio of fixed and floating rate debt with the objective of achieving a mix that management believes is appropriate. To manage this risk in a cost-effective manner, we, from time to time, enter into interest rate swap agreements in which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103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agree to exchange various combinations of fixed and/or variable interest rates based on agreed upon notional amounts. We account for our derivative and hedging activities using the Financial Accounting Standard Board’s (“FASB”) guidance which requires all derivative instruments, including certain derivative instruments embedded in other contracts, to be carried at fair value on the balance sheet. For derivative transactions designated as hedges, we formally document all relationships between the hedging instrument and the related hedged item, as well as its risk-management objective and strategy for undertaking each hedge transaction.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Derivative instruments designated in a hedge relationship to mitigate exposure to variability in expected future cash flows, or other types of forecasted transactions, are considered cash flow hedges. Cash flow hedges are accounted for by recording the fair value of the derivative instrument on the balance sheets as either an asset or liability, with a corresponding amount recorded in accumulated other comprehensive income (“AOCI”) within statements of changes in equity. Amounts are reclassified from AOCI to the income statement in the period or periods the hedged transaction affects earnings. From time to time, we use interest rate derivatives in our cash flow hedge transactions. Such derivatives are designed to be highly effective in offsetting changes in the cash flows related to the hedged liability.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hedge transactions that do not qualify for the short-cut method, at the hedge’s inception and on a regular basis thereafter, a formal assessment is performed to determine whether changes in the fair values or cash flows of the derivative instruments have been highly effective in offsetting changes in cash flows of the hedged items and whether they are expected to be highly effective in the future.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use forward exchange contracts to hedge our net investment in foreign operations against movements in exchange rates. The effective portion of the unrealized gains or losses on these contracts is recorded in foreign currency translation adjustment within accumulated other comprehensive income and remains there until either the sale or liquidation of the subsidiary. </w:t>
      </w:r>
    </w:p>
    <w:p>
      <w:pPr>
        <w:pStyle w:val="TextBody"/>
        <w:bidi w:val="0"/>
        <w:spacing w:before="120" w:after="283"/>
        <w:jc w:val="left"/>
        <w:rPr>
          <w:rFonts w:ascii="Times New Roman" w:hAnsi="Times New Roman"/>
          <w:sz w:val="20"/>
        </w:rPr>
      </w:pPr>
      <w:r>
        <w:rPr>
          <w:rFonts w:ascii="Times New Roman" w:hAnsi="Times New Roman"/>
          <w:b/>
          <w:color w:val="000000"/>
          <w:sz w:val="20"/>
        </w:rPr>
        <w:t xml:space="preserve">Stock-Based Compensation: </w:t>
      </w:r>
      <w:r>
        <w:rPr>
          <w:rFonts w:ascii="Times New Roman" w:hAnsi="Times New Roman"/>
          <w:color w:val="000000"/>
          <w:sz w:val="20"/>
        </w:rPr>
        <w:t>We have a number of stock-based employee compensation plans. Pursuant to the FASB’s guidance, we expense the grant-date fair value of restricted stock units and stock options (computed utilizing the Black-Scholes option-pricing model) pursuant to the straight-line method over the stated vesting period of the award. The expense associated with share-based compensation arrangements is a non-cash charge. In the consolidated statements of cash flows, share-based compensation expense is an adjustment to reconcile net income to cash provided by operating activities.</w:t>
      </w:r>
    </w:p>
    <w:p>
      <w:pPr>
        <w:pStyle w:val="TextBody"/>
        <w:bidi w:val="0"/>
        <w:spacing w:before="120" w:after="283"/>
        <w:jc w:val="left"/>
        <w:rPr>
          <w:rFonts w:ascii="Times New Roman" w:hAnsi="Times New Roman"/>
          <w:sz w:val="20"/>
        </w:rPr>
      </w:pPr>
      <w:r>
        <w:rPr>
          <w:rFonts w:ascii="Times New Roman" w:hAnsi="Times New Roman"/>
          <w:b/>
          <w:color w:val="000000"/>
          <w:sz w:val="20"/>
        </w:rPr>
        <w:t xml:space="preserve">Earnings per Share: </w:t>
      </w:r>
      <w:r>
        <w:rPr>
          <w:rFonts w:ascii="Times New Roman" w:hAnsi="Times New Roman"/>
          <w:color w:val="000000"/>
          <w:sz w:val="20"/>
        </w:rPr>
        <w:t>Basic earnings per share are based on the weighted average number of common shares outstanding during the year. Diluted earnings per share are based on the weighted average number of common shares outstanding during the year adjusted to give effect to common stock equivalents.</w:t>
      </w:r>
    </w:p>
    <w:p>
      <w:pPr>
        <w:pStyle w:val="TextBody"/>
        <w:bidi w:val="0"/>
        <w:spacing w:before="240" w:after="283"/>
        <w:jc w:val="left"/>
        <w:rPr>
          <w:rFonts w:ascii="Times New Roman" w:hAnsi="Times New Roman"/>
          <w:color w:val="000000"/>
          <w:sz w:val="20"/>
        </w:rPr>
      </w:pPr>
      <w:bookmarkStart w:id="36" w:name="exhibit11"/>
      <w:bookmarkEnd w:id="36"/>
      <w:r>
        <w:rPr>
          <w:rFonts w:ascii="Times New Roman" w:hAnsi="Times New Roman"/>
          <w:color w:val="000000"/>
          <w:sz w:val="20"/>
        </w:rPr>
        <w:t>The following table sets forth the computation of basic and diluted earnings per share, for the periods indicated (in thousands, except per share data):</w:t>
      </w:r>
    </w:p>
    <w:p>
      <w:pPr>
        <w:pStyle w:val="TextBody"/>
        <w:bidi w:val="0"/>
        <w:jc w:val="left"/>
        <w:rPr/>
      </w:pPr>
      <w:r>
        <w:rPr/>
        <w:t> </w:t>
      </w:r>
    </w:p>
    <w:tbl>
      <w:tblPr>
        <w:tblW w:w="9593" w:type="dxa"/>
        <w:jc w:val="left"/>
        <w:tblInd w:w="0" w:type="dxa"/>
        <w:tblLayout w:type="fixed"/>
        <w:tblCellMar>
          <w:top w:w="28" w:type="dxa"/>
          <w:left w:w="28" w:type="dxa"/>
          <w:bottom w:w="28" w:type="dxa"/>
          <w:right w:w="28" w:type="dxa"/>
        </w:tblCellMar>
      </w:tblPr>
      <w:tblGrid>
        <w:gridCol w:w="4956"/>
        <w:gridCol w:w="146"/>
        <w:gridCol w:w="211"/>
        <w:gridCol w:w="931"/>
        <w:gridCol w:w="166"/>
        <w:gridCol w:w="146"/>
        <w:gridCol w:w="211"/>
        <w:gridCol w:w="931"/>
        <w:gridCol w:w="166"/>
        <w:gridCol w:w="146"/>
        <w:gridCol w:w="211"/>
        <w:gridCol w:w="781"/>
        <w:gridCol w:w="591"/>
      </w:tblGrid>
      <w:tr>
        <w:trPr/>
        <w:tc>
          <w:tcPr>
            <w:tcW w:w="49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49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0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Twelve Months Ended December 31,</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9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1,511,182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1,163,109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719,307</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9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Less: Net (income) loss attributable to noncontrolling</w:t>
              <w:br/>
              <w:t>   interest ("NCI")</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(1,512</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9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Less: Net income attributable to unvested restricted share</w:t>
              <w:br/>
              <w:t>   grants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9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income attributable to UHS—basic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1,488,796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1,142,047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717,487</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9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Basic earnings per share attributable to UHS: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9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Weighted average number of common shares—basic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63,581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66,554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69,321</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9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basic earnings 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10.35</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9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Diluted earnings per share attributable to UHS: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9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Weighted average number of common shares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63,581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66,554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69,321</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95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Net effect of dilutive stock options and grants based</w:t>
              <w:br/>
              <w:t>   on the treasury stock method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804</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9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Weighted average number of common shares and</w:t>
              <w:br/>
              <w:t>   equivalents—diluted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64,462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67,896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70,125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95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diluted earnings 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10.23</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“Net effect of dilutive stock options and grants based on the treasury stock method”, for all years presented above, excludes certain outstanding stock options applicable to each year since the effect would have been anti-dilutive. The excluded weighted-average stock options totaled approximately 5,250 during 2025, 600,000 during 2024 and 5.1 million during 2023. </w:t>
      </w:r>
    </w:p>
    <w:p>
      <w:pPr>
        <w:pStyle w:val="TextBody"/>
        <w:bidi w:val="0"/>
        <w:spacing w:before="120" w:after="283"/>
        <w:jc w:val="left"/>
        <w:rPr>
          <w:rFonts w:ascii="Times New Roman" w:hAnsi="Times New Roman"/>
          <w:sz w:val="20"/>
        </w:rPr>
      </w:pPr>
      <w:r>
        <w:rPr>
          <w:rFonts w:ascii="Times New Roman" w:hAnsi="Times New Roman"/>
          <w:b/>
          <w:color w:val="000000"/>
          <w:sz w:val="20"/>
        </w:rPr>
        <w:t xml:space="preserve">Fair Value of Financial Instruments: </w:t>
      </w:r>
      <w:r>
        <w:rPr>
          <w:rFonts w:ascii="Times New Roman" w:hAnsi="Times New Roman"/>
          <w:color w:val="000000"/>
          <w:sz w:val="20"/>
        </w:rPr>
        <w:t xml:space="preserve">The fair values of our debt and investments are based on quoted market prices. The fair values of other long-term debt, including capital lease obligations, are estimated by discounting cash flows using period-end interest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104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rates and market conditions for instruments with similar maturities and credit quality. The carrying amounts reported in the balance sheets for cash, accounts receivable, accounts payable, and short-term borrowings approximates their fair values due to the short-term nature of these instruments. Accordingly, these items have been excluded from the fair value disclosures included elsewhere in these notes to consolidated financial statements.</w:t>
      </w:r>
    </w:p>
    <w:p>
      <w:pPr>
        <w:pStyle w:val="TextBody"/>
        <w:bidi w:val="0"/>
        <w:spacing w:before="120" w:after="283"/>
        <w:jc w:val="left"/>
        <w:rPr>
          <w:rFonts w:ascii="Times New Roman" w:hAnsi="Times New Roman"/>
          <w:sz w:val="20"/>
        </w:rPr>
      </w:pPr>
      <w:r>
        <w:rPr>
          <w:rFonts w:ascii="Times New Roman" w:hAnsi="Times New Roman"/>
          <w:b/>
          <w:color w:val="000000"/>
          <w:sz w:val="20"/>
        </w:rPr>
        <w:t xml:space="preserve">Use of Estimates: </w:t>
      </w:r>
      <w:r>
        <w:rPr>
          <w:rFonts w:ascii="Times New Roman" w:hAnsi="Times New Roman"/>
          <w:color w:val="000000"/>
          <w:sz w:val="20"/>
        </w:rPr>
        <w:t>The preparation of financial statements in conformity with U.S. generally accepted accounting principles requires us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pStyle w:val="TextBody"/>
        <w:bidi w:val="0"/>
        <w:spacing w:before="120" w:after="283"/>
        <w:jc w:val="left"/>
        <w:rPr>
          <w:rFonts w:ascii="Times New Roman" w:hAnsi="Times New Roman"/>
          <w:sz w:val="20"/>
        </w:rPr>
      </w:pPr>
      <w:r>
        <w:rPr>
          <w:rFonts w:ascii="Times New Roman" w:hAnsi="Times New Roman"/>
          <w:b/>
          <w:color w:val="000000"/>
          <w:sz w:val="20"/>
        </w:rPr>
        <w:t>Mergers and Acquisitions:</w:t>
      </w:r>
      <w:r>
        <w:rPr>
          <w:rFonts w:ascii="Times New Roman" w:hAnsi="Times New Roman"/>
          <w:color w:val="000000"/>
          <w:sz w:val="20"/>
        </w:rPr>
        <w:t xml:space="preserve"> The acquisition method of accounting for business combinations requires that the assets acquired and liabilities assumed be recorded at the date of acquisition at their respective fair values with limited exceptions. Fair value is defined as the exchange price that would be received for an asset or paid to transfer a liability (an exit price) in the principal or most advantageous market for the asset or liability in an orderly transaction between market participants on the measurement date. Any excess of the purchase price (consideration transferred) over the estimated fair values of net assets acquired is recorded as goodwill. Transaction costs and costs to restructure the acquired company are expensed as incurred. The fair value of intangible assets, including Medicare licenses, certificates of need, tradenames and certain contracts, is based on significant judgments made by our management, and accordingly, for significant items we typically obtain assistance from third party valuation specialists.</w:t>
      </w:r>
    </w:p>
    <w:p>
      <w:pPr>
        <w:pStyle w:val="TextBody"/>
        <w:bidi w:val="0"/>
        <w:spacing w:before="120" w:after="283"/>
        <w:jc w:val="left"/>
        <w:rPr>
          <w:rFonts w:ascii="Times New Roman" w:hAnsi="Times New Roman"/>
          <w:sz w:val="20"/>
        </w:rPr>
      </w:pPr>
      <w:r>
        <w:rPr>
          <w:rFonts w:ascii="Times New Roman" w:hAnsi="Times New Roman"/>
          <w:b/>
          <w:color w:val="000000"/>
          <w:sz w:val="20"/>
        </w:rPr>
        <w:t xml:space="preserve">GPO Agreement/Minority Ownership Interest: </w:t>
      </w:r>
      <w:r>
        <w:rPr>
          <w:rFonts w:ascii="Times New Roman" w:hAnsi="Times New Roman"/>
          <w:i/>
          <w:color w:val="000000"/>
          <w:sz w:val="20"/>
        </w:rPr>
        <w:t xml:space="preserve">Note 9 - Relationship with Universal Health Realty Income Trust and Other Related Party Transactions </w:t>
      </w:r>
      <w:r>
        <w:rPr>
          <w:rFonts w:ascii="Times New Roman" w:hAnsi="Times New Roman"/>
          <w:color w:val="000000"/>
          <w:sz w:val="20"/>
        </w:rPr>
        <w:t xml:space="preserve">includes disclosure related to our GPO agreement and minority ownership interest in Premier, Inc. ("Premier"), a healthcare performance improvement alliance. Pursuant to an agreement and plan of merger providing for the acquisition of Premier by Patient Square Capital, our minority ownership interest in Premier was sold in November, 2025. </w:t>
      </w:r>
    </w:p>
    <w:p>
      <w:pPr>
        <w:pStyle w:val="TextBody"/>
        <w:bidi w:val="0"/>
        <w:spacing w:before="120" w:after="283"/>
        <w:jc w:val="left"/>
        <w:rPr>
          <w:rFonts w:ascii="Times New Roman" w:hAnsi="Times New Roman"/>
          <w:sz w:val="20"/>
        </w:rPr>
      </w:pPr>
      <w:r>
        <w:rPr>
          <w:rFonts w:ascii="Times New Roman" w:hAnsi="Times New Roman"/>
          <w:b/>
          <w:color w:val="000000"/>
          <w:sz w:val="20"/>
        </w:rPr>
        <w:t>Provider Taxes:</w:t>
      </w:r>
      <w:r>
        <w:rPr>
          <w:rFonts w:ascii="Times New Roman" w:hAnsi="Times New Roman"/>
          <w:color w:val="000000"/>
          <w:sz w:val="20"/>
        </w:rPr>
        <w:t xml:space="preserve"> We incur health-care related taxes (“Provider Taxes”) imposed by states in the form of a licensing fee, assessment or other mandatory payment which are related to: (i) healthcare items or services; (ii) the provision of, or the authority to provide, the health care items or services, or; (iii) the payment for the health care items or services. Such Provider Taxes are subject to various federal regulations that limit the scope and amount of the taxes that can be levied by states in order to secure federal matching funds as part of their respective state Medicaid programs. We derive a related Medicaid reimbursement benefit from assessed Provider Taxes in the form of Medicaid claims based payment increases and/or lump sum Medicaid supplemental payments.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Under these programs, including the impact of the Texas Uncompensated Care and Upper Payment Limit program, the Texas Delivery System Reform Incentive program, the Nevada State Directed Payment program, the Washington D.C State Directed Payment program and various other state programs, we earned revenues (before Provider Taxes) of approximately $1.914 billion during 2025, $1.499 billion during 2024 and $853 million during 2023. These revenues were offset by Provider Taxes of approximately $631 million during 2025, $536 million during 2024 and $297 million during 2023, which are recorded in other operating expenses on the consolidated statements of income as included herein. The aggregate net benefit from these programs was $1.283 billion during 2025, $963 million during 2024 and $556 million during 2023. The aggregate net benefit pursuant to these programs is earned from multiple states and therefore no particular state’s portion is individually material to our consolidated financial statements. In addition, under various disproportionate share hospital payment programs and state plan amendment programs, we earned revenues of $56 million in 2025, $53 million in 2024 and $73 million in 2023.</w:t>
      </w:r>
    </w:p>
    <w:p>
      <w:pPr>
        <w:pStyle w:val="TextBody"/>
        <w:bidi w:val="0"/>
        <w:spacing w:before="120" w:after="283"/>
        <w:jc w:val="left"/>
        <w:rPr>
          <w:rFonts w:ascii="Times New Roman" w:hAnsi="Times New Roman"/>
          <w:sz w:val="20"/>
        </w:rPr>
      </w:pPr>
      <w:r>
        <w:rPr>
          <w:rFonts w:ascii="Times New Roman" w:hAnsi="Times New Roman"/>
          <w:b/>
          <w:color w:val="000000"/>
          <w:sz w:val="20"/>
        </w:rPr>
        <w:t xml:space="preserve">Recent Accounting Standards: </w:t>
      </w:r>
      <w:r>
        <w:rPr>
          <w:rFonts w:ascii="Times New Roman" w:hAnsi="Times New Roman"/>
          <w:color w:val="000000"/>
          <w:sz w:val="20"/>
        </w:rPr>
        <w:t xml:space="preserve">During 2025 we adopted ASU 2023-09, “Improvements to Income Tax Disclosures (Topic 740)”. ASU 2023-09 requires enhanced disclosures on income taxes paid, adds disaggregation of continuing operations before income taxes between foreign and domestic earnings and defines specific categories for the reconciliation of jurisdictional tax rate to effective tax rate. The standard was adopted using the prospective transition method, and accordingly, prior period financial information has not been adjusted. See </w:t>
      </w:r>
      <w:r>
        <w:rPr>
          <w:rFonts w:ascii="Times New Roman" w:hAnsi="Times New Roman"/>
          <w:i/>
          <w:color w:val="000000"/>
          <w:sz w:val="20"/>
        </w:rPr>
        <w:t xml:space="preserve">Note 6 - Income Taxes </w:t>
      </w:r>
      <w:r>
        <w:rPr>
          <w:rFonts w:ascii="Times New Roman" w:hAnsi="Times New Roman"/>
          <w:color w:val="000000"/>
          <w:sz w:val="20"/>
        </w:rPr>
        <w:t>for the required disclosures.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During 2024, we adopted ASU 2023-07, “Improvements to Reportable Segment Disclosures (Topic 280)”. ASU 2023-07 modifies reportable segment disclosure requirements, primarily through enhanced disclosures about segment expenses categorized as significant or regularly provided to the Chief Operating Decision Maker (CODM). The standard was applied retrospectively to all periods presented in the financial statements. See </w:t>
      </w:r>
      <w:r>
        <w:rPr>
          <w:rFonts w:ascii="Times New Roman" w:hAnsi="Times New Roman"/>
          <w:i/>
          <w:color w:val="000000"/>
          <w:sz w:val="20"/>
        </w:rPr>
        <w:t xml:space="preserve">Note 12 - Segment Reporting </w:t>
      </w:r>
      <w:r>
        <w:rPr>
          <w:rFonts w:ascii="Times New Roman" w:hAnsi="Times New Roman"/>
          <w:color w:val="000000"/>
          <w:sz w:val="20"/>
        </w:rPr>
        <w:t>for the required disclosures.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November 2025, the FASB issued ASU 2025-09, “Derivatives and Hedging (Topic 815), Hedging Accounting Improvements. ASU 2025-09 intends to more closely align hedge accounting with the economics of an entity's risk management activities. This ASU is effective for fiscal years beginning after December 15, 2026, including interim periods within those fiscal years. We are currently evaluating the impact this new standard will have on the consolidated financial statements.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November 2024, the FASB issued ASU 2024-03, “Income Statement-Reporting Comprehensive Income-Expense Disaggregation Disclosures (subtopic 220-40)". ASU 2024-03 requires disclosures, in the notes to financial statements, of specified information about certain costs and expenses. This ASU is effective for fiscal years beginning after December 15, 2026, and interim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105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periods within those fiscal years beginning after December 15, 2027. We are currently evaluating the impact this new standard will have on the related disclosures in the consolidated financial statements.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From time to time, new accounting guidance is issued by the FASB or other standard setting bodies that is adopted by us as of the effective date or, in some cases where early adoption is permitted, in advance of the effective date. We have assessed the recently issued guidance that are not yet effective and, unless otherwise indicated above, we believe the new guidance will not have a material impact on our results of operations, cash flows or financial position.</w:t>
      </w:r>
    </w:p>
    <w:p>
      <w:pPr>
        <w:pStyle w:val="TextBody"/>
        <w:bidi w:val="0"/>
        <w:spacing w:before="120" w:after="283"/>
        <w:jc w:val="left"/>
        <w:rPr>
          <w:rFonts w:ascii="Times New Roman" w:hAnsi="Times New Roman"/>
          <w:sz w:val="20"/>
        </w:rPr>
      </w:pPr>
      <w:r>
        <w:rPr>
          <w:rFonts w:ascii="Times New Roman" w:hAnsi="Times New Roman"/>
          <w:b/>
          <w:color w:val="000000"/>
          <w:sz w:val="20"/>
        </w:rPr>
        <w:t>Foreign Currency Translation:</w:t>
      </w:r>
      <w:r>
        <w:rPr>
          <w:rFonts w:ascii="Times New Roman" w:hAnsi="Times New Roman"/>
          <w:color w:val="000000"/>
          <w:sz w:val="20"/>
        </w:rPr>
        <w:t xml:space="preserve"> Assets and liabilities of our U.K. subsidiaries are denominated in pound sterling and translated into U.S. dollars at: (i) the rates of exchange at the balance sheet date, and; (ii) average rates of exchange prevailing during the year for revenues and expenses. The currency translation adjustments are reported as a component of accumulated other comprehensive income. See </w:t>
      </w:r>
      <w:r>
        <w:rPr>
          <w:rFonts w:ascii="Times New Roman" w:hAnsi="Times New Roman"/>
          <w:i/>
          <w:color w:val="000000"/>
          <w:sz w:val="20"/>
        </w:rPr>
        <w:t xml:space="preserve">Note 3 - Financial Instruments and Fair Value Measurement </w:t>
      </w:r>
      <w:r>
        <w:rPr>
          <w:rFonts w:ascii="Times New Roman" w:hAnsi="Times New Roman"/>
          <w:color w:val="000000"/>
          <w:sz w:val="20"/>
        </w:rPr>
        <w:t>for additional disclosure.</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2) ACQUISITIONS AND DIVESTITURES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Years ended December 31, 2025:</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2025 Acquisitions of Assets and Businesses: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During 2025, we spent $48 million on the acquisition of behavioral health care businesses and property located in the United Kingdom.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2025 Divestiture of Assets and Businesses: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2025, we received $16 million from the sale of assets and businesses.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Years ended December 31, 2024:</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2024 Acquisitions of Assets and Businesses: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During 2024, we spent $19 million on the acquisition of businesses and properties.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2024 Divestiture of Assets and Businesses: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During 2024, we received $39 million from the sale of assets and businesses.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Year ended December 31, 2023:</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2023 Acquisitions of Assets and Businesses: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During 2023, we spent $4 million on the acquisition of businesses and properties.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2023 Divestiture of Assets and Businesses: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During 2023, we received $24 million from the sale of assets and businesses. </w:t>
      </w:r>
    </w:p>
    <w:p>
      <w:pPr>
        <w:pStyle w:val="TextBody"/>
        <w:bidi w:val="0"/>
        <w:spacing w:before="120" w:after="283"/>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3) FINANCIAL INSTRUMENTS AND FAIR VALUE MEASUREMENT</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Cash Flow Hedges: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When applicable, we measure our interest rate swaps at fair value on a recurring basis. The fair value of our interest rate swaps is based on quotes from our counterparties. We consider those inputs to be “level 2” in the fair value hierarchy as outlined in the authoritative guidance for disclosures in connection with derivative instruments and hedging activities. During the years ended December 31, 2025, 2024 and 2023, we had no cash flow hedges outstanding.</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Foreign Currency Forward Exchange Contracts: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use forward exchange contracts to hedge our net investment in foreign operations against movements in exchange rates. The effective portion of the unrealized gains or losses on these contracts is recorded in foreign currency translation adjustment within accumulated other comprehensive income and remains there until either the sale or liquidation of the subsidiary. In connection with these forward exchange contracts, we recorded net cash outflows of approximately $52 million during 2025, net cash inflows of approximately $13 million during 2024 and net cash outflows of approximately $41 million during 2023.</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Derivatives Hedging Relationships: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following table presents the effects of our foreign currency foreign exchange contracts on our results of operations for the three years ended December 31 (in thousands):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106</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7982" w:type="dxa"/>
        <w:jc w:val="left"/>
        <w:tblInd w:w="0" w:type="dxa"/>
        <w:tblLayout w:type="fixed"/>
        <w:tblCellMar>
          <w:top w:w="28" w:type="dxa"/>
          <w:left w:w="28" w:type="dxa"/>
          <w:bottom w:w="28" w:type="dxa"/>
          <w:right w:w="28" w:type="dxa"/>
        </w:tblCellMar>
      </w:tblPr>
      <w:tblGrid>
        <w:gridCol w:w="3736"/>
        <w:gridCol w:w="244"/>
        <w:gridCol w:w="851"/>
        <w:gridCol w:w="166"/>
        <w:gridCol w:w="146"/>
        <w:gridCol w:w="260"/>
        <w:gridCol w:w="835"/>
        <w:gridCol w:w="146"/>
        <w:gridCol w:w="146"/>
        <w:gridCol w:w="244"/>
        <w:gridCol w:w="851"/>
        <w:gridCol w:w="166"/>
        <w:gridCol w:w="191"/>
      </w:tblGrid>
      <w:tr>
        <w:trPr/>
        <w:tc>
          <w:tcPr>
            <w:tcW w:w="373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89"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Gain/(Loss) recognized in AOCI</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89" w:type="dxa"/>
            <w:gridSpan w:val="10"/>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u w:val="single"/>
              </w:rPr>
            </w:pPr>
            <w:r>
              <w:rPr>
                <w:rFonts w:ascii="Times New Roman" w:hAnsi="Times New Roman"/>
                <w:color w:val="000000"/>
                <w:sz w:val="20"/>
                <w:u w:val="single"/>
              </w:rPr>
              <w:t>Net Investment Hedge relationships</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 currency foreign exchange contracts</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(53,948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(45,748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No other gains or losses were recognized in income related to derivatives in Subtopic 815-20.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Fair Value Measurement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Fair value is defined as the price that would be received to sell an asset or paid to transfer a liability (an exit price) in the principal or most advantageous market for the asset or liability in an orderly transaction between market participants on the measurement date. The following fair value hierarchy classifies the inputs to valuation techniques used to measure fair value into one of three levels:</w:t>
      </w:r>
    </w:p>
    <w:p>
      <w:pPr>
        <w:pStyle w:val="TextBody"/>
        <w:bidi w:val="0"/>
        <w:spacing w:before="60" w:after="283"/>
        <w:jc w:val="left"/>
        <w:rPr>
          <w:color w:val="000000"/>
        </w:rPr>
      </w:pPr>
      <w:r>
        <w:rPr>
          <w:color w:val="000000"/>
        </w:rPr>
        <w:t>•</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Level 1: Unadjusted quoted prices in active markets for identical assets or liabilities.</w:t>
      </w:r>
    </w:p>
    <w:p>
      <w:pPr>
        <w:pStyle w:val="TextBody"/>
        <w:bidi w:val="0"/>
        <w:spacing w:before="60" w:after="283"/>
        <w:jc w:val="left"/>
        <w:rPr>
          <w:color w:val="000000"/>
        </w:rPr>
      </w:pPr>
      <w:r>
        <w:rPr>
          <w:color w:val="000000"/>
        </w:rPr>
        <w:t>•</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Level 2: Inputs other than quoted prices that are observable for the asset or liability, either directly or indirectly. These included quoted prices for similar assets or liabilities in active markets and quoted prices for identical or similar assets or liabilities in markets that are not active.</w:t>
      </w:r>
    </w:p>
    <w:p>
      <w:pPr>
        <w:pStyle w:val="TextBody"/>
        <w:bidi w:val="0"/>
        <w:spacing w:before="60" w:after="283"/>
        <w:jc w:val="left"/>
        <w:rPr>
          <w:color w:val="000000"/>
        </w:rPr>
      </w:pPr>
      <w:r>
        <w:rPr>
          <w:color w:val="000000"/>
        </w:rPr>
        <w:t>•</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Level 3: Unobservable inputs that reflect the reporting entity’s own assumptions.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tables present the assets and liabilities recorded at fair value on a recurring basis:</w:t>
      </w:r>
    </w:p>
    <w:p>
      <w:pPr>
        <w:pStyle w:val="TextBody"/>
        <w:bidi w:val="0"/>
        <w:spacing w:before="120" w:after="283"/>
        <w:jc w:val="left"/>
        <w:rPr/>
      </w:pPr>
      <w:r>
        <w:rPr/>
        <w:t> </w:t>
      </w:r>
    </w:p>
    <w:tbl>
      <w:tblPr>
        <w:tblW w:w="10205" w:type="dxa"/>
        <w:jc w:val="left"/>
        <w:tblInd w:w="0" w:type="dxa"/>
        <w:tblLayout w:type="fixed"/>
        <w:tblCellMar>
          <w:top w:w="28" w:type="dxa"/>
          <w:left w:w="28" w:type="dxa"/>
          <w:bottom w:w="28" w:type="dxa"/>
          <w:right w:w="28" w:type="dxa"/>
        </w:tblCellMar>
      </w:tblPr>
      <w:tblGrid>
        <w:gridCol w:w="3335"/>
        <w:gridCol w:w="299"/>
        <w:gridCol w:w="1107"/>
        <w:gridCol w:w="146"/>
        <w:gridCol w:w="2068"/>
        <w:gridCol w:w="211"/>
        <w:gridCol w:w="781"/>
        <w:gridCol w:w="146"/>
        <w:gridCol w:w="211"/>
        <w:gridCol w:w="571"/>
        <w:gridCol w:w="146"/>
        <w:gridCol w:w="211"/>
        <w:gridCol w:w="781"/>
        <w:gridCol w:w="192"/>
      </w:tblGrid>
      <w:tr>
        <w:trPr/>
        <w:tc>
          <w:tcPr>
            <w:tcW w:w="3335"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r>
      <w:tr>
        <w:trPr/>
        <w:tc>
          <w:tcPr>
            <w:tcW w:w="33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0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Balance at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6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Balance Sheet</w:t>
            </w:r>
          </w:p>
        </w:tc>
        <w:tc>
          <w:tcPr>
            <w:tcW w:w="3058"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Basis of Fair Value Measurement</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3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 thousands)</w:t>
            </w:r>
          </w:p>
        </w:tc>
        <w:tc>
          <w:tcPr>
            <w:tcW w:w="14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Location</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1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u w:val="single"/>
              </w:rPr>
            </w:pPr>
            <w:r>
              <w:rPr>
                <w:rFonts w:ascii="Times New Roman" w:hAnsi="Times New Roman"/>
                <w:color w:val="000000"/>
                <w:sz w:val="20"/>
                <w:u w:val="single"/>
              </w:rPr>
              <w:t>Assets:</w:t>
            </w:r>
          </w:p>
        </w:tc>
        <w:tc>
          <w:tcPr>
            <w:tcW w:w="140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6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3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Money market mutual funds</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150,948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noncurrent assets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150,948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Certificates of deposit</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noncurrent assets</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Non-marketable securities</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115,248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noncurrent assets</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115,248</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compensation assets</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55,160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noncurrent assets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55,160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 currency forward exchange contracts</w:t>
            </w:r>
          </w:p>
        </w:tc>
        <w:tc>
          <w:tcPr>
            <w:tcW w:w="2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current assets</w:t>
            </w:r>
          </w:p>
        </w:tc>
        <w:tc>
          <w:tcPr>
            <w:tcW w:w="99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3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324,719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206,108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115,248</w:t>
            </w:r>
          </w:p>
        </w:tc>
        <w:tc>
          <w:tcPr>
            <w:tcW w:w="1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3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u w:val="single"/>
              </w:rPr>
            </w:pPr>
            <w:r>
              <w:rPr>
                <w:rFonts w:ascii="Times New Roman" w:hAnsi="Times New Roman"/>
                <w:color w:val="000000"/>
                <w:sz w:val="20"/>
                <w:u w:val="single"/>
              </w:rPr>
              <w:t>Liabilities:</w:t>
            </w:r>
          </w:p>
        </w:tc>
        <w:tc>
          <w:tcPr>
            <w:tcW w:w="140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compensation liability</w:t>
            </w:r>
          </w:p>
        </w:tc>
        <w:tc>
          <w:tcPr>
            <w:tcW w:w="2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55,160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noncurrent liabilities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55,160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3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55,160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55,160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3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0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0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Balance at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6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Balance Sheet</w:t>
            </w:r>
          </w:p>
        </w:tc>
        <w:tc>
          <w:tcPr>
            <w:tcW w:w="3058"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Basis of Fair Value Measurement</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3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 thousands)</w:t>
            </w:r>
          </w:p>
        </w:tc>
        <w:tc>
          <w:tcPr>
            <w:tcW w:w="14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Location</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1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u w:val="single"/>
              </w:rPr>
            </w:pPr>
            <w:r>
              <w:rPr>
                <w:rFonts w:ascii="Times New Roman" w:hAnsi="Times New Roman"/>
                <w:color w:val="000000"/>
                <w:sz w:val="20"/>
                <w:u w:val="single"/>
              </w:rPr>
              <w:t>Assets:</w:t>
            </w:r>
          </w:p>
        </w:tc>
        <w:tc>
          <w:tcPr>
            <w:tcW w:w="140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6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3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Money market mutual funds</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115,399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noncurrent assets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115,399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Certificates of deposit</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noncurrent assets</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Equity securities</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47,333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noncurrent assets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47,333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compensation assets</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49,222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noncurrent assets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49,222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 currency forward exchange contracts</w:t>
            </w:r>
          </w:p>
        </w:tc>
        <w:tc>
          <w:tcPr>
            <w:tcW w:w="2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current assets</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3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214,732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211,954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3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u w:val="single"/>
              </w:rPr>
            </w:pPr>
            <w:r>
              <w:rPr>
                <w:rFonts w:ascii="Times New Roman" w:hAnsi="Times New Roman"/>
                <w:color w:val="000000"/>
                <w:sz w:val="20"/>
                <w:u w:val="single"/>
              </w:rPr>
              <w:t>Liabilities:</w:t>
            </w:r>
          </w:p>
        </w:tc>
        <w:tc>
          <w:tcPr>
            <w:tcW w:w="140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compensation liability</w:t>
            </w:r>
          </w:p>
        </w:tc>
        <w:tc>
          <w:tcPr>
            <w:tcW w:w="2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49,222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noncurrent liabilities</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49,222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3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49,222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49,222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160"/>
        <w:jc w:val="left"/>
        <w:rPr>
          <w:rFonts w:ascii="Times New Roman" w:hAnsi="Times New Roman"/>
          <w:color w:val="000000"/>
          <w:sz w:val="20"/>
        </w:rPr>
      </w:pPr>
      <w:r>
        <w:rPr>
          <w:rFonts w:ascii="Times New Roman" w:hAnsi="Times New Roman"/>
          <w:color w:val="000000"/>
          <w:sz w:val="20"/>
        </w:rPr>
        <w:t xml:space="preserve">The fair value of our money market mutual funds, certificates of deposit and equity securities with a readily determinable fair value are computed based upon quoted market prices in an active market. The fair value of deferred compensation assets and the offsetting liability are computed based on market prices in an active market held in a rabbi trust. The fair value of our foreign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107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60"/>
        <w:jc w:val="left"/>
        <w:rPr>
          <w:rFonts w:ascii="Times New Roman" w:hAnsi="Times New Roman"/>
          <w:color w:val="000000"/>
          <w:sz w:val="20"/>
        </w:rPr>
      </w:pPr>
      <w:r>
        <w:rPr>
          <w:rFonts w:ascii="Times New Roman" w:hAnsi="Times New Roman"/>
          <w:color w:val="000000"/>
          <w:sz w:val="20"/>
        </w:rPr>
        <w:t>currency exchange contracts is valued using quoted forward exchange rates and spot rates at the reporting date. The fair value of the non-marketable securities that we hold are accounted for under the measurement alternative. Under the measurement alternative, the carrying value is measured at cost, less any impairment, plus or minus changes resulting from observable price changes in orderly transactions for identical or similar investments of the same issuer. Adjustments are determined primarily based on a market approach as of the transaction date and are recorded in other (income) expense, net.</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4) LONG-TERM DEBT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summary of long-term debt follows:</w:t>
      </w:r>
    </w:p>
    <w:tbl>
      <w:tblPr>
        <w:tblW w:w="10205" w:type="dxa"/>
        <w:jc w:val="left"/>
        <w:tblInd w:w="0" w:type="dxa"/>
        <w:tblLayout w:type="fixed"/>
        <w:tblCellMar>
          <w:top w:w="28" w:type="dxa"/>
          <w:left w:w="28" w:type="dxa"/>
          <w:bottom w:w="28" w:type="dxa"/>
          <w:right w:w="28" w:type="dxa"/>
        </w:tblCellMar>
      </w:tblPr>
      <w:tblGrid>
        <w:gridCol w:w="7072"/>
        <w:gridCol w:w="146"/>
        <w:gridCol w:w="211"/>
        <w:gridCol w:w="931"/>
        <w:gridCol w:w="166"/>
        <w:gridCol w:w="146"/>
        <w:gridCol w:w="211"/>
        <w:gridCol w:w="931"/>
        <w:gridCol w:w="391"/>
      </w:tblGrid>
      <w:tr>
        <w:trPr/>
        <w:tc>
          <w:tcPr>
            <w:tcW w:w="707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70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0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0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(amounts in thousands)</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0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07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 xml:space="preserve">Notes and Mortgages payable (including obligations under finance leases of $91,121 in 2025 and $92,530 in 2024) and term loans with varying maturities through 2099; weighted average interest rates of 4.0% in 2025 and 3.8% in 2024 (see </w:t>
            </w:r>
            <w:r>
              <w:rPr>
                <w:rFonts w:ascii="Times New Roman" w:hAnsi="Times New Roman"/>
                <w:i/>
                <w:color w:val="000000"/>
                <w:sz w:val="20"/>
              </w:rPr>
              <w:t>Note 7</w:t>
            </w:r>
            <w:r>
              <w:rPr>
                <w:rFonts w:ascii="Times New Roman" w:hAnsi="Times New Roman"/>
                <w:color w:val="000000"/>
                <w:sz w:val="20"/>
              </w:rPr>
              <w:t> regarding finance leases)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200,810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206,046</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7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Tranche A term loan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1,162,500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1,192,500</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7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Revolving credit facility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408,400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130,000</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7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2.65% Senior Secured Notes due 2030, net of unamortized discount of $1,065 in 2025 and $1,291 in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798,935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798,709</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7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1.65% Senior Secured Notes due 2026, net of unamortized discount of $113 in 2025 and $288 in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699,887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699,712</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7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2.65% Senior Secured Notes due 2032, net of unamortized discount of $734 in 2025 and $864 in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499,266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499,136</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7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4.625% Senior Secured Notes due 2029, net of unamortized discount of $161 in 2025 and net of unamortized discount of $204 in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499,839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499,796</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7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5.050% Senior Secured Notes due 2034, net of unamortized discount of $1,376 in 2025 and net of unamortized discount of $1,533 in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498,624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498,467</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0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debt before unamortized financing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4,768,261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4,524,366</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Less-Unamortized financing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(15,710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(19,825</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0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debt after unamortized financing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4,752,551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4,504,541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Less-Amounts due within one year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(748,158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(40,059</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0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4,004,393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4,464,482</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Credit Facilities and Outstanding Debt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September 2024, we entered into a tenth amendment ("Tenth Amendment") to our credit agreement ("Credit Agreement"), dated as of November 15, 2010, as amended and restated at various times from March, 2011 to June, 2022, among UHS, as borrower, the several banks and other financial institutions or entities from time to time parties thereto, as lenders, and JPMorgan Chase Bank, N.A., as administrative agent. The Tenth Amendment provided for: (i) an extension of the maturity date to September 26, 2029; (ii) a new revolving credit facility of up to $1.3 billion (which as of December 31, 2025, had $889 million of aggregate available borrowing capacity, net of $408 million of borrowings outstanding and $3 million of letters of credit), and; (iii) a new replacement tranche A term loan facility ("Tranche A Term Loan") of up to $1.2 billion (which had $1.16 billion of outstanding borrowings as of December 31, 2025).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Pursuant to the terms of the Tenth Amendment, the Tranche A Term Loan provides for installment payments of $7.5 million per quarter commencing on December 31, 2024 through September 30, 2026, and $15.0 million per quarter commencing on December 31, 2026 through June 30, 2029. The unpaid principal balance at June 30, 2029 (scheduled to be $975.0 million) is payable on the September 26, 2029 scheduled maturity date of the Credit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Revolving credit and Tranche A Term Loan borrowings under the Credit Agreement bear interest at our election at either (1) the ABR rate which is defined as the rate per annum equal to the greatest of (a) the lender’s prime rate, (b) the greater of the federal funds effective rate and the overnight bank funding rate, plus 0.5% and (c) one month term SOFR rate plus 1.1%, in each case, plus an applicable margin based upon our consolidated leverage ratio at the end of each quarter ranging from 0.25% to 0.625%, or (2) the one, three or six month term SOFR rate plus 0.1% (at our election), plus an applicable margin based upon our consolidated leverage ratio at the end of each quarter ranging from 1.25% to 1.625%. As of December 31, 2025, the applicable margins were 0.25% for ABR-based loans and 1.25% for SOFR-based loans under the revolving credit and term loan A facilities. The revolving credit facility includes a $125 million sub-limit for letters of credit. The Credit Agreement is secured by certain assets of the Company and our material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108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subsidiaries (which generally excludes asset classes such as substantially all of the patient-related accounts receivable of our acute care hospitals, if sold to a receivables facility pursuant to the Credit Agreement, and certain real estate assets and assets held in joint-ventures with third parties) and is guaranteed by our material subsidiaries.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Credit Agreement includes a material adverse change clause that must be represented at each draw. The Credit Agreement also contains covenants that include a limitation on sales of assets, mergers, change of ownership, liens, indebtedness, transactions with affiliates, dividends and stock repurchases; and requires compliance with financial covenants including maximum leverage. We were in compliance with all required covenants as of December 31, 2025 and December 31, 2024.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December 31, 2025, we had combined aggregate principal of $3.0 billion from the following senior secured notes: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rPr>
        <w:t>$700</w:t>
      </w:r>
      <w:r>
        <w:rPr>
          <w:color w:val="000000"/>
        </w:rPr>
        <w:t xml:space="preserve"> </w:t>
      </w:r>
      <w:r>
        <w:rPr>
          <w:rFonts w:ascii="Times New Roman" w:hAnsi="Times New Roman"/>
          <w:color w:val="000000"/>
          <w:sz w:val="20"/>
        </w:rPr>
        <w:t>million of aggregate principal amount of 1.65% senior secured notes due in September, 2026 ("2026 Notes") which were issued on August 24, 2021. Interest on the 2026 Notes is payable on March 1st and September 1st until the maturity date of September 1, 2026.</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rPr>
        <w:t>$500</w:t>
      </w:r>
      <w:r>
        <w:rPr>
          <w:color w:val="000000"/>
        </w:rPr>
        <w:t xml:space="preserve"> </w:t>
      </w:r>
      <w:r>
        <w:rPr>
          <w:rFonts w:ascii="Times New Roman" w:hAnsi="Times New Roman"/>
          <w:color w:val="000000"/>
          <w:sz w:val="20"/>
        </w:rPr>
        <w:t>million of aggregate principal amount of 4.625% senior secured notes due in October, 2029 ("2029 Notes") which were issued on September 26, 2024. Interest on the 2029 Notes is payable on April 15th and October 15th, commencing April 15, 2025 until the maturity date of October 15, 2029.</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rPr>
        <w:t>$800</w:t>
      </w:r>
      <w:r>
        <w:rPr>
          <w:color w:val="000000"/>
        </w:rPr>
        <w:t xml:space="preserve"> </w:t>
      </w:r>
      <w:r>
        <w:rPr>
          <w:rFonts w:ascii="Times New Roman" w:hAnsi="Times New Roman"/>
          <w:color w:val="000000"/>
          <w:sz w:val="20"/>
        </w:rPr>
        <w:t>million of aggregate principal amount of 2.65% senior secured notes due in October, 2030 ("2030 Notes") which were issued on September 21, 2020. Interest on the 2030 Notes is payable on April 15th and October 15th, until the maturity date of October 15, 2030.</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rPr>
        <w:t>$500</w:t>
      </w:r>
      <w:r>
        <w:rPr>
          <w:color w:val="000000"/>
        </w:rPr>
        <w:t xml:space="preserve"> </w:t>
      </w:r>
      <w:r>
        <w:rPr>
          <w:rFonts w:ascii="Times New Roman" w:hAnsi="Times New Roman"/>
          <w:color w:val="000000"/>
          <w:sz w:val="20"/>
        </w:rPr>
        <w:t>million of aggregate principal amount of 2.65% senior secured notes due in January, 2032 ("2032 Notes") which were issued on August 24, 2021. Interest on the 2032 Notes is payable on January 15th and July 15th until the maturity date of January 15, 2032.</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rPr>
        <w:t>$500</w:t>
      </w:r>
      <w:r>
        <w:rPr>
          <w:color w:val="000000"/>
        </w:rPr>
        <w:t xml:space="preserve"> </w:t>
      </w:r>
      <w:r>
        <w:rPr>
          <w:rFonts w:ascii="Times New Roman" w:hAnsi="Times New Roman"/>
          <w:color w:val="000000"/>
          <w:sz w:val="20"/>
        </w:rPr>
        <w:t>million of aggregate principal amount of 5.050% senior secured notes due in October, 2034 ("2034 Notes") which were issued on September 26, 2024. Interest on the 2034 Notes is payable on April 15th and October 15th, commencing on April 15, 2025 until the maturity date of October 15, 2034.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2026, 2029, 2030, 2032 and 2034 Notes (collectively "All the Notes") are guaranteed (the “Guarantees”) on a senior secured basis by all of our existing and future direct and indirect subsidiaries that guarantee our Credit Agreement, other first lien obligations, or any junior lien obligations (the "Subsidiary Guarantors"). All the Notes and the Guarantees are secured by first-priority liens, subject to permitted liens, on certain of the Company’s and the Subsidiary Guarantors’ assets now owned or acquired in the future by the Company or the Subsidiary Guarantors (other than real property, accounts receivable sold pursuant to a Company-related receivables facility (as defined in the Indenture pursuant to which All the Notes were issued (the “Indentures”), and certain other excluded assets). The Company’s obligations with respect to All the Notes, the obligations of the Subsidiary Guarantors under the Guarantees, and the performance of all of the Company’s and the Subsidiary Guarantors’ other obligations under the Indentures, are secured equally and ratably with the Company’s and the Subsidiary Guarantors’ obligations under the Credit Agreement. However, the liens on the collateral securing All the Notes and the Guarantees will be released if: (i) All the Notes have investment grade ratings; (ii) no default has occurred and is continuing, and; (iii) the liens on the collateral securing all first lien obligations (including the Credit Agreement and All the Notes) and any junior lien obligations are released or the collateral under the Credit Agreement, any other first lien obligations and any junior lien obligations is released or no longer required to be pledged. The liens on any collateral securing All the Notes and the Guarantees will also be released if the liens on that collateral securing the Credit Agreement, other first lien obligations and any junior lien obligations are released.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connection with an asset purchase and sale agreement, and related lease agreements, completed with Universal Health Realty Income Trust ("Trust") in December 2021, our consolidated balance sheets at December 31, 2025 and December 31, 2024 reflect financial liabilities, which are included in debt, of approximately $70 million and $74 million, respectively. In connection with that transaction, as a result of our purchase option within the lease agreements related to two of our facilities, the asset purchase and sale transaction was accounted for as a failed sale leaseback in accordance with U.S. GAAP and we have accounted for the transaction as a financing arrangement. Our lease payments payable to the Trust are recorded to interest expense and as a reduction of the outstanding financial liability, and the amount allocated to interest expense is determined based upon our incremental borrowing rate and the outstanding financial liability.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At December 31, 2025, the carrying value and fair value of our debt were approximately $4.8 billion and $4.6 billion, respectively. At December 31, 2024, the carrying value and fair value of our debt were approximately $4.5 billion and $4.2 billion, respectively. The fair value of our debt was computed based upon quotes received from financial institutions. We consider these to be “level 2” in the fair value hierarchy as outlined in the authoritative guidance for disclosures in connection with debt instruments.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109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aggregate scheduled maturities of our total debt outstanding as of December 31, 2025, before unamortized financing costs, are as follows:</w:t>
      </w:r>
    </w:p>
    <w:tbl>
      <w:tblPr>
        <w:tblW w:w="5805" w:type="dxa"/>
        <w:jc w:val="left"/>
        <w:tblInd w:w="0" w:type="dxa"/>
        <w:tblLayout w:type="fixed"/>
        <w:tblCellMar>
          <w:top w:w="28" w:type="dxa"/>
          <w:left w:w="28" w:type="dxa"/>
          <w:bottom w:w="28" w:type="dxa"/>
          <w:right w:w="28" w:type="dxa"/>
        </w:tblCellMar>
      </w:tblPr>
      <w:tblGrid>
        <w:gridCol w:w="4306"/>
        <w:gridCol w:w="146"/>
        <w:gridCol w:w="211"/>
        <w:gridCol w:w="931"/>
        <w:gridCol w:w="211"/>
      </w:tblGrid>
      <w:tr>
        <w:trPr/>
        <w:tc>
          <w:tcPr>
            <w:tcW w:w="43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3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(000s)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748,975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70,744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71,535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1,925,600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812,167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1,139,240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3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maturities before unamortized financing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4,768,261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Less-Unamortized financing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(15,710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4,752,551</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5) COMMON STOCK</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Dividends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declared and paid cash dividends of $.80 per share during each of the last three years amounting to, in the aggregate, $51.3 million during 2025, $53.3 million during 2024 and $55.5 million during 2023. All classes of our common stock have similar economic rights.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Stock Repurchase Programs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January 1, 2025, we had an aggregate available repurchase authorization of $824.36 million under our stock repurchase program. In October, 2025, our Board of Directors authorized a $1.5 billion increase in our stock repurchase program. As of December 31, 2025, we had an aggregate available repurchase authorization of $1.43 billion. Pursuant to this program, shares of our Class B Common Stock may be repurchased, from time to time as conditions allow, on the open market or in negotiated private transactions. There is no expiration date for our stock repurchase programs.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schedule provides information related to our stock repurchase program for each of the three years ended December 31, 2025. During 2025, 4,650,318 shares ($899.3 million in the aggregate) were repurchased pursuant to the terms of the stock repurchase program and 369,891 shares ($68.7 million in the aggregate) were repurchased in connection with the income tax withholding obligations resulting from stock-based compensation programs. During 2024, 2,982,906 shares ($598.5 million in the aggregate) were repurchased pursuant to the terms of the stock repurchase program and 375,248 shares ($72.2 million in the aggregate) were repurchased in connection with the income tax withholding obligations resulting from stock-based compensation programs. During 2023, 3,855,046 shares ($524.5 million in the aggregate) were repurchased pursuant to the terms of the stock repurchase program and 164,649 shares ($22.9 million in the aggregate) were repurchased in connection with the income tax withholding obligations resulting from stock-based compensation programs.</w:t>
      </w:r>
    </w:p>
    <w:p>
      <w:pPr>
        <w:pStyle w:val="TextBody"/>
        <w:bidi w:val="0"/>
        <w:jc w:val="left"/>
        <w:rPr/>
      </w:pPr>
      <w:r>
        <w:rPr/>
        <w:t> </w:t>
      </w:r>
    </w:p>
    <w:tbl>
      <w:tblPr>
        <w:tblW w:w="12294" w:type="dxa"/>
        <w:jc w:val="left"/>
        <w:tblInd w:w="0" w:type="dxa"/>
        <w:tblLayout w:type="fixed"/>
        <w:tblCellMar>
          <w:top w:w="28" w:type="dxa"/>
          <w:left w:w="28" w:type="dxa"/>
          <w:bottom w:w="28" w:type="dxa"/>
          <w:right w:w="28" w:type="dxa"/>
        </w:tblCellMar>
      </w:tblPr>
      <w:tblGrid>
        <w:gridCol w:w="961"/>
        <w:gridCol w:w="146"/>
        <w:gridCol w:w="196"/>
        <w:gridCol w:w="826"/>
        <w:gridCol w:w="146"/>
        <w:gridCol w:w="146"/>
        <w:gridCol w:w="146"/>
        <w:gridCol w:w="916"/>
        <w:gridCol w:w="146"/>
        <w:gridCol w:w="146"/>
        <w:gridCol w:w="170"/>
        <w:gridCol w:w="596"/>
        <w:gridCol w:w="146"/>
        <w:gridCol w:w="146"/>
        <w:gridCol w:w="252"/>
        <w:gridCol w:w="544"/>
        <w:gridCol w:w="146"/>
        <w:gridCol w:w="146"/>
        <w:gridCol w:w="146"/>
        <w:gridCol w:w="916"/>
        <w:gridCol w:w="146"/>
        <w:gridCol w:w="146"/>
        <w:gridCol w:w="217"/>
        <w:gridCol w:w="669"/>
        <w:gridCol w:w="146"/>
        <w:gridCol w:w="146"/>
        <w:gridCol w:w="196"/>
        <w:gridCol w:w="826"/>
        <w:gridCol w:w="146"/>
        <w:gridCol w:w="146"/>
        <w:gridCol w:w="196"/>
        <w:gridCol w:w="826"/>
        <w:gridCol w:w="146"/>
        <w:gridCol w:w="146"/>
        <w:gridCol w:w="196"/>
        <w:gridCol w:w="826"/>
        <w:gridCol w:w="191"/>
      </w:tblGrid>
      <w:tr>
        <w:trPr/>
        <w:tc>
          <w:tcPr>
            <w:tcW w:w="9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9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br/>
              <w:t>dollars</w:t>
              <w:br/>
              <w:t>authorized</w:t>
              <w:br/>
              <w:t>for</w:t>
              <w:br/>
              <w:t>repurchase</w:t>
              <w:br/>
              <w:t>(in</w:t>
              <w:br/>
              <w:t>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br/>
              <w:t>number of</w:t>
              <w:br/>
              <w:t>shares</w:t>
              <w:br/>
              <w:t>purchased (a.)</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br/>
              <w:t>number</w:t>
              <w:br/>
              <w:t>of shares</w:t>
              <w:br/>
              <w:t>cancelled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Average</w:t>
              <w:br/>
              <w:t>price</w:t>
              <w:br/>
              <w:t>paid per</w:t>
              <w:br/>
              <w:t>share for</w:t>
              <w:br/>
              <w:t>forfeited</w:t>
              <w:br/>
              <w:t>restricted</w:t>
              <w:b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br/>
              <w:t>number of</w:t>
              <w:br/>
              <w:t>shares</w:t>
              <w:br/>
              <w:t>purchased</w:t>
              <w:br/>
              <w:t>as part of</w:t>
              <w:br/>
              <w:t>publicly</w:t>
              <w:br/>
              <w:t>announced</w:t>
              <w:br/>
              <w:t>programs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Average</w:t>
              <w:br/>
              <w:t>price paid</w:t>
              <w:br/>
              <w:t>per share</w:t>
              <w:br/>
              <w:t>for shares</w:t>
              <w:br/>
              <w:t>purchased</w:t>
              <w:br/>
              <w:t>as part of</w:t>
              <w:br/>
              <w:t>publicly</w:t>
              <w:br/>
              <w:t>announced</w:t>
              <w:br/>
              <w:t>program</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w:t>
              <w:br/>
              <w:t>purchase</w:t>
              <w:br/>
              <w:t>price paid</w:t>
              <w:br/>
              <w:t>(in</w:t>
              <w:br/>
              <w:t>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w:t>
              <w:br/>
              <w:t>purchase</w:t>
              <w:br/>
              <w:t>price paid</w:t>
              <w:br/>
              <w:t>for shares</w:t>
              <w:br/>
              <w:t>purchased</w:t>
              <w:br/>
              <w:t>as part of</w:t>
              <w:br/>
              <w:t>publicly</w:t>
              <w:br/>
              <w:t>announced</w:t>
              <w:br/>
              <w:t>program</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Maximum</w:t>
              <w:br/>
              <w:t>number of</w:t>
              <w:br/>
              <w:t>dollars</w:t>
              <w:br/>
              <w:t>that may</w:t>
              <w:br/>
              <w:t>yet be</w:t>
              <w:br/>
              <w:t>purchased</w:t>
              <w:br/>
              <w:t>under the</w:t>
              <w:br/>
              <w:t>program</w:t>
              <w:br/>
              <w:t>(in</w:t>
              <w:br/>
              <w:t>thousands)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9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as of Jan. 1, 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947,368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4,022,051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3,855,046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136.05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547,362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524,485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422,883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3,358,261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2,982,906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200.65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670,753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598,522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824,361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1,500,000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5,020,209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4,650,318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193.38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967,951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899,275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1,425,086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for three year</w:t>
              <w:br/>
              <w:t>   period ended</w:t>
              <w:br/>
              <w: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2,500,000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12,400,521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2,463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11,488,270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176.03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2,186,066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2,022,282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(a.)</w:t>
      </w:r>
    </w:p>
    <w:p>
      <w:pPr>
        <w:pStyle w:val="TextBody"/>
        <w:bidi w:val="0"/>
        <w:jc w:val="left"/>
        <w:rPr>
          <w:rFonts w:ascii="Times New Roman" w:hAnsi="Times New Roman"/>
          <w:color w:val="000000"/>
          <w:sz w:val="16"/>
        </w:rPr>
      </w:pPr>
      <w:r>
        <w:rPr>
          <w:rFonts w:ascii="Times New Roman" w:hAnsi="Times New Roman"/>
          <w:color w:val="000000"/>
          <w:sz w:val="16"/>
        </w:rPr>
        <w:t>Includes 0, 107, and 2,356, of restricted shares that were forfeited by former employees pursuant to the terms of our restricted stock purchase plan during 2025, 2024 and 2023, respectively.</w:t>
      </w:r>
    </w:p>
    <w:p>
      <w:pPr>
        <w:pStyle w:val="TextBody"/>
        <w:bidi w:val="0"/>
        <w:spacing w:before="160" w:after="283"/>
        <w:jc w:val="left"/>
        <w:rPr>
          <w:rFonts w:ascii="Times New Roman" w:hAnsi="Times New Roman"/>
          <w:b/>
          <w:i/>
          <w:color w:val="000000"/>
          <w:sz w:val="20"/>
        </w:rPr>
      </w:pPr>
      <w:r>
        <w:rPr>
          <w:rFonts w:ascii="Times New Roman" w:hAnsi="Times New Roman"/>
          <w:b/>
          <w:i/>
          <w:color w:val="000000"/>
          <w:sz w:val="20"/>
        </w:rPr>
        <w:t>Stock-based Compensation Plans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At December 31, 2025, we have a number of stock-based employee compensation plans. Pursuant to the FASB’s guidance, we expense the grant-date fair value of restricted stock units and stock options (computed utilizing the Black-Scholes option-pricing model) and other equity-based compensation pursuant to the straight-line method over the stated vesting period of the awards. Prior to 2024, our annual stock-based compensation awards were generally issued as a blend restricted stock units and stock options.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Commencing in 2024, our annual stock-based compensation awards were issued fully in restricted stock units (and performance-based restricted stock units to our executive officers) and are expected to remain so in future years.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Pre-tax share-based compensation costs of $33.8 million during 2025, $54.3 million during 2024 and $64.2 million during 2023 were recognized related to outstanding stock options. In addition, pre-tax compensation costs of $61.9 million during 2025, $45.1 million during 2024 and $23.5 million during 2023 were recognized related to amortization of restricted stock units as well as discounts provided in connection with shares purchased pursuant to our 2005 Employee Stock Purchase Plan. As of December 31, 2025, there was approximately $147.1 million of unrecognized compensation cost related to unvested stock options and restricted stock which is expected to be recognized over the remaining average vesting period of 2.4 years.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expense associated with stock-based compensation arrangements is a non-cash charge. In the consolidated statements of cash flows, stock-based compensation expense is an adjustment to reconcile net income to cash provided by operating activities and aggregated to $95.7 million in 2025, $99.3 million in 2024 and $87.7 million in 2023. In connection with ASU 2016-09, “Compensation-Stock Compensation (Topic 718): Improvements to Employee Share-Based Payment Accounting”, our provision for income taxes and our net income attributable to UHS were favorably impacted by $4.2 million during 2025 and $15.9 million during 2024 (net of unfavorable impacts of $15.7 million during 2025 and $10.2 million during 2024 resulting from executive compensation limitations pursuant to IRC section 162(m)), and unfavorably impacted by $4.7 million during 2023.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2005, we adopted the 2005 Stock Incentive Plan (the “Stock Incentive Plan”) which was amended in 2008, 2010, 2015 and 2017 and was canceled in 2020, as discussed below. An aggregate of 35.6 million shares of Class B Common Stock had been reserved under the Stock Incentive Plan, the remaining balance of which was canceled in 2020. During 2020, stock options, net of cancellations of approximately 2.2 million were granted under the Stock Incentive Plan. Stock options to purchase Class B Common Stock have been granted to our officers, key employees and members of our Board of Directors. Upon adoption of the 2020 Omnibus Stock and Incentive Plan, as discussed below, no additional awards were granted under the 2005 Stock Incentive Plan or the 2010 Employees’ Restricted Stock Purchase Plan (discussed below), and reserves for future issuance pursuant to each plan were canceled.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2020, we adopted the 2020 Omnibus Stock and Incentive Plan (the “2020 Stock Incentive Plan”) which was amended in 2022 and 2024. An aggregate of 18.1 million shares of Class B Common Stock has been reserved for issuance under the 2020 Stock Incentive Plan. As of December 31, 2025, approximately 6.59 million shares of Class B Common Stock remain available for issuance pursuant to the 2020 Stock Incentive Plan. Under the 2020 Stock Incentive Plan, shares that are subject to stock options shall be counted as one share per stock option, and every share that is subject to restricted stock awards or restricted stock units shall be counted as four shares. Various other types of equity awards are also permitted under the 2020 Stock Incentive Plan.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each of the last three years, the following were granted pursuant to the 2020 Stock Incentive Plan (net of cancellations):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 xml:space="preserve">2025: </w:t>
      </w:r>
      <w:r>
        <w:rPr>
          <w:rFonts w:ascii="Times New Roman" w:hAnsi="Times New Roman"/>
          <w:color w:val="000000"/>
          <w:sz w:val="20"/>
        </w:rPr>
        <w:t>0</w:t>
      </w:r>
      <w:r>
        <w:rPr>
          <w:color w:val="000000"/>
        </w:rPr>
        <w:t xml:space="preserve"> </w:t>
      </w:r>
      <w:r>
        <w:rPr>
          <w:rFonts w:ascii="Times New Roman" w:hAnsi="Times New Roman"/>
          <w:color w:val="000000"/>
          <w:sz w:val="20"/>
        </w:rPr>
        <w:t>stock options and 545,355</w:t>
      </w:r>
      <w:r>
        <w:rPr>
          <w:color w:val="000000"/>
        </w:rPr>
        <w:t xml:space="preserve"> </w:t>
      </w:r>
      <w:r>
        <w:rPr>
          <w:rFonts w:ascii="Times New Roman" w:hAnsi="Times New Roman"/>
          <w:color w:val="000000"/>
          <w:sz w:val="20"/>
        </w:rPr>
        <w:t>restricted stock units (including 61,251</w:t>
      </w:r>
      <w:r>
        <w:rPr>
          <w:color w:val="000000"/>
        </w:rPr>
        <w:t xml:space="preserve"> </w:t>
      </w:r>
      <w:r>
        <w:rPr>
          <w:rFonts w:ascii="Times New Roman" w:hAnsi="Times New Roman"/>
          <w:color w:val="000000"/>
          <w:sz w:val="20"/>
        </w:rPr>
        <w:t>performance based restricted stock units).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2024:</w:t>
      </w:r>
      <w:r>
        <w:rPr>
          <w:color w:val="000000"/>
        </w:rPr>
        <w:t xml:space="preserve"> </w:t>
      </w:r>
      <w:r>
        <w:rPr>
          <w:rFonts w:ascii="Times New Roman" w:hAnsi="Times New Roman"/>
          <w:color w:val="000000"/>
          <w:sz w:val="20"/>
        </w:rPr>
        <w:t>3,000</w:t>
      </w:r>
      <w:r>
        <w:rPr>
          <w:color w:val="000000"/>
        </w:rPr>
        <w:t xml:space="preserve"> </w:t>
      </w:r>
      <w:r>
        <w:rPr>
          <w:rFonts w:ascii="Times New Roman" w:hAnsi="Times New Roman"/>
          <w:color w:val="000000"/>
          <w:sz w:val="20"/>
        </w:rPr>
        <w:t>stock options and 480,489</w:t>
      </w:r>
      <w:r>
        <w:rPr>
          <w:color w:val="000000"/>
        </w:rPr>
        <w:t xml:space="preserve"> </w:t>
      </w:r>
      <w:r>
        <w:rPr>
          <w:rFonts w:ascii="Times New Roman" w:hAnsi="Times New Roman"/>
          <w:color w:val="000000"/>
          <w:sz w:val="20"/>
        </w:rPr>
        <w:t>restricted stock units (including 63,362</w:t>
      </w:r>
      <w:r>
        <w:rPr>
          <w:color w:val="000000"/>
        </w:rPr>
        <w:t xml:space="preserve"> </w:t>
      </w:r>
      <w:r>
        <w:rPr>
          <w:rFonts w:ascii="Times New Roman" w:hAnsi="Times New Roman"/>
          <w:color w:val="000000"/>
          <w:sz w:val="20"/>
        </w:rPr>
        <w:t>performance based restricted stock units).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2023:</w:t>
      </w:r>
      <w:r>
        <w:rPr>
          <w:color w:val="000000"/>
        </w:rPr>
        <w:t xml:space="preserve"> </w:t>
      </w:r>
      <w:r>
        <w:rPr>
          <w:rFonts w:ascii="Times New Roman" w:hAnsi="Times New Roman"/>
          <w:color w:val="000000"/>
          <w:sz w:val="20"/>
        </w:rPr>
        <w:t>1.6</w:t>
      </w:r>
      <w:r>
        <w:rPr>
          <w:color w:val="000000"/>
        </w:rPr>
        <w:t xml:space="preserve"> </w:t>
      </w:r>
      <w:r>
        <w:rPr>
          <w:rFonts w:ascii="Times New Roman" w:hAnsi="Times New Roman"/>
          <w:color w:val="000000"/>
          <w:sz w:val="20"/>
        </w:rPr>
        <w:t>million stock options and 247,241</w:t>
      </w:r>
      <w:r>
        <w:rPr>
          <w:color w:val="000000"/>
        </w:rPr>
        <w:t xml:space="preserve"> </w:t>
      </w:r>
      <w:r>
        <w:rPr>
          <w:rFonts w:ascii="Times New Roman" w:hAnsi="Times New Roman"/>
          <w:color w:val="000000"/>
          <w:sz w:val="20"/>
        </w:rPr>
        <w:t>restricted stock units (including 93,606</w:t>
      </w:r>
      <w:r>
        <w:rPr>
          <w:color w:val="000000"/>
        </w:rPr>
        <w:t xml:space="preserve"> </w:t>
      </w:r>
      <w:r>
        <w:rPr>
          <w:rFonts w:ascii="Times New Roman" w:hAnsi="Times New Roman"/>
          <w:color w:val="000000"/>
          <w:sz w:val="20"/>
        </w:rPr>
        <w:t>performance based restricted stock units).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Restricted stock units issued under the 2020 Stock Incentive Plan do not have rights to receive dividends on unvested awards, however, dividends on unvested restricted stock units are typically deferred and accumulated prior to vesting and paid in cash in the aggregate on the vesting date.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weighted average grant-date fair values of the restricted stock units issued under the 2020 Stock Incentive Plan during each of the last three years, as reflected above, were $178.33 during 2025, $181.05 during 2024 and $118.14 during 2023. The fair value of each restricted stock unit was determined as the closing market price of our stock on the date of grant. Restricted stock units have been granted to our officers, key employees and members of our Board of Directors.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per option weighted-average grant-date fair values for options granted under the 2020 Stock Incentive Plan were $44.58 during 2024 and $41.88 during 2023. No option grants were issued in 2025. All stock options issued in 2024 and 2023 were granted with an exercise price equal to the fair market value on the date of the grant. The majority of options are exercisable ratably over a four-year period beginning one year after the date of the grant. All outstanding options expire five years after the date of the grant.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fair value of each option grant was estimated on the date of grant using the Black-Scholes option-pricing model. The following weighted average assumptions were derived from averaging the number of options granted during the most recent five-year period. The weighted-average assumptions reflected below were based upon nineteen option grants for the five-year period ending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December 31, 2025, twenty-two option grants for the five-year period ending December 31, 2024 and thirty option grants for the five-year period ending December 31, 2023.</w:t>
      </w:r>
    </w:p>
    <w:p>
      <w:pPr>
        <w:pStyle w:val="TextBody"/>
        <w:bidi w:val="0"/>
        <w:jc w:val="left"/>
        <w:rPr/>
      </w:pPr>
      <w:r>
        <w:rPr/>
        <w:t> </w:t>
      </w:r>
    </w:p>
    <w:tbl>
      <w:tblPr>
        <w:tblW w:w="5041" w:type="dxa"/>
        <w:jc w:val="left"/>
        <w:tblInd w:w="0" w:type="dxa"/>
        <w:tblLayout w:type="fixed"/>
        <w:tblCellMar>
          <w:top w:w="28" w:type="dxa"/>
          <w:left w:w="28" w:type="dxa"/>
          <w:bottom w:w="28" w:type="dxa"/>
          <w:right w:w="28" w:type="dxa"/>
        </w:tblCellMar>
      </w:tblPr>
      <w:tblGrid>
        <w:gridCol w:w="2011"/>
        <w:gridCol w:w="146"/>
        <w:gridCol w:w="207"/>
        <w:gridCol w:w="513"/>
        <w:gridCol w:w="271"/>
        <w:gridCol w:w="146"/>
        <w:gridCol w:w="146"/>
        <w:gridCol w:w="361"/>
        <w:gridCol w:w="271"/>
        <w:gridCol w:w="146"/>
        <w:gridCol w:w="146"/>
        <w:gridCol w:w="361"/>
        <w:gridCol w:w="316"/>
      </w:tblGrid>
      <w:tr>
        <w:trPr/>
        <w:tc>
          <w:tcPr>
            <w:tcW w:w="20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0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Year Ended December 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 (b)</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volatility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0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 free Interest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0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life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Forfeiture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0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Dividend yield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(b.)</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 xml:space="preserve">Pursuant to the discussion above, commencing in 2024, our annual stock-based compensation awards were issued fully in restricted stock units.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risk-free rate is based on the U.S. Treasury zero coupon four year yield curve in effect at the time of grant. The expected life of the stock options granted was estimated using the historical behavior of employees. Expected volatility was based on historical volatility for a period equal to the stock option’s expected life. Expected dividend yield is based on our dividend yield at the time of grant. The forfeiture rate is based upon the actual historical forfeitures utilizing the 5-year term of the option.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table below summarizes our stock option activity during the year ended December 31, 2025:</w:t>
      </w:r>
    </w:p>
    <w:p>
      <w:pPr>
        <w:pStyle w:val="TextBody"/>
        <w:bidi w:val="0"/>
        <w:jc w:val="left"/>
        <w:rPr/>
      </w:pPr>
      <w:r>
        <w:rPr/>
        <w:t> </w:t>
      </w:r>
    </w:p>
    <w:tbl>
      <w:tblPr>
        <w:tblW w:w="7668" w:type="dxa"/>
        <w:jc w:val="left"/>
        <w:tblInd w:w="0" w:type="dxa"/>
        <w:tblLayout w:type="fixed"/>
        <w:tblCellMar>
          <w:top w:w="28" w:type="dxa"/>
          <w:left w:w="28" w:type="dxa"/>
          <w:bottom w:w="28" w:type="dxa"/>
          <w:right w:w="28" w:type="dxa"/>
        </w:tblCellMar>
      </w:tblPr>
      <w:tblGrid>
        <w:gridCol w:w="4081"/>
        <w:gridCol w:w="146"/>
        <w:gridCol w:w="146"/>
        <w:gridCol w:w="991"/>
        <w:gridCol w:w="166"/>
        <w:gridCol w:w="146"/>
        <w:gridCol w:w="346"/>
        <w:gridCol w:w="1109"/>
        <w:gridCol w:w="146"/>
        <w:gridCol w:w="391"/>
      </w:tblGrid>
      <w:tr>
        <w:trPr/>
        <w:tc>
          <w:tcPr>
            <w:tcW w:w="40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0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Outstanding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br/>
              <w:t>of 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 Average</w:t>
              <w:br/>
              <w:t>Exercise</w:t>
              <w:br/>
              <w:t>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January 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3,909,248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124.91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0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Exercised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(1,753,871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Cancelled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(104,783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127.07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2,050,594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131.53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options vested and exercisable as of</w:t>
              <w:br/>
              <w:t>   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1,013,751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136.92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following table provides information about unvested options for the year ended December 31, 2025:</w:t>
      </w:r>
    </w:p>
    <w:p>
      <w:pPr>
        <w:pStyle w:val="TextBody"/>
        <w:bidi w:val="0"/>
        <w:jc w:val="left"/>
        <w:rPr/>
      </w:pPr>
      <w:r>
        <w:rPr/>
        <w:t> </w:t>
      </w:r>
    </w:p>
    <w:tbl>
      <w:tblPr>
        <w:tblW w:w="6317" w:type="dxa"/>
        <w:jc w:val="left"/>
        <w:tblInd w:w="0" w:type="dxa"/>
        <w:tblLayout w:type="fixed"/>
        <w:tblCellMar>
          <w:top w:w="28" w:type="dxa"/>
          <w:left w:w="28" w:type="dxa"/>
          <w:bottom w:w="28" w:type="dxa"/>
          <w:right w:w="28" w:type="dxa"/>
        </w:tblCellMar>
      </w:tblPr>
      <w:tblGrid>
        <w:gridCol w:w="3586"/>
        <w:gridCol w:w="146"/>
        <w:gridCol w:w="146"/>
        <w:gridCol w:w="991"/>
        <w:gridCol w:w="166"/>
        <w:gridCol w:w="146"/>
        <w:gridCol w:w="254"/>
        <w:gridCol w:w="691"/>
        <w:gridCol w:w="191"/>
      </w:tblGrid>
      <w:tr>
        <w:trPr/>
        <w:tc>
          <w:tcPr>
            <w:tcW w:w="3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5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Grant Date</w:t>
              <w:br/>
              <w:t>Fair 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options as of January 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2,305,836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42.56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(1,165,336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42.10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Cancelled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(103,657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5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options as of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1,036,843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43.01</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following table provides information regarding all options outstanding at December 31, 2025:</w:t>
      </w:r>
    </w:p>
    <w:p>
      <w:pPr>
        <w:pStyle w:val="TextBody"/>
        <w:bidi w:val="0"/>
        <w:jc w:val="left"/>
        <w:rPr/>
      </w:pPr>
      <w:r>
        <w:rPr/>
        <w:t> </w:t>
      </w:r>
    </w:p>
    <w:tbl>
      <w:tblPr>
        <w:tblW w:w="7549" w:type="dxa"/>
        <w:jc w:val="left"/>
        <w:tblInd w:w="0" w:type="dxa"/>
        <w:tblLayout w:type="fixed"/>
        <w:tblCellMar>
          <w:top w:w="28" w:type="dxa"/>
          <w:left w:w="28" w:type="dxa"/>
          <w:bottom w:w="28" w:type="dxa"/>
          <w:right w:w="28" w:type="dxa"/>
        </w:tblCellMar>
      </w:tblPr>
      <w:tblGrid>
        <w:gridCol w:w="4321"/>
        <w:gridCol w:w="146"/>
        <w:gridCol w:w="211"/>
        <w:gridCol w:w="1141"/>
        <w:gridCol w:w="146"/>
        <w:gridCol w:w="146"/>
        <w:gridCol w:w="211"/>
        <w:gridCol w:w="1036"/>
        <w:gridCol w:w="191"/>
      </w:tblGrid>
      <w:tr>
        <w:trPr/>
        <w:tc>
          <w:tcPr>
            <w:tcW w:w="43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3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Options</w:t>
              <w:br/>
              <w:t>Outstanding</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Options</w:t>
              <w:br/>
              <w:t>Exercisable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Number of options outstanding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2,050,594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1,013,751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exercise price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136.92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Aggregate intrinsic value as of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177,349,737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82,217,145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remaining contractual life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total in-the-money value of all stock options exercised during the years ended December 31, 2025, 2024 and 2023 were $137.0 million, $185.3 million and $57.1 million, respectively.</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weighted average remaining contractual life for options outstanding and weighted average exercise price per share for exercisable options at December 31, 2023, 2024 and 2025 were as follows: </w:t>
      </w:r>
    </w:p>
    <w:p>
      <w:pPr>
        <w:pStyle w:val="TextBody"/>
        <w:bidi w:val="0"/>
        <w:jc w:val="left"/>
        <w:rPr/>
      </w:pPr>
      <w:r>
        <w:rPr/>
        <w:t> </w:t>
      </w:r>
    </w:p>
    <w:tbl>
      <w:tblPr>
        <w:tblW w:w="9405" w:type="dxa"/>
        <w:jc w:val="left"/>
        <w:tblInd w:w="0" w:type="dxa"/>
        <w:tblLayout w:type="fixed"/>
        <w:tblCellMar>
          <w:top w:w="28" w:type="dxa"/>
          <w:left w:w="28" w:type="dxa"/>
          <w:bottom w:w="28" w:type="dxa"/>
          <w:right w:w="28" w:type="dxa"/>
        </w:tblCellMar>
      </w:tblPr>
      <w:tblGrid>
        <w:gridCol w:w="856"/>
        <w:gridCol w:w="146"/>
        <w:gridCol w:w="149"/>
        <w:gridCol w:w="707"/>
        <w:gridCol w:w="146"/>
        <w:gridCol w:w="146"/>
        <w:gridCol w:w="247"/>
        <w:gridCol w:w="698"/>
        <w:gridCol w:w="146"/>
        <w:gridCol w:w="146"/>
        <w:gridCol w:w="370"/>
        <w:gridCol w:w="725"/>
        <w:gridCol w:w="146"/>
        <w:gridCol w:w="146"/>
        <w:gridCol w:w="146"/>
        <w:gridCol w:w="691"/>
        <w:gridCol w:w="146"/>
        <w:gridCol w:w="146"/>
        <w:gridCol w:w="247"/>
        <w:gridCol w:w="698"/>
        <w:gridCol w:w="146"/>
        <w:gridCol w:w="146"/>
        <w:gridCol w:w="146"/>
        <w:gridCol w:w="691"/>
        <w:gridCol w:w="146"/>
        <w:gridCol w:w="146"/>
        <w:gridCol w:w="247"/>
        <w:gridCol w:w="698"/>
        <w:gridCol w:w="191"/>
      </w:tblGrid>
      <w:tr>
        <w:trPr/>
        <w:tc>
          <w:tcPr>
            <w:tcW w:w="8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8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u w:val="single"/>
              </w:rPr>
            </w:pPr>
            <w:r>
              <w:rPr>
                <w:rFonts w:ascii="Times New Roman" w:hAnsi="Times New Roman"/>
                <w:b/>
                <w:color w:val="000000"/>
                <w:sz w:val="14"/>
                <w:u w:val="single"/>
              </w:rPr>
              <w:t>Year Ended: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Options</w:t>
              <w:br/>
              <w:t>Outstanding</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4"/>
              </w:rPr>
            </w:pPr>
            <w:r>
              <w:rPr>
                <w:rFonts w:ascii="Times New Roman" w:hAnsi="Times New Roman"/>
                <w:b/>
                <w:color w:val="000000"/>
                <w:sz w:val="14"/>
              </w:rPr>
              <w:t>Weighted</w:t>
              <w:br/>
              <w:t>Average</w:t>
              <w:br/>
              <w:t>Exercise</w:t>
            </w:r>
            <w:r>
              <w:rPr>
                <w:rFonts w:ascii="Times New Roman" w:hAnsi="Times New Roman"/>
                <w:color w:val="000000"/>
                <w:sz w:val="14"/>
              </w:rPr>
              <w:t xml:space="preserve"> </w:t>
            </w:r>
            <w:r>
              <w:rPr>
                <w:rFonts w:ascii="Times New Roman" w:hAnsi="Times New Roman"/>
                <w:b/>
                <w:color w:val="000000"/>
                <w:sz w:val="14"/>
              </w:rPr>
              <w:t>Price</w:t>
              <w:br/>
              <w:t>Per 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Weighted</w:t>
              <w:br/>
              <w:t>Average</w:t>
              <w:br/>
              <w:t>Remaining</w:t>
              <w:br/>
              <w:t>Contractual Life</w:t>
              <w:br/>
              <w:t>(in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Exercisable</w:t>
              <w:br/>
              <w:t>Options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Weighted</w:t>
              <w:br/>
              <w:t>Average</w:t>
              <w:br/>
              <w:t>Exercise Price</w:t>
              <w:br/>
              <w:t>Per 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Expected to</w:t>
              <w:br/>
              <w:t>Vest</w:t>
              <w:br/>
              <w:t>Options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Weighted</w:t>
              <w:br/>
              <w:t>Average</w:t>
              <w:br/>
              <w:t>Exercise Price</w:t>
              <w:br/>
              <w:t>Per Share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8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8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6,794,794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121.13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2,450,613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114.96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4,178,237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124.86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3,909,248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124.91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1,603,412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116.94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1,838,407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130.20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2,050,594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131.53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1,013,751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136.92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808,871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126.11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also have our 2005 Employee Stock Purchase Plan (the “Employee Stock Plan”), as amended during 2024, which allows eligible employees to purchase shares of Class B Common Stock at a 10% discount. There were 88,760, 81,146 and 100,507 shares issued pursuant to the Employee Stock Purchase Plan during 2025, 2024 and 2023, respectively. In connection with the Employee Stock Plan, we have reserved 3.0 million shares of Class B Common Stock for issuance and have issued approximately 2.0 million shares as of December 31, 2025. As of December 31, 2025, approximately 1.0 million shares of Class B Common Stock remain available for issuance pursuant to this plan.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At December 31, 2025, 21,317,419 shares of Class B Common Stock were reserved for issuance upon conversion of shares of Class A, C and D Common Stock outstanding, for issuance upon exercise of options to purchase Class B Common Stock and for issuance of stock under other incentive plans. Class A, C and D Common Stock are convertible on a share for share basis into Class B Common Stock.</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6) INCOME TAXES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Components of income tax expense/(benefit) are as follows (amounts in thousands):</w:t>
      </w:r>
    </w:p>
    <w:tbl>
      <w:tblPr>
        <w:tblW w:w="5088" w:type="dxa"/>
        <w:jc w:val="left"/>
        <w:tblInd w:w="0" w:type="dxa"/>
        <w:tblLayout w:type="fixed"/>
        <w:tblCellMar>
          <w:top w:w="28" w:type="dxa"/>
          <w:left w:w="28" w:type="dxa"/>
          <w:bottom w:w="28" w:type="dxa"/>
          <w:right w:w="28" w:type="dxa"/>
        </w:tblCellMar>
      </w:tblPr>
      <w:tblGrid>
        <w:gridCol w:w="951"/>
        <w:gridCol w:w="146"/>
        <w:gridCol w:w="211"/>
        <w:gridCol w:w="781"/>
        <w:gridCol w:w="146"/>
        <w:gridCol w:w="146"/>
        <w:gridCol w:w="211"/>
        <w:gridCol w:w="781"/>
        <w:gridCol w:w="166"/>
        <w:gridCol w:w="146"/>
        <w:gridCol w:w="211"/>
        <w:gridCol w:w="781"/>
        <w:gridCol w:w="411"/>
      </w:tblGrid>
      <w:tr>
        <w:trPr/>
        <w:tc>
          <w:tcPr>
            <w:tcW w:w="9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9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58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9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9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9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Federal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344,265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311,545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202,895</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9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Foreign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6,505</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9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50,303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45,780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29,677</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9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410,218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368,287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239,077</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9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Federal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38,676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(28,499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(19,716</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9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Foreign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3,367</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9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6,047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(1,609</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9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50,741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(33,460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(17,958</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9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460,959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334,827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221,119</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July 4, 2025, the One Big Beautiful Bill Act (“OBBBA”), which includes a broad range of corporate income tax law changes, was signed into law in the United States. The OBBBA includes law changes related to bonus depreciation, the expensing of domestic research costs, certain U.S. international tax rules and other modifications. There is no material impact on our effective tax rate in 2025. Although the majority of the tax law changes will take effect starting in 2026, we do not believe the changes will have a material impact on our future provision for income taxes or results of operations.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provision for income taxes for the years ended December 31, 2025, 2024 and 2023 included tax benefits of $4 million and $16 million and tax expenses of $5 million, respectively, related to employee share-based payments. Excess tax benefits (when the deductible amount related to the settlement of employee equity awards for tax purposes exceeds the cumulative compensation cost recognized for financial reporting purposes) and deficiencies, if applicable, are recorded as a component of our tax provision.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foreign provision for income taxes is based on foreign pre-tax earnings of $91 million in 2025 and $80 million during each of 2024 and 2023. In the future, we anticipate repatriating only previously taxed foreign earnings as well as any future earnings that would qualify for a full dividend received deduction for distributions post-December 31, 2017. As of December 31, 2025, the amount of previously taxed earnings and earnings that would qualify for a full dividend received deduction total $96 million. As of December 31, 2025, $24 million of the foreign earnings above is expected to be repatriated and generate future withholding taxes. As such, we have recognized a deferred tax liability of $2 million. At this time, there are no material tax effects related to the future cash repatriation of other undistributed earnings.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described in Note 1, effective for the year ended December 31, 2025, we adopted ASU 2023-09, “Improvements to Income Tax Disclosures (Topic 740)" ("ASU 2023-09"), on a prospective basis. In accordance with prospective application, the prior period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disclosures were not adjusted. Below is a tabular rate reconciliation pursuant to the disclosure requirements of ASU 2023-09 for the year ended December 31, 2025 (amounts in thousands):</w:t>
      </w:r>
    </w:p>
    <w:p>
      <w:pPr>
        <w:pStyle w:val="TextBody"/>
        <w:bidi w:val="0"/>
        <w:jc w:val="left"/>
        <w:rPr/>
      </w:pPr>
      <w:r>
        <w:rPr/>
        <w:t> </w:t>
      </w:r>
    </w:p>
    <w:tbl>
      <w:tblPr>
        <w:tblW w:w="7668" w:type="dxa"/>
        <w:jc w:val="left"/>
        <w:tblInd w:w="0" w:type="dxa"/>
        <w:tblLayout w:type="fixed"/>
        <w:tblCellMar>
          <w:top w:w="28" w:type="dxa"/>
          <w:left w:w="28" w:type="dxa"/>
          <w:bottom w:w="28" w:type="dxa"/>
          <w:right w:w="28" w:type="dxa"/>
        </w:tblCellMar>
      </w:tblPr>
      <w:tblGrid>
        <w:gridCol w:w="5236"/>
        <w:gridCol w:w="211"/>
        <w:gridCol w:w="781"/>
        <w:gridCol w:w="166"/>
        <w:gridCol w:w="146"/>
        <w:gridCol w:w="146"/>
        <w:gridCol w:w="466"/>
        <w:gridCol w:w="516"/>
      </w:tblGrid>
      <w:tr>
        <w:trPr/>
        <w:tc>
          <w:tcPr>
            <w:tcW w:w="52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r>
      <w:tr>
        <w:trPr/>
        <w:tc>
          <w:tcPr>
            <w:tcW w:w="5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 Ended</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2025</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2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federal statutory tax rate</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414,150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2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State and local income taxes, net of federal income tax effect </w:t>
            </w:r>
            <w:r>
              <w:rPr>
                <w:rFonts w:ascii="Times New Roman" w:hAnsi="Times New Roman"/>
                <w:b/>
                <w:color w:val="000000"/>
                <w:sz w:val="13"/>
              </w:rPr>
              <w:t>(a)</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44,914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2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 tax effects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2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Tax credits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2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Changes in valuation allowances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2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Nontaxable or nondeductible items</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2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Noncontrolling interests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2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Share-based payment awards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5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2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nondeductible items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2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Changes in unrecognized tax benefits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2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Effective tax rate</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460,959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w:t>
            </w:r>
          </w:p>
        </w:tc>
        <w:tc>
          <w:tcPr>
            <w:tcW w:w="5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3"/>
        </w:rPr>
        <w:t>(a)</w:t>
      </w:r>
      <w:r>
        <w:rPr>
          <w:rFonts w:ascii="Times New Roman" w:hAnsi="Times New Roman"/>
          <w:color w:val="000000"/>
          <w:sz w:val="20"/>
        </w:rPr>
        <w:t xml:space="preserve"> State taxes in California and the District of Columbia made up the majority (greater than 50 percent) of the tax effect in this category.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reconciliation between the federal statutory rate and the effective tax rate is as follows for the year ended December 31, 2024 and 2023:</w:t>
      </w:r>
    </w:p>
    <w:tbl>
      <w:tblPr>
        <w:tblW w:w="6829" w:type="dxa"/>
        <w:jc w:val="left"/>
        <w:tblInd w:w="0" w:type="dxa"/>
        <w:tblLayout w:type="fixed"/>
        <w:tblCellMar>
          <w:top w:w="28" w:type="dxa"/>
          <w:left w:w="28" w:type="dxa"/>
          <w:bottom w:w="28" w:type="dxa"/>
          <w:right w:w="28" w:type="dxa"/>
        </w:tblCellMar>
      </w:tblPr>
      <w:tblGrid>
        <w:gridCol w:w="4726"/>
        <w:gridCol w:w="146"/>
        <w:gridCol w:w="146"/>
        <w:gridCol w:w="466"/>
        <w:gridCol w:w="271"/>
        <w:gridCol w:w="146"/>
        <w:gridCol w:w="146"/>
        <w:gridCol w:w="466"/>
        <w:gridCol w:w="316"/>
      </w:tblGrid>
      <w:tr>
        <w:trPr/>
        <w:tc>
          <w:tcPr>
            <w:tcW w:w="47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7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 Ended</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7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Federal statutory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State, net of federal income tax benefit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Tax effects of foreign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Tax benefit from settlements of employee equity awards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items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Impact of income attributable to noncontrolling interests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Effective tax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w:t>
            </w:r>
          </w:p>
        </w:tc>
        <w:tc>
          <w:tcPr>
            <w:tcW w:w="3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effective tax rates were 23.4%, 22.4% and 23.5% for the years ended December 31, 2025, 2024 and 2023, respectively. The increase in our effective tax rate for the year ended December 31, 2025, as compared to 2024, is due to a $10 million increase in the provision for foreign tax effects and a $12 million decrease in the net tax benefit recorded pursuant to ASU 2016-09, net of the impact of executive compensation limitations pursuant to IRC section 162(m), during 2025 as compared to 2024. The decrease in our effective tax rate for the year ended December 31, 2024, as compared to 2023, is due primarily to a $16 million decrease in the provision for income taxes during 2024, as compared to 2023, from the net tax benefit recorded pursuant to ASU 2016-09, net of the impact of executive compensation limitations pursuant to IRC section 162(m).</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components of income taxes paid, net of refunds received, are as follows (amounts in thousands):</w:t>
      </w:r>
    </w:p>
    <w:tbl>
      <w:tblPr>
        <w:tblW w:w="6658" w:type="dxa"/>
        <w:jc w:val="left"/>
        <w:tblInd w:w="0" w:type="dxa"/>
        <w:tblLayout w:type="fixed"/>
        <w:tblCellMar>
          <w:top w:w="28" w:type="dxa"/>
          <w:left w:w="28" w:type="dxa"/>
          <w:bottom w:w="28" w:type="dxa"/>
          <w:right w:w="28" w:type="dxa"/>
        </w:tblCellMar>
      </w:tblPr>
      <w:tblGrid>
        <w:gridCol w:w="3446"/>
        <w:gridCol w:w="246"/>
        <w:gridCol w:w="590"/>
        <w:gridCol w:w="2185"/>
        <w:gridCol w:w="191"/>
      </w:tblGrid>
      <w:tr>
        <w:trPr/>
        <w:tc>
          <w:tcPr>
            <w:tcW w:w="34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218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7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u w:val="single"/>
              </w:rPr>
            </w:pPr>
            <w:r>
              <w:rPr>
                <w:rFonts w:ascii="Times New Roman" w:hAnsi="Times New Roman"/>
                <w:b/>
                <w:color w:val="000000"/>
                <w:sz w:val="20"/>
                <w:u w:val="single"/>
              </w:rPr>
              <w:t>Year Ended December 31, 2025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4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Federal</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5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400,662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State and local</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5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56,450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Foreign</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5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13,753</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4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income taxes paid (net of refunds)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5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470,865</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amount of income taxes paid during the year does not meet the 5% disaggregation threshold for any state, local or foreign jurisdictions.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Income tax payments, net of refunds received, were $325 million and $258 million for the years ended December 31, 2024 and 2023, respectively. Included in “Other current assets” on our consolidated balance sheets are prepaid federal, state and foreign income taxes amounting to approximately $54 million and $3 million as of December 31, 2025 and 2024, respectively. Included in “Other long-term assets” on our consolidated balance sheets are federal taxes receivable amounting to approximately $4 million as of December 31, 2025.</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components of deferred taxes are as follows (amounts in thousands):</w:t>
      </w:r>
    </w:p>
    <w:tbl>
      <w:tblPr>
        <w:tblW w:w="10205" w:type="dxa"/>
        <w:jc w:val="left"/>
        <w:tblInd w:w="0" w:type="dxa"/>
        <w:tblLayout w:type="fixed"/>
        <w:tblCellMar>
          <w:top w:w="28" w:type="dxa"/>
          <w:left w:w="28" w:type="dxa"/>
          <w:bottom w:w="28" w:type="dxa"/>
          <w:right w:w="28" w:type="dxa"/>
        </w:tblCellMar>
      </w:tblPr>
      <w:tblGrid>
        <w:gridCol w:w="4546"/>
        <w:gridCol w:w="211"/>
        <w:gridCol w:w="146"/>
        <w:gridCol w:w="781"/>
        <w:gridCol w:w="166"/>
        <w:gridCol w:w="146"/>
        <w:gridCol w:w="211"/>
        <w:gridCol w:w="146"/>
        <w:gridCol w:w="781"/>
        <w:gridCol w:w="146"/>
        <w:gridCol w:w="146"/>
        <w:gridCol w:w="211"/>
        <w:gridCol w:w="146"/>
        <w:gridCol w:w="781"/>
        <w:gridCol w:w="166"/>
        <w:gridCol w:w="146"/>
        <w:gridCol w:w="211"/>
        <w:gridCol w:w="146"/>
        <w:gridCol w:w="781"/>
        <w:gridCol w:w="191"/>
      </w:tblGrid>
      <w:tr>
        <w:trPr/>
        <w:tc>
          <w:tcPr>
            <w:tcW w:w="45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5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257" w:type="dxa"/>
            <w:gridSpan w:val="17"/>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77" w:type="dxa"/>
            <w:gridSpan w:val="7"/>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77" w:type="dxa"/>
            <w:gridSpan w:val="7"/>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Assets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Liabilities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Assets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Liabilities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Self-insurance reserves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124,084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131,945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Compensation accruals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88,472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80,673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Doubtful accounts and other reserves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139,513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136,067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currently non-deductible accrued liabilities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Depreciable and amortizable assets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336,937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278,412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liabilities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96,798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105,444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Right of use assets-operating leases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87,516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97,925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Federal state and foreign net operating loss carryforwards and other federal, state and foreign deferred tax assets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118,211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111,388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pension liabilities – OCI only</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liabilities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10,088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7,654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5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586,890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435,141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585,130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383,991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Valuation allowance</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(86,881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(82,690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5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deferred income taxes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500,009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435,141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502,440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383,991</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At December 31, 2025, state net operating loss carryforwards (expiring in years 2026 through 2044), and credit carryforwards available to offset future taxable income approximated $1 billion representing approximately $73 million in deferred state tax benefit (net of the federal benefit); and state related interest expense carryforwards approximated $160 million representing approximately $11 million in deferred state tax benefit (net of the federal benefit). At December 31, 2025, there were foreign net operating losses and interest expense carryforwards of approximately $105 million, most of which are carried forward indefinitely, representing approximately $28 million in deferred foreign tax benefit. At December 31, 2025, there were federal tax credits and net operating losses of approximately $9 million representing approximately $6 million in deferred federal tax benefits. Of the federal attributes above, $5 million will expire between 2027-2036 with the remaining federal attributes carried forward indefinitely.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valuation allowance is required when it is more likely than not that some portion of the deferred tax assets will not be realized. Based on available evidence, it is more likely than not that certain of our state tax benefits will not be realized. Therefore, valuation allowances of approximately $78 million have been recorded during each of the periods ended December 31, 2025 and 2024. In addition, valuation allowances of approximately $9 million and $4 million have been recorded as of December 31, 2025 and 2024, related to federal and foreign net operating losses and credit carryforwards. During 2025, the valuation allowance on these federal and foreign tax benefits increased by $5 million due to an increase in foreign tax credits that are not expected to be realized.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During 2025 and 2024, the estimated liabilities for uncertain tax positions (including accrued interest and penalties) were increased less than $1 million due to tax positions taken in the current and prior years. The balance at each of the years ended December 31, 2025 and 2024, if subsequently recognized, that would favorably affect the effective tax rate and the provision for income taxes is approximately $2 million as of each date.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recognize accrued interest and penalties associated with uncertain tax positions as part of the tax provision. As of December 31, 2025 and 2024, we have accrued interest and penalties of less than $1 million as of each date. The U.S. federal statute of limitations remains open for the 2022 and subsequent years. Foreign and U.S. state and local jurisdictions have statutes of limitations generally ranging for 3 to 4 years.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tabular reconciliation of unrecognized tax benefits for the years ended December 31, 2025, 2024 and 2023 is as follows (amounts in thousands):</w:t>
      </w:r>
    </w:p>
    <w:p>
      <w:pPr>
        <w:pStyle w:val="TextBody"/>
        <w:bidi w:val="0"/>
        <w:jc w:val="left"/>
        <w:rPr/>
      </w:pPr>
      <w:r>
        <w:rPr/>
        <w:t> </w:t>
      </w:r>
    </w:p>
    <w:tbl>
      <w:tblPr>
        <w:tblW w:w="8233" w:type="dxa"/>
        <w:jc w:val="left"/>
        <w:tblInd w:w="0" w:type="dxa"/>
        <w:tblLayout w:type="fixed"/>
        <w:tblCellMar>
          <w:top w:w="28" w:type="dxa"/>
          <w:left w:w="28" w:type="dxa"/>
          <w:bottom w:w="28" w:type="dxa"/>
          <w:right w:w="28" w:type="dxa"/>
        </w:tblCellMar>
      </w:tblPr>
      <w:tblGrid>
        <w:gridCol w:w="4906"/>
        <w:gridCol w:w="146"/>
        <w:gridCol w:w="211"/>
        <w:gridCol w:w="571"/>
        <w:gridCol w:w="166"/>
        <w:gridCol w:w="146"/>
        <w:gridCol w:w="211"/>
        <w:gridCol w:w="571"/>
        <w:gridCol w:w="166"/>
        <w:gridCol w:w="146"/>
        <w:gridCol w:w="211"/>
        <w:gridCol w:w="571"/>
        <w:gridCol w:w="211"/>
      </w:tblGrid>
      <w:tr>
        <w:trPr/>
        <w:tc>
          <w:tcPr>
            <w:tcW w:w="49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9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7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December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January 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Additions based on tax positions related to the current year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Additions for tax positions of prior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Reductions for tax positions of prior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9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Settlements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9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December 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2,850</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7) LEASE COMMITMENTS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follow FASB ASU 2016-02 ("Topic 842") "Leases." Under Topic 842, lessees are required to recognize assets and liabilities on the balance sheets for most leases and provide enhanced disclosures. Leases will be classified as either finance or operating.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elected the policy exemption that allows lessees to choose to not separate lease and non-lease components by class of underlying asset and are applying this expedient to all relevant asset classes.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determine if an arrangement is or contains a lease at inception of the contract. Our right-of-use assets represent our right to use the underlying assets for the lease term and our lease liabilities represent our obligation to make lease payments arising from the leases. Right-of-use assets and lease liabilities are recognized at commencement date based on the present value of lease payments over the lease term. We use the implicit rate noted within the contract if known or determinable. If the implicit rate is not readily available, we use our estimated incremental borrowing rate, which is derived using a collateralized borrowing rate for the same currency and term as the associated lease. A right-of-use asset and lease liability is not recognized for leases with an initial term of 12 months or less and we recognize lease expense for these leases on a straight-line basis over the lease term within lease and rental expense.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operating leases are primarily for real estate, including certain acute care facilities, off-campus outpatient facilities, medical office buildings, and corporate and other administrative offices. Our real estate lease agreements typically have initial terms of five to ten years. These real estate leases may include one or more options to renew, with renewals that can extend the lease term from five to ten years. The exercise of lease renewal options is at our sole discretion. When determining the lease term, we included options to extend or terminate the lease when it is reasonably certain that we will exercise that option.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Five of our hospital facilities are held under operating leases with Universal Health Realty Income Trust with two hospital terms expiring in 2026, two expiring in 2033, and one expiring in 2040 (see Note 9 for additional disclosure). We also lease the real property of certain facilities.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components of lease expense for the years ended December 31, 2025, 2024 and 2023 are as follows (in thousands):</w:t>
      </w:r>
    </w:p>
    <w:tbl>
      <w:tblPr>
        <w:tblW w:w="8037" w:type="dxa"/>
        <w:jc w:val="left"/>
        <w:tblInd w:w="0" w:type="dxa"/>
        <w:tblLayout w:type="fixed"/>
        <w:tblCellMar>
          <w:top w:w="28" w:type="dxa"/>
          <w:left w:w="28" w:type="dxa"/>
          <w:bottom w:w="28" w:type="dxa"/>
          <w:right w:w="28" w:type="dxa"/>
        </w:tblCellMar>
      </w:tblPr>
      <w:tblGrid>
        <w:gridCol w:w="4086"/>
        <w:gridCol w:w="211"/>
        <w:gridCol w:w="781"/>
        <w:gridCol w:w="146"/>
        <w:gridCol w:w="146"/>
        <w:gridCol w:w="211"/>
        <w:gridCol w:w="781"/>
        <w:gridCol w:w="146"/>
        <w:gridCol w:w="146"/>
        <w:gridCol w:w="211"/>
        <w:gridCol w:w="781"/>
        <w:gridCol w:w="391"/>
      </w:tblGrid>
      <w:tr>
        <w:trPr/>
        <w:tc>
          <w:tcPr>
            <w:tcW w:w="40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0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Twelve months ended</w:t>
              <w:br/>
              <w:t>December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0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cost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101,977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101,915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99,812</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Variable and short term lease cost (a)</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46,257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44,518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41,214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lease and rental expense</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148,234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146,433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141,026</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0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Finance lease cost:</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Amortization of property under capital lease</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4,998</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on debt of property under capital lease</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4,141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3,771</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0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finance lease cost</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12,428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7,929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8,769</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Includes equipment, month-to-month and leases with a maturity of less than 12 months.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Supplemental cash flow information related to leases for the years ended December 31, 2025, 2024 and 2023 are as follows (in thousands): </w:t>
      </w:r>
    </w:p>
    <w:tbl>
      <w:tblPr>
        <w:tblW w:w="9817" w:type="dxa"/>
        <w:jc w:val="left"/>
        <w:tblInd w:w="0" w:type="dxa"/>
        <w:tblLayout w:type="fixed"/>
        <w:tblCellMar>
          <w:top w:w="28" w:type="dxa"/>
          <w:left w:w="28" w:type="dxa"/>
          <w:bottom w:w="28" w:type="dxa"/>
          <w:right w:w="28" w:type="dxa"/>
        </w:tblCellMar>
      </w:tblPr>
      <w:tblGrid>
        <w:gridCol w:w="5866"/>
        <w:gridCol w:w="211"/>
        <w:gridCol w:w="781"/>
        <w:gridCol w:w="146"/>
        <w:gridCol w:w="146"/>
        <w:gridCol w:w="211"/>
        <w:gridCol w:w="781"/>
        <w:gridCol w:w="146"/>
        <w:gridCol w:w="146"/>
        <w:gridCol w:w="211"/>
        <w:gridCol w:w="781"/>
        <w:gridCol w:w="391"/>
      </w:tblGrid>
      <w:tr>
        <w:trPr/>
        <w:tc>
          <w:tcPr>
            <w:tcW w:w="58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58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Twelve months ended</w:t>
              <w:br/>
              <w:t>December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8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8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8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paid for amounts included in the measurement of lease liabilities:</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8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cash flows from operating leases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138,519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134,543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129,299</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cash flows from finance leases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3,652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3,832</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Financing cash flows from finance leases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3,817</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Right-of-use assets obtained in exchange for lease obligations:</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62,223</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Finance leases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4,295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452</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Supplemental balance sheets information related to leases as of December 31, 2025 and 2024 are as follows (in thousands):</w:t>
      </w:r>
    </w:p>
    <w:p>
      <w:pPr>
        <w:pStyle w:val="TextBody"/>
        <w:bidi w:val="0"/>
        <w:jc w:val="left"/>
        <w:rPr/>
      </w:pPr>
      <w:r>
        <w:rPr/>
        <w:t> </w:t>
      </w:r>
    </w:p>
    <w:tbl>
      <w:tblPr>
        <w:tblW w:w="7094" w:type="dxa"/>
        <w:jc w:val="left"/>
        <w:tblInd w:w="0" w:type="dxa"/>
        <w:tblLayout w:type="fixed"/>
        <w:tblCellMar>
          <w:top w:w="28" w:type="dxa"/>
          <w:left w:w="28" w:type="dxa"/>
          <w:bottom w:w="28" w:type="dxa"/>
          <w:right w:w="28" w:type="dxa"/>
        </w:tblCellMar>
      </w:tblPr>
      <w:tblGrid>
        <w:gridCol w:w="3871"/>
        <w:gridCol w:w="233"/>
        <w:gridCol w:w="862"/>
        <w:gridCol w:w="271"/>
        <w:gridCol w:w="146"/>
        <w:gridCol w:w="233"/>
        <w:gridCol w:w="862"/>
        <w:gridCol w:w="616"/>
      </w:tblGrid>
      <w:tr>
        <w:trPr/>
        <w:tc>
          <w:tcPr>
            <w:tcW w:w="3871"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r>
      <w:tr>
        <w:trPr/>
        <w:tc>
          <w:tcPr>
            <w:tcW w:w="38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8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6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8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Leases</w:t>
            </w:r>
          </w:p>
        </w:tc>
        <w:tc>
          <w:tcPr>
            <w:tcW w:w="1095"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095"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6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r>
      <w:tr>
        <w:trPr/>
        <w:tc>
          <w:tcPr>
            <w:tcW w:w="38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Right of use assets-operating leases</w:t>
            </w:r>
          </w:p>
        </w:tc>
        <w:tc>
          <w:tcPr>
            <w:tcW w:w="2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374,239</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418,719</w:t>
            </w:r>
          </w:p>
        </w:tc>
        <w:tc>
          <w:tcPr>
            <w:tcW w:w="6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8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liabilities</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73,237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74,649</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liabilities noncurrent</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340,715</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376,239</w:t>
            </w:r>
          </w:p>
        </w:tc>
        <w:tc>
          <w:tcPr>
            <w:tcW w:w="61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8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operating lease liabilities</w:t>
            </w:r>
          </w:p>
        </w:tc>
        <w:tc>
          <w:tcPr>
            <w:tcW w:w="2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413,952</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450,888</w:t>
            </w:r>
          </w:p>
        </w:tc>
        <w:tc>
          <w:tcPr>
            <w:tcW w:w="6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8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Finance Leases</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129,012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125,018</w:t>
            </w:r>
          </w:p>
        </w:tc>
        <w:tc>
          <w:tcPr>
            <w:tcW w:w="6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Accumulated depreciation</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(52,326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(44,346</w:t>
            </w:r>
          </w:p>
        </w:tc>
        <w:tc>
          <w:tcPr>
            <w:tcW w:w="61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8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Property and equipment, net</w:t>
            </w:r>
          </w:p>
        </w:tc>
        <w:tc>
          <w:tcPr>
            <w:tcW w:w="2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76,686</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80,672</w:t>
            </w:r>
          </w:p>
        </w:tc>
        <w:tc>
          <w:tcPr>
            <w:tcW w:w="6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8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maturities of long-term debt</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5,738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5,282</w:t>
            </w:r>
          </w:p>
        </w:tc>
        <w:tc>
          <w:tcPr>
            <w:tcW w:w="6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debt</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85,383</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87,248</w:t>
            </w:r>
          </w:p>
        </w:tc>
        <w:tc>
          <w:tcPr>
            <w:tcW w:w="61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8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finance lease liabilities</w:t>
            </w:r>
          </w:p>
        </w:tc>
        <w:tc>
          <w:tcPr>
            <w:tcW w:w="2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91,121</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92,530</w:t>
            </w:r>
          </w:p>
        </w:tc>
        <w:tc>
          <w:tcPr>
            <w:tcW w:w="6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8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remaining lease term, years</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387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Operating leases</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w:t>
            </w:r>
          </w:p>
        </w:tc>
        <w:tc>
          <w:tcPr>
            <w:tcW w:w="61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387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Finance leases</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w:t>
            </w:r>
          </w:p>
        </w:tc>
        <w:tc>
          <w:tcPr>
            <w:tcW w:w="6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discount rate</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387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Operating leases</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w:t>
            </w:r>
          </w:p>
        </w:tc>
        <w:tc>
          <w:tcPr>
            <w:tcW w:w="61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w:t>
            </w:r>
          </w:p>
        </w:tc>
      </w:tr>
      <w:tr>
        <w:trPr/>
        <w:tc>
          <w:tcPr>
            <w:tcW w:w="387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Finance leases</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c>
          <w:tcPr>
            <w:tcW w:w="6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120"/>
        <w:jc w:val="left"/>
        <w:rPr>
          <w:rFonts w:ascii="Times New Roman" w:hAnsi="Times New Roman"/>
          <w:color w:val="000000"/>
          <w:sz w:val="20"/>
        </w:rPr>
      </w:pPr>
      <w:r>
        <w:rPr>
          <w:rFonts w:ascii="Times New Roman" w:hAnsi="Times New Roman"/>
          <w:color w:val="000000"/>
          <w:sz w:val="20"/>
        </w:rPr>
        <w:t>Future maturities of lease liabilities as of December 31, 2025 are as follows (in thousands):</w:t>
      </w:r>
    </w:p>
    <w:tbl>
      <w:tblPr>
        <w:tblW w:w="5219" w:type="dxa"/>
        <w:jc w:val="left"/>
        <w:tblInd w:w="0" w:type="dxa"/>
        <w:tblLayout w:type="fixed"/>
        <w:tblCellMar>
          <w:top w:w="28" w:type="dxa"/>
          <w:left w:w="28" w:type="dxa"/>
          <w:bottom w:w="28" w:type="dxa"/>
          <w:right w:w="28" w:type="dxa"/>
        </w:tblCellMar>
      </w:tblPr>
      <w:tblGrid>
        <w:gridCol w:w="2266"/>
        <w:gridCol w:w="258"/>
        <w:gridCol w:w="1032"/>
        <w:gridCol w:w="166"/>
        <w:gridCol w:w="146"/>
        <w:gridCol w:w="242"/>
        <w:gridCol w:w="898"/>
        <w:gridCol w:w="211"/>
      </w:tblGrid>
      <w:tr>
        <w:trPr/>
        <w:tc>
          <w:tcPr>
            <w:tcW w:w="226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Operating Leases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Finance Leases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Year ending December 31,</w:t>
            </w:r>
          </w:p>
        </w:tc>
        <w:tc>
          <w:tcPr>
            <w:tcW w:w="129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86,261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9,221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68,430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10,700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58,586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11,042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49,541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11,207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2030</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37,115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11,377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Later years</w:t>
            </w:r>
          </w:p>
        </w:tc>
        <w:tc>
          <w:tcPr>
            <w:tcW w:w="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568,728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94,138</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lease payments</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868,661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147,685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imputed interest</w:t>
            </w:r>
          </w:p>
        </w:tc>
        <w:tc>
          <w:tcPr>
            <w:tcW w:w="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(454,709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(56,564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2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413,952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91,121</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assumed approximately $4 million in finance lease obligations during 2025, $24 million during 2024, and $1 million in 2023. In the ordinary course of business, our facilities routinely lease equipment pursuant to new lease arrangements that will likely result in future lease and rental expense in excess of amounts indicated above.</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8) COMMITMENTS AND CONTINGENCIES</w:t>
      </w:r>
    </w:p>
    <w:p>
      <w:pPr>
        <w:pStyle w:val="TextBody"/>
        <w:bidi w:val="0"/>
        <w:spacing w:before="120" w:after="283"/>
        <w:jc w:val="left"/>
        <w:rPr>
          <w:rFonts w:ascii="Times New Roman" w:hAnsi="Times New Roman"/>
          <w:sz w:val="20"/>
        </w:rPr>
      </w:pPr>
      <w:r>
        <w:rPr>
          <w:rFonts w:ascii="Times New Roman" w:hAnsi="Times New Roman"/>
          <w:b/>
          <w:i/>
          <w:color w:val="000000"/>
          <w:sz w:val="20"/>
        </w:rPr>
        <w:t>Professional and General Liability, Workers’ Compensation Liability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vast majority of our subsidiaries are self-insured for professional and general liability exposure up to: (i) $20 million for professional liability and $3 million for general liability per occurrence in 2025, 2024, 2023, 2022 and 2021; (ii) $10 million and $3 million per occurrence, respectively, in 2020; (iii) $5 million and $3 million per occurrence, respectively, during 2019, 2018 and 2017, and; (iv) $10 million and $3 million per occurrence, respectively, prior to 2017. For each of the years indicated above, through February 2025, for claims involving multiple plaintiffs, a single self-insured retention may apply, as stipulated in and subject to the terms and conditions of the applicable commercial policies, for claims qualifying as group related integrated occurrences and/or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medical incidents. As of March 1, 2025, the single self-insured retention no longer applies in connection with claims made by multiple plaintiffs against our behavioral health care facilities.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These subsidiaries are provided with several excess policies through commercial insurance carriers which provide for coverage in excess of the applicable per occurrence and aggregate self-insured retention or underlying policy limits up to approximately $110 million in 2025; $175 million in 2024; $165 million in 2023; $162 million in 2022; $155 million in 2021 and $250 million during each of 2014 through 2020. Effective March, 2025, our commercial insurance coverage contains less favorable terms than previous years including coverage exclusions for incidents involving sexual molestation or abuse, higher premiums and lower aggregate limitations.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from time to time based upon marketplace conditions, we may elect to purchase additional commercial coverage for certain of our facilities or businesses. Our behavioral health care facilities located in the U.K. have policies through a commercial insurance carrier located in the U.K. that provides for £20 million of professional liability coverage and £25 million of general liability coverage.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commercial insurance limits indicated above for each policy year may have been reduced due to payment of covered claims or suits, subject to the policy terms and conditions.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December 31, 2025, the total net accrual for our self-insured professional and general liability claims was $449 million, of which $125 million was included in current liabilities. As of December 31, 2024, the total net accrual for our self-insured professional and general liability claims was $487 million, of which $85 million was included in current liabilities.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a result of unfavorable trends experienced during the past several years, included in our results of operations were increases to our reserve for self-insured professional and general liability claims amounting to approximately $45 million during 2025, $79 million during 2024 and $25 million during 2023. All professional and general liability insurance we purchase is subject to policy limitations. Our estimated liability for self-insured professional and general liability claims is based on a number of factors including, among other things, the number of asserted claims and reported incidents, estimates of losses for these claims based on recent and historical settlement amounts and jury verdicts, estimates of incurred but not reported claims based on historical experience, and estimates of amounts recoverable under our commercial insurance policies. All relevant information, including our own historical experience, applicable per occurrence and aggregate self-insured retentions, and limitations and exclusions pursuant to our commercial insurance policies, is used in estimating our expected liability for self-insured claims. While we continuously monitor these factors, our ultimate liability for professional and general liability claims could change materially from our current estimates due to inherent uncertainties involved in making this estimate. Given our significant exposure to professional and general liability claims, there can be no assurance that a sharp increase in the number and/or severity of claims asserted against us, and/or reductions in the amount of commercial coverage available to us, will not have a material adverse effect on our future results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December 31, 2025, the total accrual for our workers’ compensation liability claims was $152 million, $64 million of which was included in current liabilities. As of December 31, 2024, the total accrual for our workers’ compensation liability claims was $137 million, $58 million of which was included in current liabilities.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Although we are unable to predict whether or not our future financial statements will require updates to estimates for our prior year reserves for self-insured general and professional and workers’ compensation claims, given the relatively unpredictable nature of these potential liabilities and the factors impacting these reserves, as discussed above, it is reasonably likely that our future financial results may include material adjustments to prior period reserves.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disclosed below in Legal Proceedings, Cumberland Hospital for Children and Adolescents (“Cumberland”), an indirect subsidiary of the Company, is a defendant in multi-plaintiff lawsuits filed in the Circuit Court for Richmond, Virginia (the “Cumberland Litigation”), relating to allegations of inappropriate sexual contact during medical examinations by Dr. Daniel Davidow, an independent contractor and the former medical director for Cumberland. The Company and UHS of Delaware, Inc., our administrative services subsidiary (“UHS Delaware”), were also named as co-defendants in the Cumberland Litigation. Plaintiffs have asserted claims of negligence, assault and battery (against Dr. Davidow), false imprisonment, violations of the Virginia Consumer Protection Act (“VCPA”), and vicarious liability for Dr. Davidow’s conduct against Cumberland, the Company, and UHS Delaware. The Company and UHS Delaware were dismissed from the action during the trial of the first three plaintiffs, which occurred in September, 2024. On September 27, 2024, a jury entered a verdict finding Dr. Davidow and Cumberland liable and awarded these three plaintiffs combined compensatory damages of $60 million for all liability theories, an additional combined $180 million in trebled damages for violation of the VCPA, and an additional combined $120 million in punitive damages. Cumberland filed post-trial motions challenging this verdict, including the amounts awarded in the verdict. Based upon Virginia law, the Court reduced the punitive damage amount to a combined maximum of $1.05 million ($350,000 per plaintiff). Cumberland has filed a notice of appeal on the remaining verdict. Plaintiffs have separately filed a notice of appeal seeking to challenge the dismissal of the Company and UHS Delaware during trial, and the Court’s order reducing the punitive damages award against Cumberland. These appeals were recently dismissed by the appellate court without prejudice as premature because the judgments in favor of the first three plaintiffs are neither final nor enforceable at this time.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There are approximately 40 additional plaintiffs making similar allegations with claims pending in the Cumberland Litigation. The Company and UHS Delaware remain defendants with respect to the remaining plaintiffs. We expect that the trials for the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remaining plaintiffs, as well as any additional plaintiffs, will be scheduled at various times over the next several years. The next trial is tentatively planned to commence in August, 2026.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can make no assurances regarding the ultimate financial exposure, timing, substance or outcome of the Cumberland matter (which related to occurrences in the 2020 policy year), or the amount of damages that may be ultimately held recoverable after post-judgment proceedings and appeals. As of December 31, 2025, without reduction for any potential amounts related to the Cumberland matter, the Company and its subsidiaries have aggregate insurance coverage of approximately $143 million remaining under commercial policies for matters applicable to the 2020 policy year (in excess of the applicable self-insured retention amounts of $10 million per single occurrence/$25 million for multi-plaintiff matters for professional liability claims and $3 million per occurrence for general liability claims). In the event the resolution of the Cumberland matter exhausts all or a significant portion of our/our subsidiaries' remaining commercial insurance coverage related to the 2020 policy year, or the Cumberland matter causes the posting of large bonds or other collateral during the appeal processes, our future results of operations and capital resources would be materially adversely impacted.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received lawsuits in various jurisdictions on behalf of numerous former patients spanning decades claiming to be the victims of sexual assaults while patients at our facilities. Many of these lawsuits have been brought in conjunction with various states extending their statute of limitations to allow alleged victims of sexual assaults or abuse to file claims many years after the alleged incidents occurred. We are uncertain as to potential liability in connection with these matters.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Below is a schedule showing the changes in our general and professional liability and workers’ compensation reserves during the three years ended December 31, 2025 (amount in thousands):</w:t>
      </w:r>
    </w:p>
    <w:p>
      <w:pPr>
        <w:pStyle w:val="TextBody"/>
        <w:bidi w:val="0"/>
        <w:jc w:val="left"/>
        <w:rPr/>
      </w:pPr>
      <w:r>
        <w:rPr/>
        <w:t> </w:t>
      </w:r>
    </w:p>
    <w:tbl>
      <w:tblPr>
        <w:tblW w:w="8937" w:type="dxa"/>
        <w:jc w:val="left"/>
        <w:tblInd w:w="0" w:type="dxa"/>
        <w:tblLayout w:type="fixed"/>
        <w:tblCellMar>
          <w:top w:w="28" w:type="dxa"/>
          <w:left w:w="28" w:type="dxa"/>
          <w:bottom w:w="28" w:type="dxa"/>
          <w:right w:w="28" w:type="dxa"/>
        </w:tblCellMar>
      </w:tblPr>
      <w:tblGrid>
        <w:gridCol w:w="4711"/>
        <w:gridCol w:w="146"/>
        <w:gridCol w:w="211"/>
        <w:gridCol w:w="841"/>
        <w:gridCol w:w="166"/>
        <w:gridCol w:w="146"/>
        <w:gridCol w:w="242"/>
        <w:gridCol w:w="899"/>
        <w:gridCol w:w="166"/>
        <w:gridCol w:w="146"/>
        <w:gridCol w:w="211"/>
        <w:gridCol w:w="841"/>
        <w:gridCol w:w="211"/>
      </w:tblGrid>
      <w:tr>
        <w:trPr/>
        <w:tc>
          <w:tcPr>
            <w:tcW w:w="47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7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General and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7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Professional</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Workers’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7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Liability</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Compensation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January 1, 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371,900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124,516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496,416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Plus: Accrued insurance expense, net of commercial </w:t>
              <w:br/>
              <w:t>   premiums paid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127,445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56,017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183,462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Payments made in settlement of self-insured claims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(67,860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(50,229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(118,089</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January 1,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431,485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130,304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561,789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Plus: Accrued insurance expense, net of commercial </w:t>
              <w:br/>
              <w:t>   premiums paid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184,110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70,284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254,394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Payments made in settlement of self-insured claims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(128,707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(63,478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(192,185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January 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486,888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137,110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623,998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Plus: Accrued insurance expense, net of commercial </w:t>
              <w:br/>
              <w:t>   premiums paid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155,462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81,309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236,771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Payments made in settlement of self-insured claims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(193,395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(66,080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(259,475</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448,955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152,339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601,294</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Property Insurance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commercial property insurance policies for our properties, covering the period of June 1, 2025 to June 1, 2026, providing property and business interruption coverage for losses in excess of $15 million per occurrence or per location (as applicable based upon the event) up to a $1 billion annual policy limitation for certain catastrophic events or perils. These commercial policies provide for coverage of up to $250 million of annual aggregate coverage for losses resulting from windstorm damage at all facilities except those in Puerto Rico where $100 million of annual aggregate coverage is provided. Losses resulting from named windstorms are subject to deductibles between 3% and 5% of the total insurable value of the property. In addition, we have commercial property insurance policies covering catastrophic losses resulting from earthquake and flood damage, each subject to aggregated loss limits (as opposed to per occurrence losses). Commercially insured earthquake coverage for our facilities is subject to various deductibles and limitations including: (i) $150 million limitation for our facilities located in California and Alaska; (ii) $100 million limitation for our facilities in New Madrid Seismic Zone, Pacific Northwest Seismic Zone, South Carolina, Utah and certain counties in Nevada; (iii) $40 million limitation for our facilities located in Puerto Rico, and; (iv) $250 million limitation for our facilities located in other states. Our commercially insured flood coverage has a limit of $100 million annually. There is also a $10 million sublimit for one of our facilities located in Houston, Texas, and a $1 million sublimit for our facilities located in Puerto Rico.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These commercial property policies are subject to a deductible of: (i) $5 million per location for damage resulting from earthquake, wind, hail and flood, and; (ii) $5 million per occurrence for all other events. For per location or per occurrence losses in excess of the applicable deductible, we are self-insured, through our wholly-owned captive insurance company, for up to $10 million of annual aggregate losses. Should the $10 million self-insured annual aggregate limitation be exhausted during the policy year, we have commercial reinsurance coverage for the next $30 million of annual aggregate losses in excess of the applicable deductible. In the event the $30 million of commercial reinsurance coverage is also exhausted, we are self-insured for all per location or per occurrence losses up to $25 million, including the $5 million deductible.</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January 1, 2026, property insurance for our behavioral health facilities located in the U.K. are provided on an all-risk basis up to a £2.7 billion, with a coverage cap per location of £150 million for any one occurrence, that includes coverage for real and personal property as well as business interruption losses.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Commitment to Develop, Lease and Operate an Acute Care Hospital in Washington, D.C.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2020, we entered into various agreements with the District of Columbia (the “District”) related to the development, leasing and operation of an acute care hospital and certain other facilities/structures on land owned by the District (“District Facilities”). Pursuant to the agreements, on behalf of the District, we served as manager for development and construction of the District Facilities, which were funded entirely by the District. The District Facilities had an aggregate cost of approximately $417 million, substantially all of which has been incurred as of December 31, 2025. Construction of the acute care hospital (Cedar Hill Regional Medical Center) was completed and the hospital opened on April 15, 2025.</w:t>
      </w:r>
    </w:p>
    <w:p>
      <w:pPr>
        <w:pStyle w:val="TextBody"/>
        <w:bidi w:val="0"/>
        <w:spacing w:before="120" w:after="283"/>
        <w:jc w:val="left"/>
        <w:rPr>
          <w:rFonts w:ascii="Times New Roman" w:hAnsi="Times New Roman"/>
          <w:sz w:val="20"/>
        </w:rPr>
      </w:pPr>
      <w:r>
        <w:rPr>
          <w:rFonts w:ascii="Times New Roman" w:hAnsi="Times New Roman"/>
          <w:color w:val="000000"/>
          <w:sz w:val="20"/>
        </w:rPr>
        <w:t>We are leasing the District Facilities for a nominal rental amount for a period of 75 years and are obligated to operate the District Facilities during the lease term. We have certain lease termination rights in connection with the District Facilities beginning on the tenth anniversary of the lease commencement date for various and decreasing amounts as provided for in the agreements. Additionally, any time after the 10</w:t>
      </w:r>
      <w:r>
        <w:rPr>
          <w:rFonts w:ascii="Times New Roman" w:hAnsi="Times New Roman"/>
          <w:color w:val="000000"/>
          <w:sz w:val="13"/>
        </w:rPr>
        <w:t xml:space="preserve">th </w:t>
      </w:r>
      <w:r>
        <w:rPr>
          <w:rFonts w:ascii="Times New Roman" w:hAnsi="Times New Roman"/>
          <w:color w:val="000000"/>
          <w:sz w:val="20"/>
        </w:rPr>
        <w:t>anniversary of the lease term, we have a right to purchase the District Facilities for a price equal to the greater of fair market value of the District Facilities or the amount necessary to defease the bonds issued by the District to fund the construction of the District Facilities. The lease agreement also entitles the District to participation rent should certain specified earnings before interest, taxes, depreciation and amortization thresholds be achieved by the acute care hospital.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Additionally, we have committed to expend no less than $75 million (approximately $21 million of which has been incurred as of December 31, 2025), over a projected 12-year period, in healthcare infrastructure including expenditures related to the District Facilities as well as other healthcare related expenditures in certain specified areas of Washington, D.C. Pursuant to the agreements, the District is entitled to certain termination fees and other amounts as specified in the agreements in the event we, within certain specified periods of time, cease to operate the acute care hospital or there is a transfer of control of us or our subsidiary operating the hospital.</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Other Contractual Commitments: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In addition to our long-term debt obligations as discussed in </w:t>
      </w:r>
      <w:r>
        <w:rPr>
          <w:rFonts w:ascii="Times New Roman" w:hAnsi="Times New Roman"/>
          <w:i/>
          <w:color w:val="000000"/>
          <w:sz w:val="20"/>
        </w:rPr>
        <w:t>Note 4 - Long-Term Debt</w:t>
      </w:r>
      <w:r>
        <w:rPr>
          <w:rFonts w:ascii="Times New Roman" w:hAnsi="Times New Roman"/>
          <w:color w:val="000000"/>
          <w:sz w:val="20"/>
        </w:rPr>
        <w:t xml:space="preserve"> and our operating lease obligations as discussed in </w:t>
      </w:r>
      <w:r>
        <w:rPr>
          <w:rFonts w:ascii="Times New Roman" w:hAnsi="Times New Roman"/>
          <w:i/>
          <w:color w:val="000000"/>
          <w:sz w:val="20"/>
        </w:rPr>
        <w:t>Note 7 - Lease Commitments</w:t>
      </w:r>
      <w:r>
        <w:rPr>
          <w:rFonts w:ascii="Times New Roman" w:hAnsi="Times New Roman"/>
          <w:color w:val="000000"/>
          <w:sz w:val="20"/>
        </w:rPr>
        <w:t>, we have various other contractual commitments outstanding as of December 31, 2025 as follows: (i) other combined estimated future purchase obligations of $353 million related to a long-term contract with third-parties consisting primarily of certain revenue cycle data processing services for our acute care facilities ($35 million), expected future costs to be paid to a third-party vendor in connection with the ongoing operation of an electronic health records application and purchase implementation of a revenue cycle and other applications for our acute care facilities ($159 million), healthcare infrastructure in Washington D.C. in connection with various agreements with the District of Columbia ($54 million), development, implementation and operation of an enterprise resource planning application ($70 million), administrative software applications ($24 million) and other software applications ($10 million); (ii) estimated construction commitment of $7 million representing our share of the remaining construction cost of two behavioral health care facilities which opened in 2025 that, subject to approval of certain regulatory conditions, we were required to build pursuant to joint-venture agreements with a third-party; (iii) combined estimated future payments of $154 million related to our non-contributory, defined benefit pension plan ($127 million consisting of estimated payments through 2080) and other retirement plan liabilities ($27 million), and; (iv) accrued and unpaid estimated claims expense incurred in connection with our commercial health insurers and self-insured employee benefit plans ($137 million).</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Legal Proceedings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operate in a highly regulated and litigious industry which subjects us to various claims and lawsuits in the ordinary course of business as well as regulatory proceedings and government investigations. These claims or suits include claims for damages for personal injuries, medical malpractice, commercial/contractual disputes, wrongful restriction of, or interference with, physicians’ staff privileges, and employment related claims. In addition, health care companies are subject to investigations and/or actions by various state and federal governmental agencies or those bringing claims on their behalf. Government action has increased with respect to investigations and/or allegations against healthcare providers concerning possible violations of fraud and abuse and false claims statutes as well as compliance with clinical and operational regulations. Currently, and from time to time, we and some of our facilities are subjected to inquiries in the form of subpoenas, Civil Investigative Demands, audits and other document requests from various federal and state agencies. These inquiries can lead to notices and/or actions including repayment obligations from state and federal government agencies associated with potential non-compliance with laws and regulations. Further, the federal False Claims Act allows private individuals to bring lawsuits (qui tam actions) against healthcare providers that submit claims for payments to the government. Various states have also adopted similar statutes. When such a claim is filed, the government will investigate the matter and decide if they are going to intervene in the pending case. These qui tam lawsuits are placed under seal by the court to comply with the False Claims Act’s requirements. If the government chooses not to intervene, the private individual(s) can proceed independently on behalf of the government. Health care providers that are found to violate the False Claims Act may be subject to substantial monetary fines/penalties as well as face potential exclusion from participating in government health care programs or be required to comply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with Corporate Integrity Agreements as a condition of a settlement of a False Claims Act matter. In September 2014, the Criminal Division of the Department of Justice (“DOJ”) announced that all qui tam cases will be shared with their Division to determine if a parallel criminal investigation should be opened. The DOJ has also announced an intention to pursue civil and criminal actions against individuals within a company as well as the corporate entity or entities. In addition, health care facilities are subject to monitoring by state and federal surveyors to ensure compliance with program Conditions of Participation. In the event a facility is found to be out of compliance with a Condition of Participation and unable to remedy the alleged deficiency(s), the facility faces termination from the Medicare and Medicaid programs or compliance with a System Improvement Agreement to remedy deficiencies and ensure compliance.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laws and regulations governing the healthcare industry are complex covering, among other things, government healthcare participation requirements, licensure, certification and accreditation, privacy of patient information, reimbursement for patient services as well as fraud and abuse compliance. These laws and regulations are constantly evolving and expanding. Further, the original Patient Protection and Affordable Care Act, as amended by the Health and Education Reconciliation Act, has added additional obligations on healthcare providers to report and refund overpayments by government healthcare programs and authorizes the suspension of Medicare and Medicaid payments “pending an investigation of a credible allegation of fraud.” We monitor our business and have developed an ethics and compliance program with respect to these complex laws, rules and regulations. Although we believe our policies, procedures and practices comply with government regulations, there is no assurance that we will not be faced with the sanctions referenced above which include fines, penalties and/or substantial damages, repayment obligations, payment suspensions, licensure revocation, and expulsion from government healthcare programs. Even if we were to ultimately prevail in any action brought against us or our facilities or in responding to any inquiry, such action or inquiry could have a material adverse effect on us.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Certain legal matters are described below:</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K.E.E., et al., Plaintiffs v. Cumberland Hospital, LLC d/b/a Cumberland Hospital for Children and Adolescents, et al. (and related lawsuits)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Cumberland Hospital for Children and Adolescents (“Cumberland”), an indirect subsidiary of the Company, is a defendant in multi-plaintiff lawsuits filed in the Circuit Court for Richmond, Virginia (the “Cumberland Litigation”), relating to allegations of inappropriate sexual contact during medical examinations by Dr. Daniel Davidow, an independent contractor and the former medical director for Cumberland. The Company and UHS of Delaware, Inc., our administrative services subsidiary (“UHS Delaware”), were also named as co-defendants in the Cumberland Litigation. Plaintiffs have asserted claims of negligence, assault and battery (against Dr. Davidow), false imprisonment, violations of the Virginia Consumer Protection Act (“VCPA”), and vicarious liability for Dr. Davidow’s conduct against Cumberland, the Company, and UHS Delaware. All defendants have denied liability.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claims asserted by three of the plaintiffs in the Cumberland Litigation were consolidated for trial in September of 2024. The Company and UHS Delaware were dismissed from the action during trial. On September 27, 2024, a jury entered a verdict finding Dr. Davidow and Cumberland liable and awarded these three plaintiffs combined compensatory damages of $60 million for all liability theories, an additional combined $180 million in trebled damages for violation of the VCPA, and an additional combined $120 million in punitive damages. Cumberland filed post-trial motions challenging this verdict. Based upon Virginia law, the Court reduced the punitive damage amount to a combined maximum of $1.05 million ($350,000 per plaintiff). Cumberland has filed a notice of appeal on the remaining verdict. Plaintiffs have separately filed a notice of appeal seeking to challenge the dismissal of the Company and UHS Delaware during trial, and the Court’s order reducing the punitive damages award against Cumberland. These appeals were recently dismissed by the appellate court without prejudice as premature because the judgments in favor of the first three plaintiffs are neither final nor enforceable at this time.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There are approximately 40 additional plaintiffs making similar allegations with claims pending in the Cumberland Litigation. The Company and UHS Delaware remain defendants with respect to the remaining plaintiffs. We expect that the trials for the remaining plaintiffs, as well as any additional plaintiffs, will be scheduled at various times over the next several years. The next trial is tentatively planned to commence in August, 2026.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the event the resolution of the Cumberland matter exhausts all or a significant portion of our/our subsidiaries' remaining commercial insurance coverage related to the 2020 policy year, or the Cumberland matter causes the posting of large bonds or other collateral during the appeal processes, our future results of operations and capital resources would be materially adversely impacted. </w:t>
      </w:r>
    </w:p>
    <w:p>
      <w:pPr>
        <w:pStyle w:val="TextBody"/>
        <w:bidi w:val="0"/>
        <w:spacing w:before="120" w:after="283"/>
        <w:jc w:val="left"/>
        <w:rPr>
          <w:rFonts w:ascii="Times New Roman" w:hAnsi="Times New Roman"/>
          <w:sz w:val="20"/>
        </w:rPr>
      </w:pPr>
      <w:r>
        <w:rPr>
          <w:rFonts w:ascii="Times New Roman" w:hAnsi="Times New Roman"/>
          <w:i/>
          <w:color w:val="000000"/>
          <w:sz w:val="20"/>
        </w:rPr>
        <w:t>St. Mary’s Medical Group, Inc. et. al. v. Pinnacle Medical Group, Northern Nevada, et. al.</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UHS of Delaware, Inc., the wholly-owned administrative services subsidiary of the Company is a defendant in a lawsuit filed in Washoe County, Nevada, along with Pinnacle Management Group NV, LLC ("Pinnacle Medical Group", in which a subsidiary of the Company holds a 50% interest) and several individuals. The Company was previously dismissed from the lawsuit. The lawsuit contains allegations of intentional interference with contractual relationships and prospective economic advantage resulting from the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departure of several physicians and advance practice providers from St. Mary’s Medical Group in Reno, Nevada, who joined Pinnacle Medical Group in 2021.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trial of this matter was concluded on September 26, 2025, with a verdict rendered against UHS of Delaware, Inc. and the other defendants for approximately $4.7 million in compensatory damages. The jury also awarded punitive damages against UHS of Delaware, Inc. of $500 million and lesser amounts against some of the other defendants. Based upon Nevada statutory law, we expect the punitive damages to be reduced to a maximum of approximately $14 million. We also believe that recent Nevada Supreme Court precedent could further reduce the amount of punitive damages.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UHS of Delaware, Inc. and the other defendants are evaluating all legal options and intend to challenge this verdict in post-judgment trial court proceedings and on appeal. Although we are uncertain as to the ultimate financial exposure related to this matter and we can make no assurance regarding its outcome, or the amount of damages that may be recoverable after post-judgment proceedings and appeals, during the third quarter of 2025, we recorded an $18 million legal reserve in connection with this matter. If we are unsuccessful in reversing the verdict, or significantly reducing the level of damages, or we are required to post a substantial bond pending appeal, this matter could have a material adverse effect on the financial condition of the Company.</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Other Matters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Various other suits, claims and investigations, including government subpoenas, arising against, or issued to, us are pending and additional such matters may arise in the future. Management will consider additional disclosure from time to time to the extent it believes such matters may be or become material. The outcome of any current or future litigation or governmental or internal investigations, including the matters described above, cannot be accurately predicted, nor can we predict any resulting penalties, fines or other sanctions that may be imposed at the discretion of federal or state regulatory authorities. We record accruals for such contingencies to the extent that we conclude it is probable that a liability has been incurred and the amount of the loss can be reasonably estimated. No estimate of the possible loss or range of loss in excess of amounts accrued, if any, can be made at this time regarding the matters described above or that are otherwise pending because the inherently unpredictable nature of legal proceedings may be exacerbated by various factors, including, but not limited to: (i) the damages sought in the proceedings are unsubstantiated or indeterminate; (ii) discovery is not complete; (iii) the matter is in its early stages; (iv) the matters present legal uncertainties; (v) there are significant facts in dispute; (vi) there are a large number of parties, or; (vii) there is a wide range of potential outcomes. It is possible that the outcome of these matters could have a material adverse impact on our future results of operations, financial position, cash flows and, potentially, our reputation.</w:t>
        <w:b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9) RELATIONSHIP WITH UNIVERSAL HEALTH REALTY INCOME TRUST AND OTHER RELATED PARTY TRANSACTIONS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Relationship with Universal Health Realty Income Trust:</w:t>
      </w:r>
    </w:p>
    <w:p>
      <w:pPr>
        <w:pStyle w:val="TextBody"/>
        <w:bidi w:val="0"/>
        <w:spacing w:before="120" w:after="283"/>
        <w:jc w:val="left"/>
        <w:rPr>
          <w:rFonts w:ascii="Times New Roman" w:hAnsi="Times New Roman"/>
          <w:sz w:val="20"/>
        </w:rPr>
      </w:pPr>
      <w:r>
        <w:rPr>
          <w:rFonts w:ascii="Times New Roman" w:hAnsi="Times New Roman"/>
          <w:color w:val="000000"/>
          <w:sz w:val="20"/>
        </w:rPr>
        <w:t>At December 31, 2025, we held approximately 5.7% of the outstanding shares of Universal Health Realty Income Trust (the “Trust”). We serve as Advisor to the Trust under an annually renewable advisory agreement, which is scheduled to expire on December 31</w:t>
      </w:r>
      <w:r>
        <w:rPr>
          <w:rFonts w:ascii="Times New Roman" w:hAnsi="Times New Roman"/>
          <w:color w:val="000000"/>
          <w:sz w:val="13"/>
        </w:rPr>
        <w:t>st</w:t>
      </w:r>
      <w:r>
        <w:rPr>
          <w:rFonts w:ascii="Times New Roman" w:hAnsi="Times New Roman"/>
          <w:color w:val="000000"/>
          <w:sz w:val="20"/>
        </w:rPr>
        <w:t xml:space="preserve"> of each year, pursuant to the terms of which we conduct the Trust’s day-to-day affairs, provide administrative services and present investment opportunities. The advisory agreement was renewed by the Trust for 2026 at the same rate in place for 2025, 2024 and 2023, providing for an advisory computation at 0.70% of the Trust’s average invested real estate assets. We earned an advisory fee from the Trust, which is included in net revenues in the accompanying consolidated statements of income, of approximately $5.6 million during 2025, $5.5 million during 2024 and $5.3 million during 2023.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certain of our officers and directors are also officers and/or directors of the Trust. Management believes that it has the ability to exercise significant influence over the Trust, therefore we account for our investment in the Trust using the equity method of accounting.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pre-tax share of income from the Trust was $1.0 million during 2025, $1.1 million during 2024 and $0.9 million during 2023, which are included in other income (expense), net, on the accompanying consolidated statements of income for each year. We received dividends from the Trust amounting to $2.3 million during each of 2025, 2024 and 2023. The carrying value of our investment in the Trust was $4.4 million and $5.8 million at December 31, 2025 and 2024, respectively, and is included in other assets in the accompanying consolidated balance sheets. The market value of our investment in the Trust was $30.9 million at December 31, 2025 and $29.3 million at December 31, 2024, based on the closing price of the Trust’s stock on the respective 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Trust commenced operations in 1986 by purchasing certain hospital properties from us and immediately leasing the properties back to our respective subsidiaries. The base rents are paid monthly and the bonus rents, which effective as of January 1, 2022 are applicable only to McAllen Medical Center, are computed and paid on a quarterly basis, based upon a computation that compares current quarter revenue to a corresponding quarter in the base year. The leases with those subsidiaries are unconditionally guaranteed by us and are cross-defaulted with one another.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December 31, 2021, we entered into an asset purchase and sale agreement with the Trust, which was amended during the first quarter of 2022, pursuant to the terms of which: (i) a wholly-owned subsidiary of ours purchased from the Trust the real estate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assets of the Inland Valley Campus of Southwest Healthcare System located in Wildomar, California, at its fair market value; (ii) two wholly-owned subsidiaries of ours transferred to the Trust, at their respective fair-market values, the real estate assets of Aiken Regional Medical Center (“Aiken”), located in Aiken, South Carolina (which includes a 211-bed acute care hospital and a 62-bed behavioral health facility), and Canyon Creek Behavioral Health (“Canyon Creek”), located in Temple, Texas, and; (iii) we received approximately $4.1 million in cash from the Trust.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a result of the purchase options within the lease agreements for Aiken and Canyon Creek, the asset purchase and sale transaction is accounted for as a failed sale leaseback in accordance with U.S. GAAP. We have accounted for the asset exchange and substitution transaction with the Trust as a financing arrangement and, since we did not derecognize the real property related to Aiken and Canyon Creek, we will continue to depreciate the assets. Our consolidated balance sheets as of December 31, 2025 and December 31, 2024 reflects a financial liability of $70.0 million and $73.8 million, respectively, which is included in debt, for the fair value of real estate assets that we exchanged as part of the transaction. Our monthly lease payments payable to the Trust will be recorded to interest expense and as a reduction to the outstanding financial liability. The amount allocated to interest expense is determined using our incremental borrowing rate and is based on the outstanding financial liability.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aggregate rent payable to the Trust in connection with the leases on McAllen Medical Center, Wellington Regional Medical Center, Aiken Regional Medical Center and Canyon Creek Behavioral Health was approximately $21.7 million during 2025 and $21.2 million during 2024.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Pursuant to the Master Leases by certain subsidiaries of ours and the Trust as described in the table below, dated 1986 and 2021 (“the Master Leases”) which govern the leases of McAllen Medical Center and Wellington Regional Medical Center (each of which is governed by the Master Lease dated 1986), and Aiken Regional Medical Center and Canyon Creek Behavioral Health (each of which is governed by the Master Lease dated 2021), we have the option to renew the leases at the lease terms described above and below by providing notice to the Trust at least 90 days prior to the termination of the then current term. We also have the right to purchase the respective leased hospitals at their appraised fair market value upon any of the following: (i) at the end of the lease terms or any renewal terms; (ii) upon one month’s notice should a change of control of the Trust occur, or; (iii) within the time period as specified in the lease in the event that we provide notice to the Trust of our intent to offer a substitution property/properties in exchange for one (or more) of the hospital properties leased from the Trust should we be unable to reach an agreement with the Trust on the properties to be substituted. In addition, we have rights of first refusal to: (i) purchase the respective leased facilities during and for a specified period after the lease terms at the same price, terms and conditions of any third-party offer, or; (ii) renew the lease on the respective leased facility at the end of, and for a specified period after, the lease term at the same terms and conditions pursuant to any third-party offer.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we are the managing, majority member in a joint venture with an unrelated third-party that operates Clive Behavioral Health, a 100-bed behavioral health care facility located in Clive, Iowa. The real property of this facility, which was completed and opened in late 2020, is also leased from the Trust (annual rental of approximately $2.9 million, $2.8 million and $2.7 million during 2025, 2024 and 2023, respectively) pursuant to the lease terms as provided in the table below. In connection with the lease on this facility, the joint venture has the right to purchase the leased facility from the Trust at its appraised fair market value upon either of the following: (i) by providing notice at least 270 days prior to the end of the lease terms or any renewal terms, or; (ii) upon 30 days' notice anytime within 12 months of a change of control of the Trust (UHS also has this right should the joint venture decline to exercise its purchase right). Additionally, the joint venture has rights of first offer to purchase the facility prior to any third-party sale.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table below provides certain details for each of the hospitals leased from the Trust as of January 1, 2026:</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687"/>
        <w:gridCol w:w="146"/>
        <w:gridCol w:w="146"/>
        <w:gridCol w:w="211"/>
        <w:gridCol w:w="931"/>
        <w:gridCol w:w="146"/>
        <w:gridCol w:w="146"/>
        <w:gridCol w:w="1410"/>
        <w:gridCol w:w="146"/>
        <w:gridCol w:w="227"/>
        <w:gridCol w:w="494"/>
        <w:gridCol w:w="146"/>
        <w:gridCol w:w="369"/>
      </w:tblGrid>
      <w:tr>
        <w:trPr/>
        <w:tc>
          <w:tcPr>
            <w:tcW w:w="568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1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r>
      <w:tr>
        <w:trPr/>
        <w:tc>
          <w:tcPr>
            <w:tcW w:w="56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Hospital Name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Annual</w:t>
              <w:br/>
              <w:t>Minimum</w:t>
              <w:br/>
              <w:t>Rent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End of Lease Term</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Renewal</w:t>
              <w:br/>
              <w:t>Term</w:t>
              <w:br/>
              <w:t>(years)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McAllen Medical Center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5,485,000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December,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(a)</w:t>
            </w:r>
          </w:p>
        </w:tc>
      </w:tr>
      <w:tr>
        <w:trPr/>
        <w:tc>
          <w:tcPr>
            <w:tcW w:w="56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Wellington Regional Medical Center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6,975,000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December,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(b)</w:t>
            </w:r>
          </w:p>
        </w:tc>
      </w:tr>
      <w:tr>
        <w:trPr/>
        <w:tc>
          <w:tcPr>
            <w:tcW w:w="56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Aiken Regional Medical Center/Aurora Pavilion Behavioral Health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4,257,000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December, 2033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(c)</w:t>
            </w:r>
          </w:p>
        </w:tc>
      </w:tr>
      <w:tr>
        <w:trPr/>
        <w:tc>
          <w:tcPr>
            <w:tcW w:w="56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Canyon Creek Behavioral Health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1,925,000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December, 2033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(c)</w:t>
            </w:r>
          </w:p>
        </w:tc>
      </w:tr>
      <w:tr>
        <w:trPr/>
        <w:tc>
          <w:tcPr>
            <w:tcW w:w="56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Clive Behavioral Health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December, 2040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(d)</w:t>
            </w:r>
          </w:p>
        </w:tc>
      </w:tr>
    </w:tbl>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We have one 5-year renewal option at existing lease rates (through 2031).</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(b)</w:t>
      </w:r>
    </w:p>
    <w:p>
      <w:pPr>
        <w:pStyle w:val="TextBody"/>
        <w:bidi w:val="0"/>
        <w:spacing w:before="0" w:after="0"/>
        <w:jc w:val="left"/>
        <w:rPr>
          <w:rFonts w:ascii="Times New Roman" w:hAnsi="Times New Roman"/>
          <w:sz w:val="20"/>
        </w:rPr>
      </w:pPr>
      <w:r>
        <w:rPr>
          <w:rFonts w:ascii="Times New Roman" w:hAnsi="Times New Roman"/>
          <w:color w:val="000000"/>
          <w:sz w:val="20"/>
        </w:rPr>
        <w:t>We have one 5-year renewal option at fair market value lease rates (through 2031). On each January 1</w:t>
      </w:r>
      <w:r>
        <w:rPr>
          <w:rFonts w:ascii="Times New Roman" w:hAnsi="Times New Roman"/>
          <w:color w:val="000000"/>
          <w:sz w:val="13"/>
        </w:rPr>
        <w:t>st</w:t>
      </w:r>
      <w:r>
        <w:rPr>
          <w:rFonts w:ascii="Times New Roman" w:hAnsi="Times New Roman"/>
          <w:color w:val="000000"/>
          <w:sz w:val="20"/>
        </w:rPr>
        <w:t xml:space="preserve"> through 2026, the annual rent will increase by 2.50% on a cumulative and compounded basis.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(c)</w:t>
      </w:r>
    </w:p>
    <w:p>
      <w:pPr>
        <w:pStyle w:val="TextBody"/>
        <w:bidi w:val="0"/>
        <w:spacing w:before="0" w:after="0"/>
        <w:jc w:val="left"/>
        <w:rPr>
          <w:rFonts w:ascii="Times New Roman" w:hAnsi="Times New Roman"/>
          <w:sz w:val="20"/>
        </w:rPr>
      </w:pPr>
      <w:r>
        <w:rPr>
          <w:rFonts w:ascii="Times New Roman" w:hAnsi="Times New Roman"/>
          <w:color w:val="000000"/>
          <w:sz w:val="20"/>
        </w:rPr>
        <w:t>We have seven 5-year renewal options at fair market value lease rates (2034 through 2068). On each January 1</w:t>
      </w:r>
      <w:r>
        <w:rPr>
          <w:rFonts w:ascii="Times New Roman" w:hAnsi="Times New Roman"/>
          <w:color w:val="000000"/>
          <w:sz w:val="13"/>
        </w:rPr>
        <w:t>st</w:t>
      </w:r>
      <w:r>
        <w:rPr>
          <w:rFonts w:ascii="Times New Roman" w:hAnsi="Times New Roman"/>
          <w:color w:val="000000"/>
          <w:sz w:val="20"/>
        </w:rPr>
        <w:t xml:space="preserve"> through 2033, the annual rent will increase by 2.25% on a cumulative and compounded basis.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(d)</w:t>
      </w:r>
    </w:p>
    <w:p>
      <w:pPr>
        <w:pStyle w:val="TextBody"/>
        <w:bidi w:val="0"/>
        <w:jc w:val="left"/>
        <w:rPr>
          <w:rFonts w:ascii="Times New Roman" w:hAnsi="Times New Roman"/>
          <w:color w:val="000000"/>
          <w:sz w:val="20"/>
        </w:rPr>
      </w:pPr>
      <w:r>
        <w:rPr>
          <w:rFonts w:ascii="Times New Roman" w:hAnsi="Times New Roman"/>
          <w:color w:val="000000"/>
          <w:sz w:val="20"/>
        </w:rPr>
        <w:t xml:space="preserve">This facility is operated by a joint venture in which we are the managing, majority member and an unrelated third-party holds a minority ownership interest. The joint venture has three, 10-year renewal options at computed lease rates as stipulated in the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rFonts w:ascii="Times New Roman" w:hAnsi="Times New Roman"/>
          <w:color w:val="000000"/>
          <w:sz w:val="20"/>
        </w:rPr>
        <w:t>lease (2041</w:t>
      </w:r>
      <w:r>
        <w:rPr>
          <w:color w:val="000000"/>
        </w:rPr>
        <w:t xml:space="preserve"> </w:t>
      </w:r>
      <w:r>
        <w:rPr>
          <w:rFonts w:ascii="Times New Roman" w:hAnsi="Times New Roman"/>
          <w:color w:val="000000"/>
          <w:sz w:val="20"/>
        </w:rPr>
        <w:t>through 2070) and two additional, 10-year renewal options at fair market value lease rates (2071</w:t>
      </w:r>
      <w:r>
        <w:rPr>
          <w:color w:val="000000"/>
        </w:rPr>
        <w:t xml:space="preserve"> </w:t>
      </w:r>
      <w:r>
        <w:rPr>
          <w:rFonts w:ascii="Times New Roman" w:hAnsi="Times New Roman"/>
          <w:color w:val="000000"/>
          <w:sz w:val="20"/>
        </w:rPr>
        <w:t>through 2090). In each January through 2040 (and potentially through 2070 if three, 10-year renewal options are exercised), the annual rental will increase by 2.75% on a cumulative and compounded basis.</w:t>
      </w:r>
      <w:r>
        <w:rPr>
          <w:color w:val="00000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certain of our subsidiaries are tenants in several medical office buildings (“MOBs”) and two free-standing emergency departments ("FED") owned by the Trust or by limited liability companies in which the Trust holds 95% to 100% of the ownership interest. The current lease terms on these two FEDs, which are located in Weslaco and Mission, Texas, are scheduled to end on January 31, 2030. Pursuant to terms of the leases, the lease rates are scheduled to increase 2% per year through the end of the lease terms. Our subsidiaries have four, 5-year renewal options remaining on each of these FEDs, with the first three renewal options (covering the years 2030 through 2044) providing for 2% annual increases to the lease rates, and the remaining two, 5-year renewal options (covering the years 2045 through 2054) providing for lease rates at the then fair market value. These leases are cross-defaulted with one another and our subsidiaries have the option to purchase the leased properties upon the expiration of each five-year extended term at the fair market value at that time. </w:t>
      </w:r>
    </w:p>
    <w:p>
      <w:pPr>
        <w:pStyle w:val="TextBody"/>
        <w:bidi w:val="0"/>
        <w:spacing w:before="120" w:after="160"/>
        <w:jc w:val="left"/>
        <w:rPr>
          <w:rFonts w:ascii="Times New Roman" w:hAnsi="Times New Roman"/>
          <w:color w:val="000000"/>
          <w:sz w:val="20"/>
        </w:rPr>
      </w:pPr>
      <w:r>
        <w:rPr>
          <w:rFonts w:ascii="Times New Roman" w:hAnsi="Times New Roman"/>
          <w:color w:val="000000"/>
          <w:sz w:val="20"/>
        </w:rPr>
        <w:t xml:space="preserve">In October, 2025, a ground lease and a master flex lease were executed between a wholly-owned subsidiary of ours and the Trust. On this land, the Trust intends to develop, construct and own the Palm Beach Garden Medical Plaza I, an MOB located in Palm Beach Gardens, Florida. This multi-tenant MOB, consisting of 80,000 rentable square feet, is scheduled to be completed during the fourth quarter of 2026. The MOB will be located on the campus of the Alan B. Miller Medical Center, a newly constructed acute care hospital owned and operated by a wholly-owned subsidiary of ours, which is scheduled to be completed and opened during the second quarter of 2026. The 10-year master flex lease agreement, which is subject to reduction based on the execution of third-party leases with the Trust, was executed for approximately 75% of the rentable square feet of the MOB. The Trust has engaged a wholly-owned subsidiary of UHS to act as project manager, and construction of the MOB commenced in February, 2026. </w:t>
      </w:r>
    </w:p>
    <w:p>
      <w:pPr>
        <w:pStyle w:val="TextBody"/>
        <w:bidi w:val="0"/>
        <w:jc w:val="left"/>
        <w:rPr>
          <w:rFonts w:ascii="Times New Roman" w:hAnsi="Times New Roman"/>
          <w:color w:val="000000"/>
          <w:sz w:val="20"/>
        </w:rPr>
      </w:pPr>
      <w:r>
        <w:rPr>
          <w:rFonts w:ascii="Times New Roman" w:hAnsi="Times New Roman"/>
          <w:color w:val="000000"/>
          <w:sz w:val="20"/>
        </w:rPr>
        <w:t>During the third quarter of 2023, the Trust acquired the McAllen Doctor's Center, a 79,500 rentable square feet medical office building located in McAllen, Texas. A master lease was executed between a wholly-owned subsidiary of ours and the Trust, pursuant to the terms of which our subsidiary will master lease 100% of the rentable square feet of the MOB at an initial minimum rent of $624,000 annually. The master lease commenced during August, 2023 and is scheduled to expire in twelve years from that date.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first quarter of 2023, the Trust substantially completed construction on a new 86,000 rentable square foot multi-tenant MOB that is located on the campus of Northern Nevada Sierra Medical Center in Reno, Nevada. Northern Nevada Sierra Medical Center, a 170-bed newly constructed acute care hospital owned and operated by a wholly-owned subsidiary of ours, was completed and opened in April, 2022. In connection with this MOB, a ten-year master flex lease was executed between a wholly-owned subsidiary of ours and the Trust (scheduled to expire in March, 2033), pursuant to the terms of which our subsidiary initially agreed to master lease up to approximately 68% of the rentable square feet of the MOB. The master flex lease has been reduced since inception as certain conditions have been met. A ground lease for this facility commenced during 2023 and is scheduled to expire in 2098.</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Other Related Party Transactions: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December, 2010, our Board of Directors approved the Company’s entering into supplemental life insurance plans and agreements on the lives of Alan B. Miller (our Executive Chairman of the Board) and his wife. As a result of these agreements, as amended in October, 2016, based on actuarial tables and other assumptions, during the life expectancies of the insureds, we would pay approximately $28 million in premiums, and certain trusts owned by our Executive Chairman of the Board, would pay approximately $9 million in premiums. Based on the projected premiums mentioned above, and assuming the policies remain in effect until the death of the insureds, we will be entitled to receive death benefit proceeds of no less than approximately $37 million representing the $28 million of aggregate premiums paid by us as well as the $9 million of aggregate premiums paid by the trusts. In connection with these policies, we paid approximately $1.0 million, net, in premium payments during 2025, 2024 and 2023.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Marc D. Miller, our President and Chief Executive Officer and member of our Board of Directors, was a member of the Board of Directors of Premier, Inc. (“Premier”) from 2015 until Premier was sold in November, 2025, as discussed below. In conjunction with our GPO agreement with Premier, we had previously received shares of restricted stock of Premier which vested ratably over a seven-year period (2014 through 2020). During 2020, we entered into an agreement with Premier pursuant to the terms of which, among other things, our ownership interest in Premier was converted into shares of Class A Common Stock of Premier. We elected to retain a portion of the previously vested shares of Premier, the carrying value of which was adjusted for changes in the market value of Premier, which were included in other assets on our consolidated balance sheets (amounting to $47 million and $50 million as of December 31, 2024 and 2023, respectively). In September, 2025, Premier entered into an agreement and plan of merger providing for the acquisition of Premier by Patient Square Capital. In November, 2025 we received approximately $63 million for our remaining shares of Premier. Included in Other (income) expense, net, in our consolidated statements of income, were gains/(losses) recorded to adjust for changes in the market value of our shares of Premier amounting to $16 million during 2025, ($3 million) during 2024, and ($28 million) during 2023. Additionally, we received cash dividends from Premier amounting to $1.4 million during 2025 and $1.9 million during each of 2024 and 2023, which are included in “Other (income) expense, net” in our consolidated statements of income.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July, 2023 we invested in the non-marketable securities of a healthcare generative artificial intelligence company, in which we hold a small minority ownership percentage. In December 2025 we recorded a $93 million unrealized gain on the increase in market value of this company. This unrealized gain is included in “Other (income) expense, net” in our consolidated statements of income for the year ended December 31, 2025. As of December 31, 2025 the current market value of these non-marketable securities was $115 million and is included in other assets on our consolidated balance sheets.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member of our Board of Directors and member of the Executive Committee and Finance Committee is Of Counsel for Norton Rose Fulbright US LLP, a law firm engaged by us for a variety of legal services. The Board member and his law firm also provide personal legal services to our Executive Chairman and he acts as trustee of certain trusts for the benefit of our Executive Chairman and his family.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10) REVENUE RECOGNITION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recognize revenue when services/goods have been provided to patients/customers in an amount that reflects the consideration to which we expect to be entitled in exchange for those goods or services. Our estimate for amounts not expected to be collected based on historical experience will continue to be recognized as a reduction to net revenue. However, subsequent changes in estimate of collectability due to a change in the financial status of a payer, for example a bankruptcy, will be recognized as bad debt expense in operating charges.</w:t>
      </w:r>
    </w:p>
    <w:p>
      <w:pPr>
        <w:pStyle w:val="TextBody"/>
        <w:bidi w:val="0"/>
        <w:spacing w:before="120" w:after="283"/>
        <w:jc w:val="left"/>
        <w:rPr>
          <w:rFonts w:ascii="Times New Roman" w:hAnsi="Times New Roman"/>
          <w:sz w:val="20"/>
        </w:rPr>
      </w:pPr>
      <w:r>
        <w:rPr>
          <w:rFonts w:ascii="Times New Roman" w:hAnsi="Times New Roman"/>
          <w:color w:val="000000"/>
          <w:sz w:val="20"/>
        </w:rPr>
        <w:t>The performance obligation is separately identifiable from other promises in the customer contract. As the performance obligations are met (i.e.: room, board, ancillary services, level of care), revenue is recognized based upon allocated transaction price. The transaction price is allocated to separate performance obligations based upon the relative standalone selling price. In instances where we determine there are multiple performance obligations across multiple months, the transaction price will be allocated by applying an estimated implicit and explicit rate to gross charges based on the separate performance obligations</w:t>
      </w:r>
      <w:r>
        <w:rPr>
          <w:rFonts w:ascii="Times New Roman" w:hAnsi="Times New Roman"/>
          <w:i/>
          <w:color w:val="000000"/>
          <w:sz w:val="2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assessing collectability, we have elected the portfolio approach. This portfolio approach is being used as we have large volume of similar contracts with similar classes of customers. We reasonably expect that the effect of applying a portfolio approach to a group of contracts would not differ materially from considering each contract separately. Management’s judgment to group the contracts by portfolio is based on the payment behavior expected in each portfolio category. As a result, aggregating all of the contracts (which are at the patient level) by the particular payer or group of payers, will result in the recognition of the same amount of revenue as applying the analysis at the individual patient level.</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group our revenues into categories based on payment behaviors. Each component has its own reimbursement structure which allows us to disaggregate the revenue into categories that share the nature and timing of payments. The other patient revenue consists primarily of self-pay, government-funded non-Medicaid, and other.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disaggregates our revenue by major source for the years ended December 31, 2025, 2024 and 2023 (in thousands):</w:t>
      </w:r>
    </w:p>
    <w:tbl>
      <w:tblPr>
        <w:tblW w:w="10205" w:type="dxa"/>
        <w:jc w:val="left"/>
        <w:tblInd w:w="0" w:type="dxa"/>
        <w:tblLayout w:type="fixed"/>
        <w:tblCellMar>
          <w:top w:w="28" w:type="dxa"/>
          <w:left w:w="28" w:type="dxa"/>
          <w:bottom w:w="28" w:type="dxa"/>
          <w:right w:w="28" w:type="dxa"/>
        </w:tblCellMar>
      </w:tblPr>
      <w:tblGrid>
        <w:gridCol w:w="2851"/>
        <w:gridCol w:w="196"/>
        <w:gridCol w:w="826"/>
        <w:gridCol w:w="146"/>
        <w:gridCol w:w="146"/>
        <w:gridCol w:w="376"/>
        <w:gridCol w:w="256"/>
        <w:gridCol w:w="146"/>
        <w:gridCol w:w="196"/>
        <w:gridCol w:w="826"/>
        <w:gridCol w:w="146"/>
        <w:gridCol w:w="146"/>
        <w:gridCol w:w="376"/>
        <w:gridCol w:w="256"/>
        <w:gridCol w:w="146"/>
        <w:gridCol w:w="196"/>
        <w:gridCol w:w="601"/>
        <w:gridCol w:w="146"/>
        <w:gridCol w:w="146"/>
        <w:gridCol w:w="196"/>
        <w:gridCol w:w="916"/>
        <w:gridCol w:w="146"/>
        <w:gridCol w:w="146"/>
        <w:gridCol w:w="376"/>
        <w:gridCol w:w="301"/>
      </w:tblGrid>
      <w:tr>
        <w:trPr/>
        <w:tc>
          <w:tcPr>
            <w:tcW w:w="285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28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53" w:type="dxa"/>
            <w:gridSpan w:val="2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For the year ended December 31, 2025</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90"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Acute Care</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90"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Behavioral Health</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Other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80"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Total</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Medicare</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1,538,151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318,253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1,856,404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8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Managed Medicare</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1,658,864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421,414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2,080,278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8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Medicaid</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1,337,579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1,349,388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2,686,967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8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Managed Medicaid</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685,083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1,797,518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2,482,601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8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Managed Care (HMO and PPOs)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3,257,367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1,644,729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4,902,096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8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UK Revenue</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1,001,356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1,001,356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8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patient revenue and adjustments, net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584,535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655,743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1,240,278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8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non-patient revenue</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864,328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237,099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13,422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1,114,849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8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Net Revenue</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9,925,907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7,425,500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13,422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17,364,829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w:t>
            </w:r>
          </w:p>
        </w:tc>
        <w:tc>
          <w:tcPr>
            <w:tcW w:w="3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8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53" w:type="dxa"/>
            <w:gridSpan w:val="2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For the year ended December 31, 2024</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90"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Acute Care</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90"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Behavioral Health</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Other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80"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Total</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Medicare</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1,363,090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306,035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1,669,125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8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Managed Medicare</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1,480,707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403,198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1,883,905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8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Medicaid</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1,113,070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1,138,960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2,252,030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8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Managed Medicaid</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626,352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1,677,586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2,303,938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8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Managed Care (HMO and PPOs)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2,865,515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1,630,887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4,496,402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8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UK Revenue</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880,148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880,148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8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patient revenue and adjustments, net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499,420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613,388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1,112,808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8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non-patient revenue</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996,134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222,888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10,557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1,229,579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8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Net Revenue</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8,944,288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6,873,090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10,557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15,827,935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w:t>
            </w:r>
          </w:p>
        </w:tc>
        <w:tc>
          <w:tcPr>
            <w:tcW w:w="3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8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53" w:type="dxa"/>
            <w:gridSpan w:val="2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For the year ended December 31, 2023</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90"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Acute Care</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90"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Behavioral Health</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Other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80"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Total</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Medicare</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1,297,084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310,321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1,607,405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8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Managed Medicare</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1,368,284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345,771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1,714,055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8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Medicaid</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638,986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893,918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1,532,904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8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Managed Medicaid</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716,380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1,574,281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2,290,661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8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Managed Care (HMO and PPOs)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2,658,890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1,552,304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4,211,194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8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UK Revenue</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761,124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761,124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8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patient revenue and adjustments, net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452,781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528,422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981,203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8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non-patient revenue</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948,997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224,780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9,653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1,183,430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8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Net Revenue</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8,081,402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6,190,921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9,653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14,281,976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w:t>
            </w:r>
          </w:p>
        </w:tc>
        <w:tc>
          <w:tcPr>
            <w:tcW w:w="3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11) PENSION PLAN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maintain contributory and non-contributory retirement plans for eligible employees. Our contributions to the contributory plan amounted to $87.9 million, $82.1 million and $73.9 million in 2025, 2024 and 2023, respectively. The non-contributory plan is a defined benefit pension plan which covers employees of one of our subsidiaries. The benefits are based on years of service and the employee’s highest compensation for any five years of employment. Our funding policy is to contribute annually at least the minimum amount that should be funded in accordance with the provisions of ERISA.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 defined benefit pension plans, the benefit obligation is the “projected benefit obligation”, the actuarial present value, as of December 31 measurement date, of all benefits attributed by the pension benefit formula to employee service rendered to that date. The amount of benefit to be paid depends on a number of future events incorporated into the pension benefit formula, including estimates of the average life of employees/survivors and average years of service rendered. It is measured based on assumptions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concerning future interest rates and future compensation levels. The following table shows the reconciliation of the defined benefit pension plan as of December 31, 2025 and 2024:</w:t>
      </w:r>
    </w:p>
    <w:tbl>
      <w:tblPr>
        <w:tblW w:w="7444" w:type="dxa"/>
        <w:jc w:val="left"/>
        <w:tblInd w:w="0" w:type="dxa"/>
        <w:tblLayout w:type="fixed"/>
        <w:tblCellMar>
          <w:top w:w="28" w:type="dxa"/>
          <w:left w:w="28" w:type="dxa"/>
          <w:bottom w:w="28" w:type="dxa"/>
          <w:right w:w="28" w:type="dxa"/>
        </w:tblCellMar>
      </w:tblPr>
      <w:tblGrid>
        <w:gridCol w:w="4801"/>
        <w:gridCol w:w="146"/>
        <w:gridCol w:w="211"/>
        <w:gridCol w:w="676"/>
        <w:gridCol w:w="166"/>
        <w:gridCol w:w="146"/>
        <w:gridCol w:w="211"/>
        <w:gridCol w:w="676"/>
        <w:gridCol w:w="411"/>
      </w:tblGrid>
      <w:tr>
        <w:trPr/>
        <w:tc>
          <w:tcPr>
            <w:tcW w:w="48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48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8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(000s)</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8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Change in plan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8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Fair value of plan assets at beginning of year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93,415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98,415</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8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Actual return (loss) on plan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1,865</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8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Benefits paid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(6,289</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8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Administrative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(576</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8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Fair value of plan assets at end of year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94,961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93,415</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Change in benefit obligation: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8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Benefit obligation at beginning of year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78,422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85,625</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8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Service cost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616</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8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cost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3,874</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8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Benefits paid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(6,289</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8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Actuarial (gain)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(5,404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8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Benefit obligation at end of year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77,527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78,422</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Amounts recognized in the Consolidated Balance Sheet: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8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noncurrent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17,434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14,993</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8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amounts recognized at end of year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17,434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14,993</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7448" w:type="dxa"/>
        <w:jc w:val="left"/>
        <w:tblInd w:w="0" w:type="dxa"/>
        <w:tblLayout w:type="fixed"/>
        <w:tblCellMar>
          <w:top w:w="28" w:type="dxa"/>
          <w:left w:w="28" w:type="dxa"/>
          <w:bottom w:w="28" w:type="dxa"/>
          <w:right w:w="28" w:type="dxa"/>
        </w:tblCellMar>
      </w:tblPr>
      <w:tblGrid>
        <w:gridCol w:w="3541"/>
        <w:gridCol w:w="146"/>
        <w:gridCol w:w="211"/>
        <w:gridCol w:w="631"/>
        <w:gridCol w:w="166"/>
        <w:gridCol w:w="146"/>
        <w:gridCol w:w="211"/>
        <w:gridCol w:w="631"/>
        <w:gridCol w:w="166"/>
        <w:gridCol w:w="146"/>
        <w:gridCol w:w="211"/>
        <w:gridCol w:w="631"/>
        <w:gridCol w:w="611"/>
      </w:tblGrid>
      <w:tr>
        <w:trPr/>
        <w:tc>
          <w:tcPr>
            <w:tcW w:w="35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35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50"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(000s)</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5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Components of net periodic cost (benefit)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5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Service cost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803</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cost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4,118</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Expected return on plan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(4,195</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354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Net periodic cost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574</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726</w:t>
            </w:r>
          </w:p>
        </w:tc>
        <w:tc>
          <w:tcPr>
            <w:tcW w:w="6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4925" w:type="dxa"/>
        <w:jc w:val="left"/>
        <w:tblInd w:w="0" w:type="dxa"/>
        <w:tblLayout w:type="fixed"/>
        <w:tblCellMar>
          <w:top w:w="28" w:type="dxa"/>
          <w:left w:w="28" w:type="dxa"/>
          <w:bottom w:w="28" w:type="dxa"/>
          <w:right w:w="28" w:type="dxa"/>
        </w:tblCellMar>
      </w:tblPr>
      <w:tblGrid>
        <w:gridCol w:w="2256"/>
        <w:gridCol w:w="146"/>
        <w:gridCol w:w="1066"/>
        <w:gridCol w:w="146"/>
        <w:gridCol w:w="1311"/>
      </w:tblGrid>
      <w:tr>
        <w:trPr/>
        <w:tc>
          <w:tcPr>
            <w:tcW w:w="2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11" w:type="dxa"/>
            <w:tcBorders/>
            <w:vAlign w:val="center"/>
          </w:tcPr>
          <w:p>
            <w:pPr>
              <w:pStyle w:val="TableContents"/>
              <w:bidi w:val="0"/>
              <w:spacing w:before="0" w:after="283"/>
              <w:jc w:val="left"/>
              <w:rPr>
                <w:sz w:val="4"/>
                <w:szCs w:val="4"/>
              </w:rPr>
            </w:pPr>
            <w:r>
              <w:rPr>
                <w:sz w:val="4"/>
                <w:szCs w:val="4"/>
              </w:rPr>
            </w:r>
          </w:p>
        </w:tc>
      </w:tr>
      <w:tr>
        <w:trPr/>
        <w:tc>
          <w:tcPr>
            <w:tcW w:w="2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r>
      <w:tr>
        <w:trPr/>
        <w:tc>
          <w:tcPr>
            <w:tcW w:w="2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Measurement Dates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2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Benefit obligations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12/31/2025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12/31/2024</w:t>
            </w:r>
          </w:p>
        </w:tc>
      </w:tr>
      <w:tr>
        <w:trPr/>
        <w:tc>
          <w:tcPr>
            <w:tcW w:w="22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Fair value of plan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12/31/2025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12/31/2024</w:t>
            </w:r>
          </w:p>
        </w:tc>
      </w:tr>
    </w:tbl>
    <w:p>
      <w:pPr>
        <w:pStyle w:val="TextBody"/>
        <w:bidi w:val="0"/>
        <w:jc w:val="left"/>
        <w:rPr/>
      </w:pPr>
      <w:r>
        <w:rPr/>
        <w:t> </w:t>
      </w:r>
    </w:p>
    <w:tbl>
      <w:tblPr>
        <w:tblW w:w="6639" w:type="dxa"/>
        <w:jc w:val="left"/>
        <w:tblInd w:w="0" w:type="dxa"/>
        <w:tblLayout w:type="fixed"/>
        <w:tblCellMar>
          <w:top w:w="28" w:type="dxa"/>
          <w:left w:w="28" w:type="dxa"/>
          <w:bottom w:w="28" w:type="dxa"/>
          <w:right w:w="28" w:type="dxa"/>
        </w:tblCellMar>
      </w:tblPr>
      <w:tblGrid>
        <w:gridCol w:w="4336"/>
        <w:gridCol w:w="146"/>
        <w:gridCol w:w="146"/>
        <w:gridCol w:w="466"/>
        <w:gridCol w:w="271"/>
        <w:gridCol w:w="146"/>
        <w:gridCol w:w="146"/>
        <w:gridCol w:w="466"/>
        <w:gridCol w:w="516"/>
      </w:tblGrid>
      <w:tr>
        <w:trPr/>
        <w:tc>
          <w:tcPr>
            <w:tcW w:w="43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r>
      <w:tr>
        <w:trPr/>
        <w:tc>
          <w:tcPr>
            <w:tcW w:w="43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Weighted average assumptions as of December 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3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Discount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5.36</w:t>
            </w:r>
          </w:p>
        </w:tc>
        <w:tc>
          <w:tcPr>
            <w:tcW w:w="5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3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Rate of compensation increase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tbl>
      <w:tblPr>
        <w:tblW w:w="8058" w:type="dxa"/>
        <w:jc w:val="left"/>
        <w:tblInd w:w="0" w:type="dxa"/>
        <w:tblLayout w:type="fixed"/>
        <w:tblCellMar>
          <w:top w:w="28" w:type="dxa"/>
          <w:left w:w="28" w:type="dxa"/>
          <w:bottom w:w="28" w:type="dxa"/>
          <w:right w:w="28" w:type="dxa"/>
        </w:tblCellMar>
      </w:tblPr>
      <w:tblGrid>
        <w:gridCol w:w="4726"/>
        <w:gridCol w:w="146"/>
        <w:gridCol w:w="146"/>
        <w:gridCol w:w="466"/>
        <w:gridCol w:w="271"/>
        <w:gridCol w:w="146"/>
        <w:gridCol w:w="146"/>
        <w:gridCol w:w="466"/>
        <w:gridCol w:w="271"/>
        <w:gridCol w:w="146"/>
        <w:gridCol w:w="146"/>
        <w:gridCol w:w="466"/>
        <w:gridCol w:w="516"/>
      </w:tblGrid>
      <w:tr>
        <w:trPr/>
        <w:tc>
          <w:tcPr>
            <w:tcW w:w="47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r>
      <w:tr>
        <w:trPr/>
        <w:tc>
          <w:tcPr>
            <w:tcW w:w="47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Weighted-average assumptions for net periodic benefit</w:t>
              <w:br/>
              <w:t>   cost calculations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7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Discount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4.91</w:t>
            </w:r>
          </w:p>
        </w:tc>
        <w:tc>
          <w:tcPr>
            <w:tcW w:w="5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7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Expected long-term rate of return on plan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7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Rate of compensation increase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“accumulated benefit obligation” for our pension plan represents the actuarial present value of benefits based on employee service and compensation as of a certain date and does not include an assumption about future compensation levels. The accumulated benefit obligation for our plan was $77.5 million and $78.4 million as of December 31, 2025 and 2024, respectively. The fair value of plan assets exceeded the accumulated benefit obligation by $17.4 million and $15.0 million as of December 31, 2025 and 2024, respectively.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estimate that there will be no net loss or prior service cost amortized from accumulated other comprehensive income during 2026.</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market values of our pension plan assets at December 31, 2025 and 2024, reported using net asset value as a practical expedient, by asset category are as follows (in thousands):</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127</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5279" w:type="dxa"/>
        <w:jc w:val="left"/>
        <w:tblInd w:w="0" w:type="dxa"/>
        <w:tblLayout w:type="fixed"/>
        <w:tblCellMar>
          <w:top w:w="28" w:type="dxa"/>
          <w:left w:w="28" w:type="dxa"/>
          <w:bottom w:w="28" w:type="dxa"/>
          <w:right w:w="28" w:type="dxa"/>
        </w:tblCellMar>
      </w:tblPr>
      <w:tblGrid>
        <w:gridCol w:w="2676"/>
        <w:gridCol w:w="146"/>
        <w:gridCol w:w="211"/>
        <w:gridCol w:w="676"/>
        <w:gridCol w:w="146"/>
        <w:gridCol w:w="146"/>
        <w:gridCol w:w="211"/>
        <w:gridCol w:w="676"/>
        <w:gridCol w:w="391"/>
      </w:tblGrid>
      <w:tr>
        <w:trPr/>
        <w:tc>
          <w:tcPr>
            <w:tcW w:w="2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6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6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Large Cap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5,131</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Mid Cap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1,351</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Small Cap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1,259</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International Developed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3,746</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Emerging Markets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Fixed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6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Core Fixed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28,175</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Long Duration Fixed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50,951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50,674</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Cash/Currency: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6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788</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6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market value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94,961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93,415</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To develop the expected long-term rate of return on plan assets assumption, we considered the historical returns and the future expectations for returns for each asset class, as well as the target asset allocation of the pension portfolio.</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shows expected benefit payments for the years 2026 through 2035 for our defined pension plan. There will be benefit payments under this plan beyond 2035.</w:t>
      </w:r>
    </w:p>
    <w:p>
      <w:pPr>
        <w:pStyle w:val="TextBody"/>
        <w:bidi w:val="0"/>
        <w:jc w:val="left"/>
        <w:rPr/>
      </w:pPr>
      <w:r>
        <w:rPr/>
        <w:t> </w:t>
      </w:r>
    </w:p>
    <w:tbl>
      <w:tblPr>
        <w:tblW w:w="5085" w:type="dxa"/>
        <w:jc w:val="left"/>
        <w:tblInd w:w="0" w:type="dxa"/>
        <w:tblLayout w:type="fixed"/>
        <w:tblCellMar>
          <w:top w:w="28" w:type="dxa"/>
          <w:left w:w="28" w:type="dxa"/>
          <w:bottom w:w="28" w:type="dxa"/>
          <w:right w:w="28" w:type="dxa"/>
        </w:tblCellMar>
      </w:tblPr>
      <w:tblGrid>
        <w:gridCol w:w="3661"/>
        <w:gridCol w:w="146"/>
        <w:gridCol w:w="211"/>
        <w:gridCol w:w="676"/>
        <w:gridCol w:w="391"/>
      </w:tblGrid>
      <w:tr>
        <w:trPr/>
        <w:tc>
          <w:tcPr>
            <w:tcW w:w="36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6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Estimated Future Benefit Payments (000s)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6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6,644</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6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2027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6,630</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6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6,575</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6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6,496</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6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2030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6,404</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6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2031-2035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29,996</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6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62,745</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4654" w:type="dxa"/>
        <w:jc w:val="left"/>
        <w:tblInd w:w="0" w:type="dxa"/>
        <w:tblLayout w:type="fixed"/>
        <w:tblCellMar>
          <w:top w:w="28" w:type="dxa"/>
          <w:left w:w="28" w:type="dxa"/>
          <w:bottom w:w="28" w:type="dxa"/>
          <w:right w:w="28" w:type="dxa"/>
        </w:tblCellMar>
      </w:tblPr>
      <w:tblGrid>
        <w:gridCol w:w="2241"/>
        <w:gridCol w:w="146"/>
        <w:gridCol w:w="146"/>
        <w:gridCol w:w="421"/>
        <w:gridCol w:w="271"/>
        <w:gridCol w:w="146"/>
        <w:gridCol w:w="146"/>
        <w:gridCol w:w="421"/>
        <w:gridCol w:w="716"/>
      </w:tblGrid>
      <w:tr>
        <w:trPr/>
        <w:tc>
          <w:tcPr>
            <w:tcW w:w="2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r>
      <w:tr>
        <w:trPr/>
        <w:tc>
          <w:tcPr>
            <w:tcW w:w="2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7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Plan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 Category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2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Equity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7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2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Fixed income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w:t>
            </w:r>
          </w:p>
        </w:tc>
        <w:tc>
          <w:tcPr>
            <w:tcW w:w="7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2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71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224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7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Investment Policy, Guidelines and Objectives have been established for the defined benefit pension plan. The investment policy is in keeping with the fiduciary requirements under existing federal laws and managed in accordance with the Prudent Investor Rule. Total portfolio risk is regularly evaluated and compared to that of the plan’s policy target allocation and judged on a relative basis over a market cycle. The following asset allocation policy and ranges have been established in accordance with the overall risk and return objectives of the portfolio:</w:t>
      </w:r>
    </w:p>
    <w:p>
      <w:pPr>
        <w:pStyle w:val="TextBody"/>
        <w:bidi w:val="0"/>
        <w:jc w:val="left"/>
        <w:rPr/>
      </w:pPr>
      <w:r>
        <w:rPr/>
        <w:t> </w:t>
      </w:r>
    </w:p>
    <w:tbl>
      <w:tblPr>
        <w:tblW w:w="4480" w:type="dxa"/>
        <w:jc w:val="left"/>
        <w:tblInd w:w="0" w:type="dxa"/>
        <w:tblLayout w:type="fixed"/>
        <w:tblCellMar>
          <w:top w:w="28" w:type="dxa"/>
          <w:left w:w="28" w:type="dxa"/>
          <w:bottom w:w="28" w:type="dxa"/>
          <w:right w:w="28" w:type="dxa"/>
        </w:tblCellMar>
      </w:tblPr>
      <w:tblGrid>
        <w:gridCol w:w="1711"/>
        <w:gridCol w:w="146"/>
        <w:gridCol w:w="421"/>
        <w:gridCol w:w="914"/>
        <w:gridCol w:w="271"/>
        <w:gridCol w:w="146"/>
        <w:gridCol w:w="871"/>
      </w:tblGrid>
      <w:tr>
        <w:trPr/>
        <w:tc>
          <w:tcPr>
            <w:tcW w:w="17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r>
      <w:tr>
        <w:trPr/>
        <w:tc>
          <w:tcPr>
            <w:tcW w:w="17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12/31/2025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Permitted</w:t>
            </w:r>
            <w:r>
              <w:rPr>
                <w:rFonts w:ascii="sans-serif" w:hAnsi="sans-serif"/>
                <w:b/>
                <w:color w:val="000000"/>
                <w:sz w:val="16"/>
              </w:rPr>
              <w:br/>
            </w:r>
            <w:r>
              <w:rPr>
                <w:rFonts w:ascii="Times New Roman" w:hAnsi="Times New Roman"/>
                <w:b/>
                <w:color w:val="000000"/>
                <w:sz w:val="16"/>
              </w:rPr>
              <w:t>Range</w:t>
            </w:r>
          </w:p>
        </w:tc>
      </w:tr>
      <w:tr>
        <w:trPr/>
        <w:tc>
          <w:tcPr>
            <w:tcW w:w="17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10-30%</w:t>
            </w:r>
          </w:p>
        </w:tc>
      </w:tr>
      <w:tr>
        <w:trPr/>
        <w:tc>
          <w:tcPr>
            <w:tcW w:w="17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Fixed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70-90%</w:t>
            </w:r>
          </w:p>
        </w:tc>
      </w:tr>
      <w:tr>
        <w:trPr/>
        <w:tc>
          <w:tcPr>
            <w:tcW w:w="17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0-10%</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accordance with the investment policy, the portfolio will invest in high quality, large and small capitalization companies traded on national exchanges, and investment grade securities. The investment managers will not write or buy options for speculative purposes; securities may not be margined or sold short. The manager may employ futures or options for the purpose of hedging exposure, and will not purchase unregistered sectors, private placements, partnerships or commodities.</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12) SEGMENT REPORTING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operate in two reportable segments: Acute Care Hospital Services and Behavioral Health Care Services. Our chief operating decision making (“CODM”) group is comprised of our President and Chief Executive Officer and each of our respective division Presidents for our Acute Care Hospital Services and Behavioral Health Care Services. The operating segments are managed separately because each operating segment represents a business unit that offers different types of healthcare services or operates in different healthcare environments. The primary profitability measurement utilized by the President and Chief Executive Officer as well as the Presidents of each operating segment is segment income before income taxes. Segment income before income taxes is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utilized by the CODM group during the annual budgeting process and during their reviews of our monthly operating results to monitor each segment’s operating results as compared to prior periods, and the respective operating budgets.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The expenses included in our non-segment operating expenses below include centralized services including, but not limited to, information technology, purchasing, reimbursement, accounting and finance, taxation, legal, advertising and design and construction. The accounting policies of the operating segments are the same as those described in the summary of significant accounting policies included in </w:t>
      </w:r>
      <w:r>
        <w:rPr>
          <w:rFonts w:ascii="Times New Roman" w:hAnsi="Times New Roman"/>
          <w:i/>
          <w:color w:val="000000"/>
          <w:sz w:val="20"/>
        </w:rPr>
        <w:t>Note 1-Business and Summary of Significant Accounting Policies</w:t>
      </w:r>
      <w:r>
        <w:rPr>
          <w:rFonts w:ascii="Times New Roman" w:hAnsi="Times New Roman"/>
          <w:color w:val="000000"/>
          <w:sz w:val="20"/>
        </w:rPr>
        <w:t>. We do not present asset information for our segments as this information is not used to allocate resources.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Note: prior year amounts related to certain facilities previously included in our Behavioral Health Care Services’ results have been reclassified into our Acute Care Hospital Services' results as of May 1, 2024 to conform with current year presentation.</w:t>
      </w:r>
    </w:p>
    <w:p>
      <w:pPr>
        <w:pStyle w:val="TextBody"/>
        <w:bidi w:val="0"/>
        <w:spacing w:before="120" w:after="283"/>
        <w:jc w:val="left"/>
        <w:rPr/>
      </w:pPr>
      <w:r>
        <w:rPr/>
        <w:t> </w:t>
      </w:r>
    </w:p>
    <w:tbl>
      <w:tblPr>
        <w:tblW w:w="10205" w:type="dxa"/>
        <w:jc w:val="left"/>
        <w:tblInd w:w="0" w:type="dxa"/>
        <w:tblLayout w:type="fixed"/>
        <w:tblCellMar>
          <w:top w:w="28" w:type="dxa"/>
          <w:left w:w="28" w:type="dxa"/>
          <w:bottom w:w="28" w:type="dxa"/>
          <w:right w:w="28" w:type="dxa"/>
        </w:tblCellMar>
      </w:tblPr>
      <w:tblGrid>
        <w:gridCol w:w="5693"/>
        <w:gridCol w:w="146"/>
        <w:gridCol w:w="211"/>
        <w:gridCol w:w="931"/>
        <w:gridCol w:w="166"/>
        <w:gridCol w:w="146"/>
        <w:gridCol w:w="211"/>
        <w:gridCol w:w="931"/>
        <w:gridCol w:w="166"/>
        <w:gridCol w:w="146"/>
        <w:gridCol w:w="211"/>
        <w:gridCol w:w="1036"/>
        <w:gridCol w:w="211"/>
      </w:tblGrid>
      <w:tr>
        <w:trPr/>
        <w:tc>
          <w:tcPr>
            <w:tcW w:w="569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56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Acute Care</w:t>
              <w:br/>
              <w:t>Hospital</w:t>
              <w:br/>
              <w:t>Services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Behavioral</w:t>
              <w:br/>
              <w:t>Health Care</w:t>
              <w:br/>
              <w:t>Services (c)</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6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55"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(amounts in thousands)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6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revenue from reportable segments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9,925,907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7,425,500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17,351,407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6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Reconciliation of Net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6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Non-segment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13,422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6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Net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17,364,829</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6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6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Salaries, wages and benefits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3,797,810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3,893,474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6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segment item operating expenses (a)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4,707,603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1,848,084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6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and amortization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388,804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220,464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6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(income)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6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(21,533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r>
      <w:tr>
        <w:trPr/>
        <w:tc>
          <w:tcPr>
            <w:tcW w:w="56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Reportable segment income before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1,046,938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1,460,503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2,507,441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69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6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Reconciliation of non-segment revenue/expenses to consolidated income before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6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Non-segment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13,422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Non-segment operating expenses (b)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514,575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Non-segment interest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145,673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Non-segment other (income)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(111,526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6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before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1,972,141</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pPr>
      <w:r>
        <w:rPr/>
        <w:t> </w:t>
      </w:r>
    </w:p>
    <w:p>
      <w:pPr>
        <w:pStyle w:val="TextBody"/>
        <w:bidi w:val="0"/>
        <w:jc w:val="left"/>
        <w:rPr/>
      </w:pPr>
      <w:r>
        <w:rPr/>
        <w:t> </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129</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713"/>
        <w:gridCol w:w="146"/>
        <w:gridCol w:w="211"/>
        <w:gridCol w:w="931"/>
        <w:gridCol w:w="166"/>
        <w:gridCol w:w="146"/>
        <w:gridCol w:w="211"/>
        <w:gridCol w:w="931"/>
        <w:gridCol w:w="166"/>
        <w:gridCol w:w="146"/>
        <w:gridCol w:w="211"/>
        <w:gridCol w:w="1036"/>
        <w:gridCol w:w="191"/>
      </w:tblGrid>
      <w:tr>
        <w:trPr/>
        <w:tc>
          <w:tcPr>
            <w:tcW w:w="571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57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Acute Care</w:t>
              <w:br/>
              <w:t>Hospital</w:t>
              <w:br/>
              <w:t>Services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Behavioral</w:t>
              <w:br/>
              <w:t>Health Care</w:t>
              <w:br/>
              <w:t>Services (c)</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7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55"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(amounts in thousands)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7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revenue from reportable segments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8,944,288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6,873,090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15,817,378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7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Reconciliation of Net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7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Non-segment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10,557</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7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Net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15,827,935</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7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7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Salaries, wages and benefits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3,523,526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3,590,956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7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segment item operating expenses (a)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4,206,890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1,720,364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7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and amortization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368,717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205,741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7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(income)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7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r>
      <w:tr>
        <w:trPr/>
        <w:tc>
          <w:tcPr>
            <w:tcW w:w="57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Reportable segment income before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840,121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1,355,549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2,195,670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71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7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Reconciliation of non-segment revenue/expenses to consolidated income before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7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Non-segment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10,557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Non-segment operating expenses (b)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529,927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Non-segment interest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175,743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Non-segment other (income)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7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before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1,497,936</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60" w:after="283"/>
        <w:jc w:val="left"/>
        <w:rPr/>
      </w:pPr>
      <w:r>
        <w:rPr/>
        <w:t> </w:t>
      </w:r>
    </w:p>
    <w:p>
      <w:pPr>
        <w:pStyle w:val="TextBody"/>
        <w:bidi w:val="0"/>
        <w:spacing w:before="60" w:after="283"/>
        <w:jc w:val="left"/>
        <w:rPr/>
      </w:pPr>
      <w:r>
        <w:rPr/>
        <w:t> </w:t>
      </w:r>
    </w:p>
    <w:tbl>
      <w:tblPr>
        <w:tblW w:w="10205" w:type="dxa"/>
        <w:jc w:val="left"/>
        <w:tblInd w:w="0" w:type="dxa"/>
        <w:tblLayout w:type="fixed"/>
        <w:tblCellMar>
          <w:top w:w="28" w:type="dxa"/>
          <w:left w:w="28" w:type="dxa"/>
          <w:bottom w:w="28" w:type="dxa"/>
          <w:right w:w="28" w:type="dxa"/>
        </w:tblCellMar>
      </w:tblPr>
      <w:tblGrid>
        <w:gridCol w:w="5713"/>
        <w:gridCol w:w="146"/>
        <w:gridCol w:w="211"/>
        <w:gridCol w:w="931"/>
        <w:gridCol w:w="166"/>
        <w:gridCol w:w="146"/>
        <w:gridCol w:w="211"/>
        <w:gridCol w:w="931"/>
        <w:gridCol w:w="166"/>
        <w:gridCol w:w="146"/>
        <w:gridCol w:w="211"/>
        <w:gridCol w:w="1036"/>
        <w:gridCol w:w="191"/>
      </w:tblGrid>
      <w:tr>
        <w:trPr/>
        <w:tc>
          <w:tcPr>
            <w:tcW w:w="571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57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Acute Care</w:t>
              <w:br/>
              <w:t>Hospital</w:t>
              <w:br/>
              <w:t>Services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Behavioral</w:t>
              <w:br/>
              <w:t>Health Care</w:t>
              <w:br/>
              <w:t>Services (c)</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7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55"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(amounts in thousands)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7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revenue from reportable segments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8,081,402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6,190,921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14,272,323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7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Reconciliation of Net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7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Non-segment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9,653</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7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Net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14,281,976</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7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7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Salaries, wages and benefits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3,406,060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3,353,008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7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segment item operating expenses (a)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3,762,066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1,564,649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7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and amortization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367,644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189,297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7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(income)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7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7,788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(4,271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7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Reportable segment income before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540,345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1,083,680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1,624,025</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7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7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Reconciliation of non-segment revenue/expenses to consolidated income before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7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Non-segment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9,653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Non-segment operating expenses (b)</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463,871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Non-segment interest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204,617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Non-segment other (income)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24,764</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7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before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940,426</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60" w:after="283"/>
        <w:jc w:val="left"/>
        <w:rPr/>
      </w:pPr>
      <w:r>
        <w:rPr/>
        <w:t> </w:t>
      </w:r>
    </w:p>
    <w:p>
      <w:pPr>
        <w:pStyle w:val="TextBody"/>
        <w:bidi w:val="0"/>
        <w:spacing w:before="60" w:after="283"/>
        <w:jc w:val="left"/>
        <w:rPr>
          <w:rFonts w:ascii="Times New Roman" w:hAnsi="Times New Roman"/>
          <w:color w:val="000000"/>
          <w:sz w:val="18"/>
        </w:rPr>
      </w:pPr>
      <w:r>
        <w:rPr>
          <w:rFonts w:ascii="Times New Roman" w:hAnsi="Times New Roman"/>
          <w:color w:val="000000"/>
          <w:sz w:val="18"/>
        </w:rPr>
        <w:t>(a)</w:t>
      </w:r>
    </w:p>
    <w:p>
      <w:pPr>
        <w:pStyle w:val="TextBody"/>
        <w:bidi w:val="0"/>
        <w:spacing w:before="60" w:after="283"/>
        <w:jc w:val="left"/>
        <w:rPr>
          <w:rFonts w:ascii="Times New Roman" w:hAnsi="Times New Roman"/>
          <w:color w:val="000000"/>
          <w:sz w:val="18"/>
        </w:rPr>
      </w:pPr>
      <w:r>
        <w:rPr>
          <w:rFonts w:ascii="Times New Roman" w:hAnsi="Times New Roman"/>
          <w:color w:val="000000"/>
          <w:sz w:val="18"/>
        </w:rPr>
        <w:t>Other segment operating expenses for each period includes other operating expenses, supplies expense and lease and rental expense.</w:t>
      </w:r>
    </w:p>
    <w:p>
      <w:pPr>
        <w:pStyle w:val="TextBody"/>
        <w:bidi w:val="0"/>
        <w:spacing w:before="60" w:after="283"/>
        <w:jc w:val="left"/>
        <w:rPr>
          <w:rFonts w:ascii="Times New Roman" w:hAnsi="Times New Roman"/>
          <w:color w:val="000000"/>
          <w:sz w:val="18"/>
        </w:rPr>
      </w:pPr>
      <w:r>
        <w:rPr>
          <w:rFonts w:ascii="Times New Roman" w:hAnsi="Times New Roman"/>
          <w:color w:val="000000"/>
          <w:sz w:val="18"/>
        </w:rPr>
        <w:t>(b)</w:t>
      </w:r>
    </w:p>
    <w:p>
      <w:pPr>
        <w:pStyle w:val="TextBody"/>
        <w:bidi w:val="0"/>
        <w:spacing w:before="60" w:after="283"/>
        <w:jc w:val="left"/>
        <w:rPr>
          <w:rFonts w:ascii="Times New Roman" w:hAnsi="Times New Roman"/>
          <w:color w:val="000000"/>
          <w:sz w:val="18"/>
        </w:rPr>
      </w:pPr>
      <w:r>
        <w:rPr>
          <w:rFonts w:ascii="Times New Roman" w:hAnsi="Times New Roman"/>
          <w:color w:val="000000"/>
          <w:sz w:val="18"/>
        </w:rPr>
        <w:t>Non-segment operating expenses for each period includes salaries, wages and benefits, other operating expenses, supplies expense and lease and rental expense.</w:t>
      </w:r>
    </w:p>
    <w:p>
      <w:pPr>
        <w:pStyle w:val="TextBody"/>
        <w:bidi w:val="0"/>
        <w:spacing w:before="60" w:after="283"/>
        <w:jc w:val="left"/>
        <w:rPr>
          <w:rFonts w:ascii="Times New Roman" w:hAnsi="Times New Roman"/>
          <w:color w:val="000000"/>
          <w:sz w:val="18"/>
        </w:rPr>
      </w:pPr>
      <w:r>
        <w:rPr>
          <w:rFonts w:ascii="Times New Roman" w:hAnsi="Times New Roman"/>
          <w:color w:val="000000"/>
          <w:sz w:val="18"/>
        </w:rPr>
        <w:t>(c)</w:t>
      </w:r>
    </w:p>
    <w:p>
      <w:pPr>
        <w:pStyle w:val="TextBody"/>
        <w:bidi w:val="0"/>
        <w:spacing w:before="60" w:after="283"/>
        <w:jc w:val="left"/>
        <w:rPr>
          <w:rFonts w:ascii="Times New Roman" w:hAnsi="Times New Roman"/>
          <w:color w:val="000000"/>
          <w:sz w:val="18"/>
        </w:rPr>
      </w:pPr>
      <w:r>
        <w:rPr>
          <w:rFonts w:ascii="Times New Roman" w:hAnsi="Times New Roman"/>
          <w:color w:val="000000"/>
          <w:sz w:val="18"/>
        </w:rPr>
        <w:t>Includes net revenues generated from our behavioral health care facilities located in the U.K. amounting to approximately $1.001 billion in 2025, $880 million in 2024 and $761 million in 2023.</w:t>
      </w:r>
    </w:p>
    <w:p>
      <w:pPr>
        <w:pStyle w:val="TextBody"/>
        <w:bidi w:val="0"/>
        <w:spacing w:before="60" w:after="283"/>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37" w:name="scheduleii_valuation"/>
      <w:bookmarkEnd w:id="37"/>
      <w:r>
        <w:rPr>
          <w:rFonts w:ascii="Times New Roman" w:hAnsi="Times New Roman"/>
          <w:b/>
          <w:color w:val="000000"/>
          <w:sz w:val="20"/>
        </w:rPr>
        <w:t>SCHEDULE II—VALUATION AND QUALIFYING ACCOUNTS</w:t>
      </w:r>
    </w:p>
    <w:p>
      <w:pPr>
        <w:pStyle w:val="TextBody"/>
        <w:bidi w:val="0"/>
        <w:jc w:val="center"/>
        <w:rPr>
          <w:rFonts w:ascii="Times New Roman" w:hAnsi="Times New Roman"/>
          <w:color w:val="000000"/>
          <w:sz w:val="20"/>
        </w:rPr>
      </w:pPr>
      <w:r>
        <w:rPr>
          <w:rFonts w:ascii="Times New Roman" w:hAnsi="Times New Roman"/>
          <w:color w:val="000000"/>
          <w:sz w:val="20"/>
        </w:rPr>
        <w:t>(amounts in thousands)</w:t>
      </w:r>
    </w:p>
    <w:p>
      <w:pPr>
        <w:pStyle w:val="TextBody"/>
        <w:bidi w:val="0"/>
        <w:jc w:val="left"/>
        <w:rPr/>
      </w:pPr>
      <w:r>
        <w:rPr/>
        <w:t> </w:t>
      </w:r>
    </w:p>
    <w:tbl>
      <w:tblPr>
        <w:tblW w:w="7161" w:type="dxa"/>
        <w:jc w:val="left"/>
        <w:tblInd w:w="0" w:type="dxa"/>
        <w:tblLayout w:type="fixed"/>
        <w:tblCellMar>
          <w:top w:w="28" w:type="dxa"/>
          <w:left w:w="28" w:type="dxa"/>
          <w:bottom w:w="28" w:type="dxa"/>
          <w:right w:w="28" w:type="dxa"/>
        </w:tblCellMar>
      </w:tblPr>
      <w:tblGrid>
        <w:gridCol w:w="3466"/>
        <w:gridCol w:w="246"/>
        <w:gridCol w:w="211"/>
        <w:gridCol w:w="676"/>
        <w:gridCol w:w="146"/>
        <w:gridCol w:w="146"/>
        <w:gridCol w:w="214"/>
        <w:gridCol w:w="686"/>
        <w:gridCol w:w="146"/>
        <w:gridCol w:w="146"/>
        <w:gridCol w:w="211"/>
        <w:gridCol w:w="676"/>
        <w:gridCol w:w="191"/>
      </w:tblGrid>
      <w:tr>
        <w:trPr/>
        <w:tc>
          <w:tcPr>
            <w:tcW w:w="346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Balance at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Charges to</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Balance</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beginning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costs and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at end</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Valuation Allowance for Deferred Tax Assets:</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of period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expenses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of period</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9"/>
              </w:rPr>
            </w:pPr>
            <w:r>
              <w:rPr>
                <w:rFonts w:ascii="Times New Roman" w:hAnsi="Times New Roman"/>
                <w:color w:val="000000"/>
                <w:sz w:val="19"/>
              </w:rPr>
              <w:t>Year ended December 31, 2025</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82,690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4,191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86,881</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9"/>
              </w:rPr>
            </w:pPr>
            <w:r>
              <w:rPr>
                <w:rFonts w:ascii="Times New Roman" w:hAnsi="Times New Roman"/>
                <w:color w:val="000000"/>
                <w:sz w:val="19"/>
              </w:rPr>
              <w:t>Year ended December 31, 2024</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72,667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10,023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82,690</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9"/>
              </w:rPr>
            </w:pPr>
            <w:r>
              <w:rPr>
                <w:rFonts w:ascii="Times New Roman" w:hAnsi="Times New Roman"/>
                <w:color w:val="000000"/>
                <w:sz w:val="19"/>
              </w:rPr>
              <w:t>Year ended December 31, 2023</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63,325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9,342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72,667</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132</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000000"/>
          <w:sz w:val="24"/>
        </w:rPr>
      </w:pPr>
      <w:bookmarkStart w:id="38" w:name="uhs-ex10_1.htm"/>
      <w:bookmarkStart w:id="39" w:name="ksuhsex10_1"/>
      <w:bookmarkEnd w:id="38"/>
      <w:bookmarkEnd w:id="39"/>
      <w:r>
        <w:rPr>
          <w:rFonts w:ascii="Times New Roman" w:hAnsi="Times New Roman"/>
          <w:color w:val="000000"/>
          <w:sz w:val="24"/>
        </w:rPr>
        <w:t>Exhibit 10.1</w:t>
      </w:r>
      <w:r>
        <w:br w:type="page"/>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December 10, 2025</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Steve Filton</w:t>
      </w:r>
      <w:r>
        <w:rPr>
          <w:rFonts w:ascii="Times New Roman" w:hAnsi="Times New Roman"/>
          <w:color w:val="000000"/>
          <w:sz w:val="20"/>
        </w:rPr>
        <w:t xml:space="preserve"> </w:t>
      </w:r>
    </w:p>
    <w:p>
      <w:pPr>
        <w:pStyle w:val="TextBody"/>
        <w:bidi w:val="0"/>
        <w:jc w:val="left"/>
        <w:rPr>
          <w:rFonts w:ascii="Times New Roman" w:hAnsi="Times New Roman"/>
          <w:color w:val="000000"/>
          <w:sz w:val="24"/>
        </w:rPr>
      </w:pPr>
      <w:r>
        <w:rPr>
          <w:rFonts w:ascii="Times New Roman" w:hAnsi="Times New Roman"/>
          <w:color w:val="000000"/>
          <w:sz w:val="24"/>
        </w:rPr>
        <w:t>Executive Vice President &amp; CFO</w:t>
      </w:r>
    </w:p>
    <w:p>
      <w:pPr>
        <w:pStyle w:val="TextBody"/>
        <w:bidi w:val="0"/>
        <w:jc w:val="left"/>
        <w:rPr>
          <w:rFonts w:ascii="Times New Roman" w:hAnsi="Times New Roman"/>
          <w:color w:val="000000"/>
          <w:sz w:val="24"/>
        </w:rPr>
      </w:pPr>
      <w:r>
        <w:rPr>
          <w:rFonts w:ascii="Times New Roman" w:hAnsi="Times New Roman"/>
          <w:color w:val="000000"/>
          <w:sz w:val="24"/>
        </w:rPr>
        <w:t>UHS of Delaware, Inc.</w:t>
      </w:r>
    </w:p>
    <w:p>
      <w:pPr>
        <w:pStyle w:val="TextBody"/>
        <w:bidi w:val="0"/>
        <w:jc w:val="left"/>
        <w:rPr>
          <w:rFonts w:ascii="Times New Roman" w:hAnsi="Times New Roman"/>
          <w:sz w:val="20"/>
        </w:rPr>
      </w:pPr>
      <w:r>
        <w:rPr>
          <w:rFonts w:ascii="Times New Roman" w:hAnsi="Times New Roman"/>
          <w:color w:val="000000"/>
          <w:sz w:val="24"/>
        </w:rPr>
        <w:t>367 South Gulph Road</w:t>
      </w:r>
      <w:r>
        <w:rPr>
          <w:rFonts w:ascii="Times New Roman" w:hAnsi="Times New Roman"/>
          <w:color w:val="000000"/>
          <w:sz w:val="20"/>
        </w:rPr>
        <w:t xml:space="preserve"> </w:t>
      </w:r>
    </w:p>
    <w:p>
      <w:pPr>
        <w:pStyle w:val="TextBody"/>
        <w:bidi w:val="0"/>
        <w:jc w:val="left"/>
        <w:rPr>
          <w:rFonts w:ascii="Times New Roman" w:hAnsi="Times New Roman"/>
          <w:color w:val="000000"/>
          <w:sz w:val="24"/>
        </w:rPr>
      </w:pPr>
      <w:r>
        <w:rPr>
          <w:rFonts w:ascii="Times New Roman" w:hAnsi="Times New Roman"/>
          <w:color w:val="000000"/>
          <w:sz w:val="24"/>
        </w:rPr>
        <w:t>King of Prussia, PA 19406</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Dear Steve:</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The Board of Trustees of Universal Health Realty Income Trust, at today’s meeting, authorized the renewal of the current Advisory Agreement between Universal Health Realty Income Trust and UHS of Delaware, Inc. (“Agreement”) upon the same terms and conditions.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This letter constitutes Universal Health Realty Income Trust’s offer to renew the Agreement, through December 31, 2026, upon the same terms and conditions. Please acknowledge UHS of Delaware’s acceptance of this offer by signing in the space provided below and returning one copy of this letter to me. Thank you.</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Sincerely,</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4"/>
          <w:u w:val="single"/>
        </w:rPr>
      </w:pPr>
      <w:r>
        <w:rPr>
          <w:rFonts w:ascii="Times New Roman" w:hAnsi="Times New Roman"/>
          <w:color w:val="000000"/>
          <w:sz w:val="24"/>
          <w:u w:val="single"/>
        </w:rPr>
        <w:t>/s/ Cheryl K. Ramagano</w:t>
      </w:r>
    </w:p>
    <w:p>
      <w:pPr>
        <w:pStyle w:val="TextBody"/>
        <w:bidi w:val="0"/>
        <w:jc w:val="left"/>
        <w:rPr>
          <w:rFonts w:ascii="Times New Roman" w:hAnsi="Times New Roman"/>
          <w:color w:val="000000"/>
          <w:sz w:val="24"/>
        </w:rPr>
      </w:pPr>
      <w:r>
        <w:rPr>
          <w:rFonts w:ascii="Times New Roman" w:hAnsi="Times New Roman"/>
          <w:color w:val="000000"/>
          <w:sz w:val="24"/>
        </w:rPr>
        <w:t>Cheryl K. Ramagano</w:t>
      </w:r>
    </w:p>
    <w:p>
      <w:pPr>
        <w:pStyle w:val="TextBody"/>
        <w:bidi w:val="0"/>
        <w:jc w:val="left"/>
        <w:rPr>
          <w:rFonts w:ascii="Times New Roman" w:hAnsi="Times New Roman"/>
          <w:color w:val="000000"/>
          <w:sz w:val="24"/>
        </w:rPr>
      </w:pPr>
      <w:r>
        <w:rPr>
          <w:rFonts w:ascii="Times New Roman" w:hAnsi="Times New Roman"/>
          <w:color w:val="000000"/>
          <w:sz w:val="24"/>
        </w:rPr>
        <w:t>Senior Vice President, Operations,</w:t>
      </w:r>
    </w:p>
    <w:p>
      <w:pPr>
        <w:pStyle w:val="TextBody"/>
        <w:bidi w:val="0"/>
        <w:jc w:val="left"/>
        <w:rPr>
          <w:rFonts w:ascii="Times New Roman" w:hAnsi="Times New Roman"/>
          <w:color w:val="000000"/>
          <w:sz w:val="24"/>
        </w:rPr>
      </w:pPr>
      <w:r>
        <w:rPr>
          <w:rFonts w:ascii="Times New Roman" w:hAnsi="Times New Roman"/>
          <w:color w:val="000000"/>
          <w:sz w:val="24"/>
        </w:rPr>
        <w:t>Treasurer and Secretary</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4"/>
        </w:rPr>
        <w:t>Agreed and Accepted</w:t>
      </w:r>
      <w:r>
        <w:rPr>
          <w:rFonts w:ascii="Times New Roman" w:hAnsi="Times New Roman"/>
          <w:color w:val="000000"/>
          <w:sz w:val="24"/>
        </w:rPr>
        <w:t>:</w:t>
      </w:r>
    </w:p>
    <w:p>
      <w:pPr>
        <w:pStyle w:val="TextBody"/>
        <w:bidi w:val="0"/>
        <w:jc w:val="left"/>
        <w:rPr>
          <w:rFonts w:ascii="Times New Roman" w:hAnsi="Times New Roman"/>
          <w:color w:val="000000"/>
          <w:sz w:val="24"/>
        </w:rPr>
      </w:pPr>
      <w:r>
        <w:rPr>
          <w:rFonts w:ascii="Times New Roman" w:hAnsi="Times New Roman"/>
          <w:color w:val="000000"/>
          <w:sz w:val="24"/>
        </w:rPr>
        <w:t>UHS OF DELAWARE, INC.</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 xml:space="preserve">By: </w:t>
      </w:r>
      <w:r>
        <w:rPr>
          <w:rFonts w:ascii="Times New Roman" w:hAnsi="Times New Roman"/>
          <w:color w:val="000000"/>
          <w:sz w:val="24"/>
          <w:u w:val="single"/>
        </w:rPr>
        <w:t>/s/ Steve Filton</w:t>
      </w:r>
    </w:p>
    <w:p>
      <w:pPr>
        <w:pStyle w:val="TextBody"/>
        <w:bidi w:val="0"/>
        <w:jc w:val="left"/>
        <w:rPr>
          <w:rFonts w:ascii="Times New Roman" w:hAnsi="Times New Roman"/>
          <w:color w:val="000000"/>
          <w:sz w:val="24"/>
        </w:rPr>
      </w:pPr>
      <w:r>
        <w:rPr>
          <w:rFonts w:ascii="Times New Roman" w:hAnsi="Times New Roman"/>
          <w:color w:val="000000"/>
          <w:sz w:val="24"/>
        </w:rPr>
        <w:t>Steve Filton</w:t>
      </w:r>
    </w:p>
    <w:p>
      <w:pPr>
        <w:pStyle w:val="TextBody"/>
        <w:bidi w:val="0"/>
        <w:jc w:val="left"/>
        <w:rPr>
          <w:rFonts w:ascii="Times New Roman" w:hAnsi="Times New Roman"/>
          <w:color w:val="000000"/>
          <w:sz w:val="24"/>
        </w:rPr>
      </w:pPr>
      <w:r>
        <w:rPr>
          <w:rFonts w:ascii="Times New Roman" w:hAnsi="Times New Roman"/>
          <w:color w:val="000000"/>
          <w:sz w:val="24"/>
        </w:rPr>
        <w:t>Executive Vice President and CFO</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CC: Charles Boyle</w:t>
      </w:r>
    </w:p>
    <w:p>
      <w:pPr>
        <w:pStyle w:val="HorizontalLine"/>
        <w:pBdr>
          <w:bottom w:val="double" w:sz="2" w:space="0" w:color="808080"/>
        </w:pBdr>
        <w:bidi w:val="0"/>
        <w:spacing w:before="0" w:after="283"/>
        <w:jc w:val="left"/>
        <w:rPr/>
      </w:pPr>
      <w:r>
        <w:rPr/>
      </w:r>
    </w:p>
    <w:p>
      <w:pPr>
        <w:pStyle w:val="TextBody"/>
        <w:bidi w:val="0"/>
        <w:jc w:val="left"/>
        <w:rPr/>
      </w:pPr>
      <w:bookmarkStart w:id="40" w:name="uhs-ex19.htm"/>
      <w:bookmarkStart w:id="41" w:name="ksuhsex19"/>
      <w:bookmarkEnd w:id="40"/>
      <w:bookmarkEnd w:id="41"/>
      <w:r>
        <w:rPr/>
        <w:t> </w:t>
      </w:r>
      <w:r>
        <w:br w:type="page"/>
      </w:r>
    </w:p>
    <w:p>
      <w:pPr>
        <w:pStyle w:val="TextBody"/>
        <w:bidi w:val="0"/>
        <w:jc w:val="right"/>
        <w:rPr>
          <w:rFonts w:ascii="Arial" w:hAnsi="Arial"/>
          <w:b/>
          <w:color w:val="000000"/>
          <w:sz w:val="22"/>
        </w:rPr>
      </w:pPr>
      <w:r>
        <w:rPr>
          <w:rFonts w:ascii="Arial" w:hAnsi="Arial"/>
          <w:b/>
          <w:color w:val="000000"/>
          <w:sz w:val="22"/>
        </w:rPr>
        <w:t>Exhibit 19</w:t>
      </w:r>
    </w:p>
    <w:p>
      <w:pPr>
        <w:pStyle w:val="TextBody"/>
        <w:bidi w:val="0"/>
        <w:spacing w:before="0" w:after="225"/>
        <w:jc w:val="left"/>
        <w:rPr>
          <w:rFonts w:ascii="Merriweather;serif" w:hAnsi="Merriweather;serif"/>
          <w:color w:val="C2A882"/>
          <w:sz w:val="48"/>
        </w:rPr>
      </w:pPr>
      <w:r>
        <w:rPr>
          <w:rFonts w:ascii="Merriweather;serif" w:hAnsi="Merriweather;serif"/>
          <w:color w:val="C2A882"/>
          <w:sz w:val="48"/>
        </w:rPr>
        <w:t>Inside Information and Trading of Company Stock</w:t>
      </w:r>
    </w:p>
    <w:p>
      <w:pPr>
        <w:pStyle w:val="TextBody"/>
        <w:bidi w:val="0"/>
        <w:spacing w:before="0" w:after="225"/>
        <w:jc w:val="left"/>
        <w:rPr>
          <w:rFonts w:ascii="Times New Roman" w:hAnsi="Times New Roman"/>
          <w:sz w:val="20"/>
        </w:rPr>
      </w:pPr>
      <w:r>
        <w:rPr>
          <w:rFonts w:ascii="Arial" w:hAnsi="Arial"/>
          <w:b/>
          <w:color w:val="777777"/>
          <w:sz w:val="24"/>
          <w:u w:val="single"/>
        </w:rPr>
        <w:t>Effective as of February 12, 2025</w:t>
      </w:r>
      <w:r>
        <w:rPr>
          <w:rFonts w:ascii="Times New Roman" w:hAnsi="Times New Roman"/>
          <w:color w:val="777777"/>
          <w:sz w:val="20"/>
        </w:rPr>
        <w:t xml:space="preserve"> </w:t>
      </w:r>
    </w:p>
    <w:p>
      <w:pPr>
        <w:pStyle w:val="TextBody"/>
        <w:bidi w:val="0"/>
        <w:spacing w:before="0" w:after="225"/>
        <w:jc w:val="left"/>
        <w:rPr>
          <w:rFonts w:ascii="Arial" w:hAnsi="Arial"/>
          <w:b/>
          <w:color w:val="777777"/>
          <w:sz w:val="24"/>
        </w:rPr>
      </w:pPr>
      <w:r>
        <w:rPr>
          <w:rFonts w:ascii="Arial" w:hAnsi="Arial"/>
          <w:b/>
          <w:color w:val="777777"/>
          <w:sz w:val="24"/>
        </w:rPr>
        <w:t>I. Purpose of this Policy</w:t>
      </w:r>
    </w:p>
    <w:p>
      <w:pPr>
        <w:pStyle w:val="TextBody"/>
        <w:bidi w:val="0"/>
        <w:spacing w:before="0" w:after="225"/>
        <w:jc w:val="left"/>
        <w:rPr>
          <w:rFonts w:ascii="Times New Roman" w:hAnsi="Times New Roman"/>
          <w:sz w:val="20"/>
        </w:rPr>
      </w:pPr>
      <w:r>
        <w:rPr>
          <w:rFonts w:ascii="Arial" w:hAnsi="Arial"/>
          <w:color w:val="777777"/>
          <w:sz w:val="27"/>
        </w:rPr>
        <w:t>In the course of performing your duties for Universal Health Services, Inc. ("</w:t>
      </w:r>
      <w:r>
        <w:rPr>
          <w:rFonts w:ascii="Arial" w:hAnsi="Arial"/>
          <w:b/>
          <w:color w:val="777777"/>
          <w:sz w:val="27"/>
        </w:rPr>
        <w:t>UHS</w:t>
      </w:r>
      <w:r>
        <w:rPr>
          <w:rFonts w:ascii="Arial" w:hAnsi="Arial"/>
          <w:color w:val="777777"/>
          <w:sz w:val="27"/>
        </w:rPr>
        <w:t>"), you may from time to time receive or become aware of material non-public information about UHS and its subsidiaries (collectively, the "</w:t>
      </w:r>
      <w:r>
        <w:rPr>
          <w:rFonts w:ascii="Arial" w:hAnsi="Arial"/>
          <w:b/>
          <w:color w:val="777777"/>
          <w:sz w:val="27"/>
        </w:rPr>
        <w:t>Company</w:t>
      </w:r>
      <w:r>
        <w:rPr>
          <w:rFonts w:ascii="Arial" w:hAnsi="Arial"/>
          <w:color w:val="777777"/>
          <w:sz w:val="27"/>
        </w:rPr>
        <w:t>") or other companies that do business with the Company. This Insider Trading Policy (the "</w:t>
      </w:r>
      <w:r>
        <w:rPr>
          <w:rFonts w:ascii="Arial" w:hAnsi="Arial"/>
          <w:b/>
          <w:color w:val="777777"/>
          <w:sz w:val="27"/>
        </w:rPr>
        <w:t>Policy</w:t>
      </w:r>
      <w:r>
        <w:rPr>
          <w:rFonts w:ascii="Arial" w:hAnsi="Arial"/>
          <w:color w:val="777777"/>
          <w:sz w:val="27"/>
        </w:rPr>
        <w:t>") furnishes guidelines concerning information that may be "material" and "non-public" and your legal obligations and obligations to the Company relating to the use or disclosure of material non-public information regarding the Company or such other companies. It is also Company policy to comply with applicable securities laws concerning trading in Company’s securities on the Company’s behalf.</w:t>
      </w:r>
    </w:p>
    <w:p>
      <w:pPr>
        <w:pStyle w:val="TextBody"/>
        <w:bidi w:val="0"/>
        <w:spacing w:before="0" w:after="225"/>
        <w:jc w:val="left"/>
        <w:rPr>
          <w:rFonts w:ascii="Arial" w:hAnsi="Arial"/>
          <w:color w:val="777777"/>
          <w:sz w:val="27"/>
        </w:rPr>
      </w:pPr>
      <w:r>
        <w:rPr>
          <w:rFonts w:ascii="Arial" w:hAnsi="Arial"/>
          <w:color w:val="777777"/>
          <w:sz w:val="27"/>
        </w:rPr>
        <w:t>The Company has adopted this Policy to promote compliance with applicable securities laws, known as "insider trading" laws, which prohibit persons who receive or become aware of material non-public information about the Company (or other companies that do business with the Company) from trading in the Company's (or such other company's) securities or providing material non-public information to others who may trade in the Company's (or such other company's) securities on the basis of that information.</w:t>
      </w:r>
    </w:p>
    <w:p>
      <w:pPr>
        <w:pStyle w:val="TextBody"/>
        <w:bidi w:val="0"/>
        <w:spacing w:before="0" w:after="225"/>
        <w:jc w:val="left"/>
        <w:rPr>
          <w:rFonts w:ascii="Arial" w:hAnsi="Arial"/>
          <w:color w:val="777777"/>
          <w:sz w:val="27"/>
        </w:rPr>
      </w:pPr>
      <w:r>
        <w:rPr>
          <w:rFonts w:ascii="Arial" w:hAnsi="Arial"/>
          <w:color w:val="777777"/>
          <w:sz w:val="27"/>
        </w:rPr>
        <w:t>Insider trading laws can impose legal liability not only on individuals who fail to comply with these laws, but also to the Company as the employer of individuals who violate these laws. Accordingly, the Company has adopted this Policy not only to guide the individuals associated with the Company who are covered by the Policy, but also to protect the Company from legal liability and promote its business interest in maintaining an impeccable reputation for integrity.</w:t>
      </w:r>
    </w:p>
    <w:p>
      <w:pPr>
        <w:pStyle w:val="TextBody"/>
        <w:bidi w:val="0"/>
        <w:spacing w:before="0" w:after="225"/>
        <w:jc w:val="left"/>
        <w:rPr>
          <w:rFonts w:ascii="Arial" w:hAnsi="Arial"/>
          <w:b/>
          <w:color w:val="777777"/>
          <w:sz w:val="24"/>
        </w:rPr>
      </w:pPr>
      <w:r>
        <w:rPr>
          <w:rFonts w:ascii="Arial" w:hAnsi="Arial"/>
          <w:b/>
          <w:color w:val="777777"/>
          <w:sz w:val="24"/>
        </w:rPr>
        <w:t>II. Effectiveness of this Policy</w:t>
      </w:r>
    </w:p>
    <w:p>
      <w:pPr>
        <w:pStyle w:val="TextBody"/>
        <w:bidi w:val="0"/>
        <w:spacing w:before="0" w:after="225"/>
        <w:jc w:val="left"/>
        <w:rPr>
          <w:rFonts w:ascii="Times New Roman" w:hAnsi="Times New Roman"/>
          <w:sz w:val="20"/>
        </w:rPr>
      </w:pPr>
      <w:r>
        <w:rPr>
          <w:rFonts w:ascii="Arial" w:hAnsi="Arial"/>
          <w:color w:val="777777"/>
          <w:sz w:val="27"/>
        </w:rPr>
        <w:t>This Policy is effective as of the date set forth at the top of this page and supersedes any previous insider trading policy of the Company. In the event of any conflict or inconsistency between this Policy and any other materials previously distributed by the Company, this Policy shall govern. In addition, each Covered Person (as defined below) is responsible for complying with</w:t>
      </w:r>
      <w:r>
        <w:rPr>
          <w:rFonts w:ascii="Times New Roman" w:hAnsi="Times New Roman"/>
          <w:color w:val="777777"/>
          <w:sz w:val="20"/>
        </w:rPr>
        <w:t xml:space="preserve"> </w:t>
      </w:r>
    </w:p>
    <w:p>
      <w:pPr>
        <w:pStyle w:val="TextBody"/>
        <w:bidi w:val="0"/>
        <w:jc w:val="left"/>
        <w:rPr>
          <w:rFonts w:ascii="Arial" w:hAnsi="Arial"/>
          <w:color w:val="000000"/>
          <w:sz w:val="22"/>
        </w:rPr>
      </w:pPr>
      <w:r>
        <w:rPr>
          <w:rFonts w:ascii="Arial" w:hAnsi="Arial"/>
          <w:color w:val="000000"/>
          <w:sz w:val="22"/>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25"/>
        <w:jc w:val="left"/>
        <w:rPr>
          <w:rFonts w:ascii="Arial" w:hAnsi="Arial"/>
          <w:color w:val="777777"/>
          <w:sz w:val="27"/>
        </w:rPr>
      </w:pPr>
      <w:r>
        <w:rPr>
          <w:rFonts w:ascii="Arial" w:hAnsi="Arial"/>
          <w:color w:val="777777"/>
          <w:sz w:val="27"/>
        </w:rPr>
        <w:t>applicable law as then in force and effect. Accordingly, in the event of any conflict or inconsistency between this Policy and applicable law, or any omission from this Policy, Covered Persons are not excused from complying with applicable law.</w:t>
      </w:r>
    </w:p>
    <w:p>
      <w:pPr>
        <w:pStyle w:val="TextBody"/>
        <w:bidi w:val="0"/>
        <w:spacing w:before="0" w:after="225"/>
        <w:jc w:val="left"/>
        <w:rPr>
          <w:rFonts w:ascii="Arial" w:hAnsi="Arial"/>
          <w:b/>
          <w:color w:val="777777"/>
          <w:sz w:val="24"/>
        </w:rPr>
      </w:pPr>
      <w:r>
        <w:rPr>
          <w:rFonts w:ascii="Arial" w:hAnsi="Arial"/>
          <w:b/>
          <w:color w:val="777777"/>
          <w:sz w:val="24"/>
        </w:rPr>
        <w:t>III. Compliance Officer for this Policy</w:t>
      </w:r>
    </w:p>
    <w:p>
      <w:pPr>
        <w:pStyle w:val="TextBody"/>
        <w:bidi w:val="0"/>
        <w:spacing w:before="0" w:after="225"/>
        <w:jc w:val="left"/>
        <w:rPr>
          <w:rFonts w:ascii="Arial" w:hAnsi="Arial"/>
          <w:color w:val="777777"/>
          <w:sz w:val="27"/>
        </w:rPr>
      </w:pPr>
      <w:r>
        <w:rPr>
          <w:rFonts w:ascii="Arial" w:hAnsi="Arial"/>
          <w:color w:val="777777"/>
          <w:sz w:val="27"/>
        </w:rPr>
        <w:t>Steve Filton, UHS's Executive Vice President and Chief Financial Officer, and Chick Boyle, UHS's Senior Vice President and Controller, are the compliance officers (each, a "Compliance Officer") for this Policy. A Compliance Officer, or the Board of Directors of the Company, may designate additional or other officers of the Company to serve as a Compliance Officer for this Policy from time to time. Any questions concerning this Policy should be directed to, and all interpretations of this Policy shall be made by, a duly designated Compliance Officer.</w:t>
      </w:r>
    </w:p>
    <w:p>
      <w:pPr>
        <w:pStyle w:val="TextBody"/>
        <w:bidi w:val="0"/>
        <w:spacing w:before="0" w:after="225"/>
        <w:jc w:val="left"/>
        <w:rPr>
          <w:rFonts w:ascii="Arial" w:hAnsi="Arial"/>
          <w:b/>
          <w:color w:val="777777"/>
          <w:sz w:val="24"/>
        </w:rPr>
      </w:pPr>
      <w:r>
        <w:rPr>
          <w:rFonts w:ascii="Arial" w:hAnsi="Arial"/>
          <w:b/>
          <w:color w:val="777777"/>
          <w:sz w:val="24"/>
        </w:rPr>
        <w:t>IV. Who This Policy Applies To</w:t>
      </w:r>
    </w:p>
    <w:p>
      <w:pPr>
        <w:pStyle w:val="TextBody"/>
        <w:bidi w:val="0"/>
        <w:spacing w:before="0" w:after="225"/>
        <w:jc w:val="left"/>
        <w:rPr>
          <w:rFonts w:ascii="Times New Roman" w:hAnsi="Times New Roman"/>
          <w:sz w:val="20"/>
        </w:rPr>
      </w:pPr>
      <w:r>
        <w:rPr>
          <w:rFonts w:ascii="Arial" w:hAnsi="Arial"/>
          <w:color w:val="777777"/>
          <w:sz w:val="27"/>
        </w:rPr>
        <w:t>This Policy applies to UHS and all of its subsidiaries.</w:t>
      </w:r>
      <w:r>
        <w:rPr>
          <w:rFonts w:ascii="Times New Roman" w:hAnsi="Times New Roman"/>
          <w:color w:val="777777"/>
          <w:sz w:val="20"/>
        </w:rPr>
        <w:t xml:space="preserve"> </w:t>
      </w:r>
    </w:p>
    <w:p>
      <w:pPr>
        <w:pStyle w:val="TextBody"/>
        <w:bidi w:val="0"/>
        <w:spacing w:before="0" w:after="225"/>
        <w:jc w:val="left"/>
        <w:rPr>
          <w:rFonts w:ascii="Times New Roman" w:hAnsi="Times New Roman"/>
          <w:sz w:val="20"/>
        </w:rPr>
      </w:pPr>
      <w:r>
        <w:rPr>
          <w:rFonts w:ascii="Arial" w:hAnsi="Arial"/>
          <w:color w:val="777777"/>
          <w:sz w:val="27"/>
        </w:rPr>
        <w:t>This Policy is applicable to all directors, officers and employees of the Company, whether located in or outside of the United States, as well as family members and other members of their respective households, partnerships in which any such person is a general partner, trusts of which any such person is a trustee, estates of which any such person is an administrator or executor and other legal entities that any such person controls (the "</w:t>
      </w:r>
      <w:r>
        <w:rPr>
          <w:rFonts w:ascii="Arial" w:hAnsi="Arial"/>
          <w:b/>
          <w:color w:val="777777"/>
          <w:sz w:val="27"/>
        </w:rPr>
        <w:t>Covered Persons</w:t>
      </w:r>
      <w:r>
        <w:rPr>
          <w:rFonts w:ascii="Arial" w:hAnsi="Arial"/>
          <w:color w:val="777777"/>
          <w:sz w:val="27"/>
        </w:rPr>
        <w:t>"). A Compliance Officer may also determine from time to time that other persons who may have access to material non-public information due to their activities with the Company shall be subject to this Policy. Any persons so identified by a Compliance Officer shall also be "Covered Persons" for purposes of this Policy.</w:t>
      </w:r>
    </w:p>
    <w:p>
      <w:pPr>
        <w:pStyle w:val="TextBody"/>
        <w:bidi w:val="0"/>
        <w:spacing w:before="0" w:after="225"/>
        <w:jc w:val="left"/>
        <w:rPr>
          <w:rFonts w:ascii="Arial" w:hAnsi="Arial"/>
          <w:b/>
          <w:color w:val="777777"/>
          <w:sz w:val="24"/>
        </w:rPr>
      </w:pPr>
      <w:r>
        <w:rPr>
          <w:rFonts w:ascii="Arial" w:hAnsi="Arial"/>
          <w:b/>
          <w:color w:val="777777"/>
          <w:sz w:val="24"/>
        </w:rPr>
        <w:t>V. Policy</w:t>
      </w:r>
    </w:p>
    <w:p>
      <w:pPr>
        <w:pStyle w:val="TextBody"/>
        <w:bidi w:val="0"/>
        <w:spacing w:before="0" w:after="225"/>
        <w:jc w:val="left"/>
        <w:rPr>
          <w:rFonts w:ascii="Times New Roman" w:hAnsi="Times New Roman"/>
          <w:sz w:val="20"/>
        </w:rPr>
      </w:pPr>
      <w:r>
        <w:rPr>
          <w:rFonts w:ascii="Arial" w:hAnsi="Arial"/>
          <w:color w:val="777777"/>
          <w:sz w:val="27"/>
        </w:rPr>
        <w:t>If a Covered Person is in possession of material non-public information relating to the Company, that person may not, directly or indirectly, buy, sell or engage in other transactions in securities of the Company (to be broadly construed to include equity, debt and convertible securities of the Company, and derivatives (whether or not issued by the Company) linked to or exercisable for securities of the Company (the "</w:t>
      </w:r>
      <w:r>
        <w:rPr>
          <w:rFonts w:ascii="Arial" w:hAnsi="Arial"/>
          <w:b/>
          <w:color w:val="777777"/>
          <w:sz w:val="27"/>
        </w:rPr>
        <w:t>Company Securities</w:t>
      </w:r>
      <w:r>
        <w:rPr>
          <w:rFonts w:ascii="Arial" w:hAnsi="Arial"/>
          <w:color w:val="777777"/>
          <w:sz w:val="27"/>
        </w:rPr>
        <w:t>"), except as set forth in Section VIII below, or engage, directly or indirectly, in any other action to disclose to others ("tipping") or benefit from or take advantage of that information (for example, recommending transactions in Company Securities). This Policy also applies to material non-public</w:t>
      </w:r>
      <w:r>
        <w:rPr>
          <w:rFonts w:ascii="Times New Roman" w:hAnsi="Times New Roman"/>
          <w:color w:val="777777"/>
          <w:sz w:val="20"/>
        </w:rPr>
        <w:t xml:space="preserve"> </w:t>
      </w:r>
    </w:p>
    <w:p>
      <w:pPr>
        <w:pStyle w:val="TextBody"/>
        <w:bidi w:val="0"/>
        <w:jc w:val="left"/>
        <w:rPr>
          <w:rFonts w:ascii="Arial" w:hAnsi="Arial"/>
          <w:color w:val="000000"/>
          <w:sz w:val="22"/>
        </w:rPr>
      </w:pPr>
      <w:r>
        <w:rPr>
          <w:rFonts w:ascii="Arial" w:hAnsi="Arial"/>
          <w:color w:val="000000"/>
          <w:sz w:val="22"/>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25"/>
        <w:jc w:val="left"/>
        <w:rPr>
          <w:rFonts w:ascii="Arial" w:hAnsi="Arial"/>
          <w:color w:val="777777"/>
          <w:sz w:val="27"/>
        </w:rPr>
      </w:pPr>
      <w:r>
        <w:rPr>
          <w:rFonts w:ascii="Arial" w:hAnsi="Arial"/>
          <w:color w:val="777777"/>
          <w:sz w:val="27"/>
        </w:rPr>
        <w:t>information relating to any other company with publicly-traded securities, including the Company's customers, suppliers or other business relations, obtained in the course of the Covered Person's employment by, service to or other relationship with the Company.</w:t>
      </w:r>
    </w:p>
    <w:p>
      <w:pPr>
        <w:pStyle w:val="TextBody"/>
        <w:bidi w:val="0"/>
        <w:spacing w:before="0" w:after="225"/>
        <w:jc w:val="left"/>
        <w:rPr>
          <w:rFonts w:ascii="Arial" w:hAnsi="Arial"/>
          <w:color w:val="777777"/>
          <w:sz w:val="27"/>
        </w:rPr>
      </w:pPr>
      <w:r>
        <w:rPr>
          <w:rFonts w:ascii="Arial" w:hAnsi="Arial"/>
          <w:color w:val="777777"/>
          <w:sz w:val="27"/>
        </w:rPr>
        <w:t>Additional restrictions on buying, selling or engaging in other transactions in Company Securities apply to directors, executive officers and Section 16 Officers (as defined below) of the Company, as described in Section IX below.</w:t>
      </w:r>
    </w:p>
    <w:p>
      <w:pPr>
        <w:pStyle w:val="TextBody"/>
        <w:bidi w:val="0"/>
        <w:spacing w:before="0" w:after="225"/>
        <w:jc w:val="left"/>
        <w:rPr>
          <w:rFonts w:ascii="Arial" w:hAnsi="Arial"/>
          <w:b/>
          <w:color w:val="777777"/>
          <w:sz w:val="24"/>
        </w:rPr>
      </w:pPr>
      <w:r>
        <w:rPr>
          <w:rFonts w:ascii="Arial" w:hAnsi="Arial"/>
          <w:b/>
          <w:color w:val="777777"/>
          <w:sz w:val="24"/>
        </w:rPr>
        <w:t>VI. Definitions and Explanations</w:t>
      </w:r>
    </w:p>
    <w:p>
      <w:pPr>
        <w:pStyle w:val="TextBody"/>
        <w:bidi w:val="0"/>
        <w:spacing w:before="0" w:after="225"/>
        <w:jc w:val="left"/>
        <w:rPr>
          <w:rFonts w:ascii="Arial" w:hAnsi="Arial"/>
          <w:b/>
          <w:color w:val="777777"/>
          <w:sz w:val="27"/>
        </w:rPr>
      </w:pPr>
      <w:r>
        <w:rPr>
          <w:rFonts w:ascii="Arial" w:hAnsi="Arial"/>
          <w:b/>
          <w:color w:val="777777"/>
          <w:sz w:val="27"/>
        </w:rPr>
        <w:t>A. When Information is "Material"</w:t>
      </w:r>
    </w:p>
    <w:p>
      <w:pPr>
        <w:pStyle w:val="TextBody"/>
        <w:bidi w:val="0"/>
        <w:spacing w:before="0" w:after="225"/>
        <w:jc w:val="left"/>
        <w:rPr>
          <w:rFonts w:ascii="Arial" w:hAnsi="Arial"/>
          <w:color w:val="777777"/>
          <w:sz w:val="27"/>
        </w:rPr>
      </w:pPr>
      <w:r>
        <w:rPr>
          <w:rFonts w:ascii="Arial" w:hAnsi="Arial"/>
          <w:color w:val="777777"/>
          <w:sz w:val="27"/>
        </w:rPr>
        <w:t>In order to determine whether information is material, it must be evaluated in the context of all facts and circumstances at play at the time. Information is considered "material" if:</w:t>
      </w:r>
    </w:p>
    <w:p>
      <w:pPr>
        <w:pStyle w:val="TextBody"/>
        <w:bidi w:val="0"/>
        <w:spacing w:before="0" w:after="0"/>
        <w:jc w:val="left"/>
        <w:rPr>
          <w:color w:val="777777"/>
        </w:rPr>
      </w:pPr>
      <w:r>
        <w:rPr>
          <w:color w:val="777777"/>
        </w:rPr>
        <w:t>•</w:t>
      </w:r>
    </w:p>
    <w:p>
      <w:pPr>
        <w:pStyle w:val="TextBody"/>
        <w:bidi w:val="0"/>
        <w:spacing w:before="0" w:after="0"/>
        <w:jc w:val="left"/>
        <w:rPr>
          <w:rFonts w:ascii="Arial" w:hAnsi="Arial"/>
          <w:color w:val="777777"/>
          <w:sz w:val="27"/>
        </w:rPr>
      </w:pPr>
      <w:r>
        <w:rPr>
          <w:rFonts w:ascii="Arial" w:hAnsi="Arial"/>
          <w:color w:val="777777"/>
          <w:sz w:val="27"/>
        </w:rPr>
        <w:t>a reasonable investor would consider the information important in making a decision to buy, sell or hold Company Securities;</w:t>
      </w:r>
    </w:p>
    <w:p>
      <w:pPr>
        <w:pStyle w:val="TextBody"/>
        <w:bidi w:val="0"/>
        <w:spacing w:before="0" w:after="0"/>
        <w:jc w:val="left"/>
        <w:rPr>
          <w:color w:val="777777"/>
        </w:rPr>
      </w:pPr>
      <w:r>
        <w:rPr>
          <w:color w:val="777777"/>
        </w:rPr>
        <w:t>•</w:t>
      </w:r>
    </w:p>
    <w:p>
      <w:pPr>
        <w:pStyle w:val="TextBody"/>
        <w:bidi w:val="0"/>
        <w:spacing w:before="0" w:after="0"/>
        <w:jc w:val="left"/>
        <w:rPr>
          <w:rFonts w:ascii="Arial" w:hAnsi="Arial"/>
          <w:color w:val="777777"/>
          <w:sz w:val="27"/>
        </w:rPr>
      </w:pPr>
      <w:r>
        <w:rPr>
          <w:rFonts w:ascii="Arial" w:hAnsi="Arial"/>
          <w:color w:val="777777"/>
          <w:sz w:val="27"/>
        </w:rPr>
        <w:t>release of the information could produce a qualitative change to the package of information disclosed to the public by the Company; or</w:t>
      </w:r>
    </w:p>
    <w:p>
      <w:pPr>
        <w:pStyle w:val="TextBody"/>
        <w:bidi w:val="0"/>
        <w:spacing w:before="0" w:after="0"/>
        <w:jc w:val="left"/>
        <w:rPr>
          <w:color w:val="777777"/>
        </w:rPr>
      </w:pPr>
      <w:r>
        <w:rPr>
          <w:color w:val="777777"/>
        </w:rPr>
        <w:t>•</w:t>
      </w:r>
    </w:p>
    <w:p>
      <w:pPr>
        <w:pStyle w:val="TextBody"/>
        <w:bidi w:val="0"/>
        <w:jc w:val="left"/>
        <w:rPr>
          <w:rFonts w:ascii="Arial" w:hAnsi="Arial"/>
          <w:color w:val="777777"/>
          <w:sz w:val="27"/>
        </w:rPr>
      </w:pPr>
      <w:r>
        <w:rPr>
          <w:rFonts w:ascii="Arial" w:hAnsi="Arial"/>
          <w:color w:val="777777"/>
          <w:sz w:val="27"/>
        </w:rPr>
        <w:t>public disclosure of the information would be likely to have a significant effect on the market price of Company Securities.</w:t>
      </w:r>
    </w:p>
    <w:p>
      <w:pPr>
        <w:pStyle w:val="TextBody"/>
        <w:bidi w:val="0"/>
        <w:spacing w:before="0" w:after="225"/>
        <w:jc w:val="left"/>
        <w:rPr>
          <w:rFonts w:ascii="Arial" w:hAnsi="Arial"/>
          <w:color w:val="777777"/>
          <w:sz w:val="27"/>
        </w:rPr>
      </w:pPr>
      <w:r>
        <w:rPr>
          <w:rFonts w:ascii="Arial" w:hAnsi="Arial"/>
          <w:color w:val="777777"/>
          <w:sz w:val="27"/>
        </w:rPr>
        <w:t>Material information can be positive or negative and can relate to virtually any aspect of the Company's business. Information that is or may be material includes (but is not limited to) the following, depending upon all facts and circumstances at the time of assessment:</w:t>
      </w:r>
    </w:p>
    <w:p>
      <w:pPr>
        <w:pStyle w:val="TextBody"/>
        <w:bidi w:val="0"/>
        <w:spacing w:before="0" w:after="0"/>
        <w:jc w:val="left"/>
        <w:rPr>
          <w:color w:val="777777"/>
        </w:rPr>
      </w:pPr>
      <w:r>
        <w:rPr>
          <w:color w:val="777777"/>
        </w:rPr>
        <w:t>•</w:t>
      </w:r>
    </w:p>
    <w:p>
      <w:pPr>
        <w:pStyle w:val="TextBody"/>
        <w:bidi w:val="0"/>
        <w:spacing w:before="0" w:after="0"/>
        <w:jc w:val="left"/>
        <w:rPr>
          <w:rFonts w:ascii="Arial" w:hAnsi="Arial"/>
          <w:color w:val="777777"/>
          <w:sz w:val="27"/>
        </w:rPr>
      </w:pPr>
      <w:r>
        <w:rPr>
          <w:rFonts w:ascii="Arial" w:hAnsi="Arial"/>
          <w:color w:val="777777"/>
          <w:sz w:val="27"/>
        </w:rPr>
        <w:t>unpublished financial or operating results, positive or negative;</w:t>
      </w:r>
    </w:p>
    <w:p>
      <w:pPr>
        <w:pStyle w:val="TextBody"/>
        <w:bidi w:val="0"/>
        <w:spacing w:before="0" w:after="0"/>
        <w:jc w:val="left"/>
        <w:rPr>
          <w:color w:val="777777"/>
        </w:rPr>
      </w:pPr>
      <w:r>
        <w:rPr>
          <w:color w:val="777777"/>
        </w:rPr>
        <w:t>•</w:t>
      </w:r>
    </w:p>
    <w:p>
      <w:pPr>
        <w:pStyle w:val="TextBody"/>
        <w:bidi w:val="0"/>
        <w:spacing w:before="0" w:after="0"/>
        <w:jc w:val="left"/>
        <w:rPr>
          <w:rFonts w:ascii="Arial" w:hAnsi="Arial"/>
          <w:color w:val="777777"/>
          <w:sz w:val="27"/>
        </w:rPr>
      </w:pPr>
      <w:r>
        <w:rPr>
          <w:rFonts w:ascii="Arial" w:hAnsi="Arial"/>
          <w:color w:val="777777"/>
          <w:sz w:val="27"/>
        </w:rPr>
        <w:t>projections or changes in projections of financial or operating results, upwards or downwards;</w:t>
      </w:r>
    </w:p>
    <w:p>
      <w:pPr>
        <w:pStyle w:val="TextBody"/>
        <w:bidi w:val="0"/>
        <w:spacing w:before="0" w:after="0"/>
        <w:jc w:val="left"/>
        <w:rPr>
          <w:color w:val="777777"/>
        </w:rPr>
      </w:pPr>
      <w:r>
        <w:rPr>
          <w:color w:val="777777"/>
        </w:rPr>
        <w:t>•</w:t>
      </w:r>
    </w:p>
    <w:p>
      <w:pPr>
        <w:pStyle w:val="TextBody"/>
        <w:bidi w:val="0"/>
        <w:spacing w:before="0" w:after="0"/>
        <w:jc w:val="left"/>
        <w:rPr>
          <w:rFonts w:ascii="Arial" w:hAnsi="Arial"/>
          <w:color w:val="777777"/>
          <w:sz w:val="27"/>
        </w:rPr>
      </w:pPr>
      <w:r>
        <w:rPr>
          <w:rFonts w:ascii="Arial" w:hAnsi="Arial"/>
          <w:color w:val="777777"/>
          <w:sz w:val="27"/>
        </w:rPr>
        <w:t>a pending or proposed corporate transaction involving the Company, such as merger, acquisition or divestiture;</w:t>
      </w:r>
    </w:p>
    <w:p>
      <w:pPr>
        <w:pStyle w:val="TextBody"/>
        <w:bidi w:val="0"/>
        <w:spacing w:before="0" w:after="0"/>
        <w:jc w:val="left"/>
        <w:rPr>
          <w:color w:val="777777"/>
        </w:rPr>
      </w:pPr>
      <w:r>
        <w:rPr>
          <w:color w:val="777777"/>
        </w:rPr>
        <w:t>•</w:t>
      </w:r>
    </w:p>
    <w:p>
      <w:pPr>
        <w:pStyle w:val="TextBody"/>
        <w:bidi w:val="0"/>
        <w:spacing w:before="0" w:after="0"/>
        <w:jc w:val="left"/>
        <w:rPr>
          <w:rFonts w:ascii="Arial" w:hAnsi="Arial"/>
          <w:color w:val="777777"/>
          <w:sz w:val="27"/>
        </w:rPr>
      </w:pPr>
      <w:r>
        <w:rPr>
          <w:rFonts w:ascii="Arial" w:hAnsi="Arial"/>
          <w:color w:val="777777"/>
          <w:sz w:val="27"/>
        </w:rPr>
        <w:t>a pending or proposed public offering or private placement of securities of the Company or other financing for the Company outside of the ordinary course of business;</w:t>
      </w:r>
    </w:p>
    <w:p>
      <w:pPr>
        <w:pStyle w:val="TextBody"/>
        <w:bidi w:val="0"/>
        <w:spacing w:before="0" w:after="0"/>
        <w:jc w:val="left"/>
        <w:rPr>
          <w:color w:val="777777"/>
        </w:rPr>
      </w:pPr>
      <w:r>
        <w:rPr>
          <w:color w:val="777777"/>
        </w:rPr>
        <w:t>•</w:t>
      </w:r>
    </w:p>
    <w:p>
      <w:pPr>
        <w:pStyle w:val="TextBody"/>
        <w:bidi w:val="0"/>
        <w:spacing w:before="0" w:after="0"/>
        <w:jc w:val="left"/>
        <w:rPr>
          <w:rFonts w:ascii="Arial" w:hAnsi="Arial"/>
          <w:color w:val="777777"/>
          <w:sz w:val="27"/>
        </w:rPr>
      </w:pPr>
      <w:r>
        <w:rPr>
          <w:rFonts w:ascii="Arial" w:hAnsi="Arial"/>
          <w:color w:val="777777"/>
          <w:sz w:val="27"/>
        </w:rPr>
        <w:t>a pending or proposed repurchase or redemption of Company Securities;</w:t>
      </w:r>
    </w:p>
    <w:p>
      <w:pPr>
        <w:pStyle w:val="TextBody"/>
        <w:bidi w:val="0"/>
        <w:spacing w:before="0" w:after="0"/>
        <w:jc w:val="left"/>
        <w:rPr>
          <w:color w:val="777777"/>
        </w:rPr>
      </w:pPr>
      <w:r>
        <w:rPr>
          <w:color w:val="777777"/>
        </w:rPr>
        <w:t>•</w:t>
      </w:r>
    </w:p>
    <w:p>
      <w:pPr>
        <w:pStyle w:val="TextBody"/>
        <w:bidi w:val="0"/>
        <w:spacing w:before="0" w:after="0"/>
        <w:jc w:val="left"/>
        <w:rPr>
          <w:rFonts w:ascii="Arial" w:hAnsi="Arial"/>
          <w:color w:val="777777"/>
          <w:sz w:val="27"/>
        </w:rPr>
      </w:pPr>
      <w:r>
        <w:rPr>
          <w:rFonts w:ascii="Arial" w:hAnsi="Arial"/>
          <w:color w:val="777777"/>
          <w:sz w:val="27"/>
        </w:rPr>
        <w:t>changes in the Company's relationship with a governmental payor or other significant third-party payor;</w:t>
      </w:r>
    </w:p>
    <w:p>
      <w:pPr>
        <w:pStyle w:val="TextBody"/>
        <w:bidi w:val="0"/>
        <w:spacing w:before="0" w:after="0"/>
        <w:jc w:val="left"/>
        <w:rPr>
          <w:color w:val="777777"/>
        </w:rPr>
      </w:pPr>
      <w:r>
        <w:rPr>
          <w:color w:val="777777"/>
        </w:rPr>
        <w:t>•</w:t>
      </w:r>
    </w:p>
    <w:p>
      <w:pPr>
        <w:pStyle w:val="TextBody"/>
        <w:bidi w:val="0"/>
        <w:spacing w:before="0" w:after="0"/>
        <w:jc w:val="left"/>
        <w:rPr>
          <w:rFonts w:ascii="Arial" w:hAnsi="Arial"/>
          <w:color w:val="777777"/>
          <w:sz w:val="27"/>
        </w:rPr>
      </w:pPr>
      <w:r>
        <w:rPr>
          <w:rFonts w:ascii="Arial" w:hAnsi="Arial"/>
          <w:color w:val="777777"/>
          <w:sz w:val="27"/>
        </w:rPr>
        <w:t>changes in senior management;</w:t>
      </w:r>
    </w:p>
    <w:p>
      <w:pPr>
        <w:pStyle w:val="TextBody"/>
        <w:bidi w:val="0"/>
        <w:spacing w:before="0" w:after="0"/>
        <w:jc w:val="left"/>
        <w:rPr>
          <w:color w:val="777777"/>
        </w:rPr>
      </w:pPr>
      <w:r>
        <w:rPr>
          <w:color w:val="777777"/>
        </w:rPr>
        <w:t>•</w:t>
      </w:r>
    </w:p>
    <w:p>
      <w:pPr>
        <w:pStyle w:val="TextBody"/>
        <w:bidi w:val="0"/>
        <w:jc w:val="left"/>
        <w:rPr>
          <w:rFonts w:ascii="Arial" w:hAnsi="Arial"/>
          <w:color w:val="777777"/>
          <w:sz w:val="27"/>
        </w:rPr>
      </w:pPr>
      <w:r>
        <w:rPr>
          <w:rFonts w:ascii="Arial" w:hAnsi="Arial"/>
          <w:color w:val="777777"/>
          <w:sz w:val="27"/>
        </w:rPr>
        <w:t>execution of a business contract that is important to the Company financially, strategically or otherwise;</w:t>
      </w:r>
    </w:p>
    <w:p>
      <w:pPr>
        <w:pStyle w:val="TextBody"/>
        <w:bidi w:val="0"/>
        <w:jc w:val="left"/>
        <w:rPr>
          <w:rFonts w:ascii="Arial" w:hAnsi="Arial"/>
          <w:color w:val="000000"/>
          <w:sz w:val="22"/>
        </w:rPr>
      </w:pPr>
      <w:r>
        <w:rPr>
          <w:rFonts w:ascii="Arial" w:hAnsi="Arial"/>
          <w:color w:val="000000"/>
          <w:sz w:val="22"/>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jc w:val="left"/>
        <w:rPr>
          <w:color w:val="777777"/>
        </w:rPr>
      </w:pPr>
      <w:r>
        <w:rPr>
          <w:color w:val="777777"/>
        </w:rPr>
        <w:t>•</w:t>
      </w:r>
    </w:p>
    <w:p>
      <w:pPr>
        <w:pStyle w:val="TextBody"/>
        <w:bidi w:val="0"/>
        <w:spacing w:before="0" w:after="0"/>
        <w:jc w:val="left"/>
        <w:rPr>
          <w:rFonts w:ascii="Arial" w:hAnsi="Arial"/>
          <w:color w:val="777777"/>
          <w:sz w:val="27"/>
        </w:rPr>
      </w:pPr>
      <w:r>
        <w:rPr>
          <w:rFonts w:ascii="Arial" w:hAnsi="Arial"/>
          <w:color w:val="777777"/>
          <w:sz w:val="27"/>
        </w:rPr>
        <w:t>significant regulatory actions or challenges;</w:t>
      </w:r>
    </w:p>
    <w:p>
      <w:pPr>
        <w:pStyle w:val="TextBody"/>
        <w:bidi w:val="0"/>
        <w:spacing w:before="0" w:after="0"/>
        <w:jc w:val="left"/>
        <w:rPr>
          <w:color w:val="777777"/>
        </w:rPr>
      </w:pPr>
      <w:r>
        <w:rPr>
          <w:color w:val="777777"/>
        </w:rPr>
        <w:t>•</w:t>
      </w:r>
    </w:p>
    <w:p>
      <w:pPr>
        <w:pStyle w:val="TextBody"/>
        <w:bidi w:val="0"/>
        <w:spacing w:before="0" w:after="0"/>
        <w:jc w:val="left"/>
        <w:rPr>
          <w:rFonts w:ascii="Arial" w:hAnsi="Arial"/>
          <w:color w:val="777777"/>
          <w:sz w:val="27"/>
        </w:rPr>
      </w:pPr>
      <w:r>
        <w:rPr>
          <w:rFonts w:ascii="Arial" w:hAnsi="Arial"/>
          <w:color w:val="777777"/>
          <w:sz w:val="27"/>
        </w:rPr>
        <w:t>pending or threatened litigation of potential significance to the Company, or settlement or other resolution of ongoing litigation;</w:t>
      </w:r>
    </w:p>
    <w:p>
      <w:pPr>
        <w:pStyle w:val="TextBody"/>
        <w:bidi w:val="0"/>
        <w:spacing w:before="0" w:after="0"/>
        <w:jc w:val="left"/>
        <w:rPr>
          <w:color w:val="777777"/>
        </w:rPr>
      </w:pPr>
      <w:r>
        <w:rPr>
          <w:color w:val="777777"/>
        </w:rPr>
        <w:t>•</w:t>
      </w:r>
    </w:p>
    <w:p>
      <w:pPr>
        <w:pStyle w:val="TextBody"/>
        <w:bidi w:val="0"/>
        <w:spacing w:before="0" w:after="0"/>
        <w:jc w:val="left"/>
        <w:rPr>
          <w:rFonts w:ascii="Arial" w:hAnsi="Arial"/>
          <w:color w:val="777777"/>
          <w:sz w:val="27"/>
        </w:rPr>
      </w:pPr>
      <w:r>
        <w:rPr>
          <w:rFonts w:ascii="Arial" w:hAnsi="Arial"/>
          <w:color w:val="777777"/>
          <w:sz w:val="27"/>
        </w:rPr>
        <w:t>a change in the Company's independent registered public accounting firm;</w:t>
      </w:r>
    </w:p>
    <w:p>
      <w:pPr>
        <w:pStyle w:val="TextBody"/>
        <w:bidi w:val="0"/>
        <w:spacing w:before="0" w:after="0"/>
        <w:jc w:val="left"/>
        <w:rPr>
          <w:color w:val="777777"/>
        </w:rPr>
      </w:pPr>
      <w:r>
        <w:rPr>
          <w:color w:val="777777"/>
        </w:rPr>
        <w:t>•</w:t>
      </w:r>
    </w:p>
    <w:p>
      <w:pPr>
        <w:pStyle w:val="TextBody"/>
        <w:bidi w:val="0"/>
        <w:spacing w:before="0" w:after="0"/>
        <w:jc w:val="left"/>
        <w:rPr>
          <w:rFonts w:ascii="Arial" w:hAnsi="Arial"/>
          <w:color w:val="777777"/>
          <w:sz w:val="27"/>
        </w:rPr>
      </w:pPr>
      <w:r>
        <w:rPr>
          <w:rFonts w:ascii="Arial" w:hAnsi="Arial"/>
          <w:color w:val="777777"/>
          <w:sz w:val="27"/>
        </w:rPr>
        <w:t>the need to restate financial statements;</w:t>
      </w:r>
    </w:p>
    <w:p>
      <w:pPr>
        <w:pStyle w:val="TextBody"/>
        <w:bidi w:val="0"/>
        <w:spacing w:before="0" w:after="0"/>
        <w:jc w:val="left"/>
        <w:rPr>
          <w:color w:val="777777"/>
        </w:rPr>
      </w:pPr>
      <w:r>
        <w:rPr>
          <w:color w:val="777777"/>
        </w:rPr>
        <w:t>•</w:t>
      </w:r>
    </w:p>
    <w:p>
      <w:pPr>
        <w:pStyle w:val="TextBody"/>
        <w:bidi w:val="0"/>
        <w:spacing w:before="0" w:after="0"/>
        <w:jc w:val="left"/>
        <w:rPr>
          <w:rFonts w:ascii="Arial" w:hAnsi="Arial"/>
          <w:color w:val="777777"/>
          <w:sz w:val="27"/>
        </w:rPr>
      </w:pPr>
      <w:r>
        <w:rPr>
          <w:rFonts w:ascii="Arial" w:hAnsi="Arial"/>
          <w:color w:val="777777"/>
          <w:sz w:val="27"/>
        </w:rPr>
        <w:t>impending bankruptcy or liquidity problems; and</w:t>
      </w:r>
    </w:p>
    <w:p>
      <w:pPr>
        <w:pStyle w:val="TextBody"/>
        <w:bidi w:val="0"/>
        <w:spacing w:before="0" w:after="0"/>
        <w:jc w:val="left"/>
        <w:rPr>
          <w:color w:val="777777"/>
        </w:rPr>
      </w:pPr>
      <w:r>
        <w:rPr>
          <w:color w:val="777777"/>
        </w:rPr>
        <w:t>•</w:t>
      </w:r>
    </w:p>
    <w:p>
      <w:pPr>
        <w:pStyle w:val="TextBody"/>
        <w:bidi w:val="0"/>
        <w:jc w:val="left"/>
        <w:rPr/>
      </w:pPr>
      <w:r>
        <w:rPr>
          <w:rFonts w:ascii="Arial" w:hAnsi="Arial"/>
          <w:color w:val="777777"/>
          <w:sz w:val="27"/>
        </w:rPr>
        <w:t>other events or developments that the Company is required to disclose in a Form 8-K to be filed with the Securities and Exchange Commission ("</w:t>
      </w:r>
      <w:r>
        <w:rPr>
          <w:rFonts w:ascii="Arial" w:hAnsi="Arial"/>
          <w:b/>
          <w:color w:val="777777"/>
          <w:sz w:val="27"/>
        </w:rPr>
        <w:t>SEC</w:t>
      </w:r>
      <w:r>
        <w:rPr>
          <w:rFonts w:ascii="Arial" w:hAnsi="Arial"/>
          <w:color w:val="777777"/>
          <w:sz w:val="27"/>
        </w:rPr>
        <w:t>").</w:t>
      </w:r>
    </w:p>
    <w:p>
      <w:pPr>
        <w:pStyle w:val="TextBody"/>
        <w:bidi w:val="0"/>
        <w:spacing w:before="0" w:after="225"/>
        <w:jc w:val="left"/>
        <w:rPr>
          <w:rFonts w:ascii="Arial" w:hAnsi="Arial"/>
          <w:b/>
          <w:color w:val="777777"/>
          <w:sz w:val="27"/>
        </w:rPr>
      </w:pPr>
      <w:r>
        <w:rPr>
          <w:rFonts w:ascii="Arial" w:hAnsi="Arial"/>
          <w:b/>
          <w:color w:val="777777"/>
          <w:sz w:val="27"/>
        </w:rPr>
        <w:t>B. When Information is "Non-public"</w:t>
      </w:r>
    </w:p>
    <w:p>
      <w:pPr>
        <w:pStyle w:val="TextBody"/>
        <w:bidi w:val="0"/>
        <w:spacing w:before="0" w:after="225"/>
        <w:jc w:val="left"/>
        <w:rPr>
          <w:rFonts w:ascii="Arial" w:hAnsi="Arial"/>
          <w:color w:val="777777"/>
          <w:sz w:val="27"/>
        </w:rPr>
      </w:pPr>
      <w:r>
        <w:rPr>
          <w:rFonts w:ascii="Arial" w:hAnsi="Arial"/>
          <w:color w:val="777777"/>
          <w:sz w:val="27"/>
        </w:rPr>
        <w:t>Information is "non-public" if it has not been disclosed to the public. In order for information to be considered public, it must be widely disseminated; for example, through:</w:t>
      </w:r>
    </w:p>
    <w:p>
      <w:pPr>
        <w:pStyle w:val="TextBody"/>
        <w:bidi w:val="0"/>
        <w:spacing w:before="0" w:after="0"/>
        <w:jc w:val="left"/>
        <w:rPr>
          <w:color w:val="777777"/>
        </w:rPr>
      </w:pPr>
      <w:r>
        <w:rPr>
          <w:color w:val="777777"/>
        </w:rPr>
        <w:t>•</w:t>
      </w:r>
    </w:p>
    <w:p>
      <w:pPr>
        <w:pStyle w:val="TextBody"/>
        <w:bidi w:val="0"/>
        <w:spacing w:before="0" w:after="0"/>
        <w:jc w:val="left"/>
        <w:rPr>
          <w:rFonts w:ascii="Arial" w:hAnsi="Arial"/>
          <w:color w:val="777777"/>
          <w:sz w:val="27"/>
        </w:rPr>
      </w:pPr>
      <w:r>
        <w:rPr>
          <w:rFonts w:ascii="Arial" w:hAnsi="Arial"/>
          <w:color w:val="777777"/>
          <w:sz w:val="27"/>
        </w:rPr>
        <w:t>newswire releases;</w:t>
      </w:r>
    </w:p>
    <w:p>
      <w:pPr>
        <w:pStyle w:val="TextBody"/>
        <w:bidi w:val="0"/>
        <w:spacing w:before="0" w:after="0"/>
        <w:jc w:val="left"/>
        <w:rPr>
          <w:color w:val="777777"/>
        </w:rPr>
      </w:pPr>
      <w:r>
        <w:rPr>
          <w:color w:val="777777"/>
        </w:rPr>
        <w:t>•</w:t>
      </w:r>
    </w:p>
    <w:p>
      <w:pPr>
        <w:pStyle w:val="TextBody"/>
        <w:bidi w:val="0"/>
        <w:spacing w:before="0" w:after="0"/>
        <w:jc w:val="left"/>
        <w:rPr>
          <w:rFonts w:ascii="Arial" w:hAnsi="Arial"/>
          <w:color w:val="777777"/>
          <w:sz w:val="27"/>
        </w:rPr>
      </w:pPr>
      <w:r>
        <w:rPr>
          <w:rFonts w:ascii="Arial" w:hAnsi="Arial"/>
          <w:color w:val="777777"/>
          <w:sz w:val="27"/>
        </w:rPr>
        <w:t>widely available broadcasts on television and radio;</w:t>
      </w:r>
    </w:p>
    <w:p>
      <w:pPr>
        <w:pStyle w:val="TextBody"/>
        <w:bidi w:val="0"/>
        <w:spacing w:before="0" w:after="0"/>
        <w:jc w:val="left"/>
        <w:rPr>
          <w:color w:val="777777"/>
        </w:rPr>
      </w:pPr>
      <w:r>
        <w:rPr>
          <w:color w:val="777777"/>
        </w:rPr>
        <w:t>•</w:t>
      </w:r>
    </w:p>
    <w:p>
      <w:pPr>
        <w:pStyle w:val="TextBody"/>
        <w:bidi w:val="0"/>
        <w:spacing w:before="0" w:after="0"/>
        <w:jc w:val="left"/>
        <w:rPr>
          <w:rFonts w:ascii="Arial" w:hAnsi="Arial"/>
          <w:color w:val="777777"/>
          <w:sz w:val="27"/>
        </w:rPr>
      </w:pPr>
      <w:r>
        <w:rPr>
          <w:rFonts w:ascii="Arial" w:hAnsi="Arial"/>
          <w:color w:val="777777"/>
          <w:sz w:val="27"/>
        </w:rPr>
        <w:t>publication in widely available newspapers or news websites; or</w:t>
      </w:r>
    </w:p>
    <w:p>
      <w:pPr>
        <w:pStyle w:val="TextBody"/>
        <w:bidi w:val="0"/>
        <w:spacing w:before="0" w:after="0"/>
        <w:jc w:val="left"/>
        <w:rPr>
          <w:color w:val="777777"/>
        </w:rPr>
      </w:pPr>
      <w:r>
        <w:rPr>
          <w:color w:val="777777"/>
        </w:rPr>
        <w:t>•</w:t>
      </w:r>
    </w:p>
    <w:p>
      <w:pPr>
        <w:pStyle w:val="TextBody"/>
        <w:bidi w:val="0"/>
        <w:jc w:val="left"/>
        <w:rPr>
          <w:rFonts w:ascii="Arial" w:hAnsi="Arial"/>
          <w:color w:val="777777"/>
          <w:sz w:val="27"/>
        </w:rPr>
      </w:pPr>
      <w:r>
        <w:rPr>
          <w:rFonts w:ascii="Arial" w:hAnsi="Arial"/>
          <w:color w:val="777777"/>
          <w:sz w:val="27"/>
        </w:rPr>
        <w:t>disclosure in the Company's periodic reports filed with the SEC.</w:t>
      </w:r>
    </w:p>
    <w:p>
      <w:pPr>
        <w:pStyle w:val="TextBody"/>
        <w:bidi w:val="0"/>
        <w:spacing w:before="0" w:after="225"/>
        <w:jc w:val="left"/>
        <w:rPr>
          <w:rFonts w:ascii="Arial" w:hAnsi="Arial"/>
          <w:color w:val="777777"/>
          <w:sz w:val="27"/>
        </w:rPr>
      </w:pPr>
      <w:r>
        <w:rPr>
          <w:rFonts w:ascii="Arial" w:hAnsi="Arial"/>
          <w:color w:val="777777"/>
          <w:sz w:val="27"/>
        </w:rPr>
        <w:t>After a wide dissemination of material information, a reasonable period of time must elapse for the investing public to process the information. As a rule of thumb, one full trading day following wide dissemination is regarded as a reasonable waiting period before such information is deemed to be "public" and no longer "non-public" for purposes of this Policy. A Compliance Officer may determine that a different waiting period is appropriate with respect to particular Company disclosures based upon prevailing facts and circumstances. For the avoidance of doubt, Covered Persons should consult a Compliance Officer when contemplating transactions in Company Securities shortly after public disclosures by the Company.</w:t>
      </w:r>
    </w:p>
    <w:p>
      <w:pPr>
        <w:pStyle w:val="TextBody"/>
        <w:bidi w:val="0"/>
        <w:spacing w:before="0" w:after="225"/>
        <w:jc w:val="left"/>
        <w:rPr>
          <w:rFonts w:ascii="Arial" w:hAnsi="Arial"/>
          <w:b/>
          <w:color w:val="777777"/>
          <w:sz w:val="27"/>
        </w:rPr>
      </w:pPr>
      <w:r>
        <w:rPr>
          <w:rFonts w:ascii="Arial" w:hAnsi="Arial"/>
          <w:b/>
          <w:color w:val="777777"/>
          <w:sz w:val="27"/>
        </w:rPr>
        <w:t>C. Be Mindful of How a Transaction May be Viewed in Hindsight</w:t>
      </w:r>
    </w:p>
    <w:p>
      <w:pPr>
        <w:pStyle w:val="TextBody"/>
        <w:bidi w:val="0"/>
        <w:spacing w:before="0" w:after="225"/>
        <w:jc w:val="left"/>
        <w:rPr>
          <w:rFonts w:ascii="Arial" w:hAnsi="Arial"/>
          <w:color w:val="777777"/>
          <w:sz w:val="27"/>
        </w:rPr>
      </w:pPr>
      <w:r>
        <w:rPr>
          <w:rFonts w:ascii="Arial" w:hAnsi="Arial"/>
          <w:color w:val="777777"/>
          <w:sz w:val="27"/>
        </w:rPr>
        <w:t>If a particular transaction (or group of transactions) is challenged by enforcement authorities, it will be viewed with the benefit of hindsight. As a result, before engaging in any transaction, a Covered Person should give careful thought to whether any facts and circumstances exist that could raise suspicions about the propriety of the proposed transaction after the fact; for example, as to whether information that the Covered Person has become aware of may be construed as "material" and "non-public." Again, in the event of any doubt, Covered Persons should consult a Compliance Officer when contemplating transactions in Company Securities.</w:t>
      </w:r>
    </w:p>
    <w:p>
      <w:pPr>
        <w:pStyle w:val="TextBody"/>
        <w:bidi w:val="0"/>
        <w:jc w:val="left"/>
        <w:rPr>
          <w:rFonts w:ascii="Arial" w:hAnsi="Arial"/>
          <w:color w:val="000000"/>
          <w:sz w:val="22"/>
        </w:rPr>
      </w:pPr>
      <w:r>
        <w:rPr>
          <w:rFonts w:ascii="Arial" w:hAnsi="Arial"/>
          <w:color w:val="000000"/>
          <w:sz w:val="22"/>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25"/>
        <w:jc w:val="left"/>
        <w:rPr>
          <w:rFonts w:ascii="Arial" w:hAnsi="Arial"/>
          <w:b/>
          <w:color w:val="777777"/>
          <w:sz w:val="24"/>
        </w:rPr>
      </w:pPr>
      <w:r>
        <w:rPr>
          <w:rFonts w:ascii="Arial" w:hAnsi="Arial"/>
          <w:b/>
          <w:color w:val="777777"/>
          <w:sz w:val="24"/>
        </w:rPr>
        <w:t>VII. Guidelines</w:t>
      </w:r>
    </w:p>
    <w:p>
      <w:pPr>
        <w:pStyle w:val="TextBody"/>
        <w:bidi w:val="0"/>
        <w:spacing w:before="0" w:after="225"/>
        <w:jc w:val="left"/>
        <w:rPr>
          <w:rFonts w:ascii="Arial" w:hAnsi="Arial"/>
          <w:b/>
          <w:color w:val="777777"/>
          <w:sz w:val="27"/>
        </w:rPr>
      </w:pPr>
      <w:r>
        <w:rPr>
          <w:rFonts w:ascii="Arial" w:hAnsi="Arial"/>
          <w:b/>
          <w:color w:val="777777"/>
          <w:sz w:val="27"/>
        </w:rPr>
        <w:t>A. Non-disclosure of Material Non-public Information</w:t>
      </w:r>
    </w:p>
    <w:p>
      <w:pPr>
        <w:pStyle w:val="TextBody"/>
        <w:bidi w:val="0"/>
        <w:spacing w:before="0" w:after="225"/>
        <w:jc w:val="left"/>
        <w:rPr>
          <w:rFonts w:ascii="Arial" w:hAnsi="Arial"/>
          <w:color w:val="777777"/>
          <w:sz w:val="27"/>
        </w:rPr>
      </w:pPr>
      <w:r>
        <w:rPr>
          <w:rFonts w:ascii="Arial" w:hAnsi="Arial"/>
          <w:color w:val="777777"/>
          <w:sz w:val="27"/>
        </w:rPr>
        <w:t>Material non-public information must not be disclosed to anyone unless it has first been widely disseminated to the public as described above, except to other Company personnel who have a need to know the information and are bound by a confidentiality obligation to the Company and covered by this Policy, or third party agents of the Company (such as accountants, investment bankers or outside legal counsel) whose positions require them to have access to such information, and who are bound by a professional obligation to protect its confidentiality.</w:t>
      </w:r>
    </w:p>
    <w:p>
      <w:pPr>
        <w:pStyle w:val="TextBody"/>
        <w:bidi w:val="0"/>
        <w:spacing w:before="0" w:after="225"/>
        <w:jc w:val="left"/>
        <w:rPr>
          <w:rFonts w:ascii="Arial" w:hAnsi="Arial"/>
          <w:b/>
          <w:color w:val="777777"/>
          <w:sz w:val="27"/>
        </w:rPr>
      </w:pPr>
      <w:r>
        <w:rPr>
          <w:rFonts w:ascii="Arial" w:hAnsi="Arial"/>
          <w:b/>
          <w:color w:val="777777"/>
          <w:sz w:val="27"/>
        </w:rPr>
        <w:t>B. Prohibited Trading in Company Securities</w:t>
      </w:r>
    </w:p>
    <w:p>
      <w:pPr>
        <w:pStyle w:val="TextBody"/>
        <w:bidi w:val="0"/>
        <w:spacing w:before="0" w:after="225"/>
        <w:jc w:val="left"/>
        <w:rPr>
          <w:rFonts w:ascii="Arial" w:hAnsi="Arial"/>
          <w:color w:val="777777"/>
          <w:sz w:val="27"/>
        </w:rPr>
      </w:pPr>
      <w:r>
        <w:rPr>
          <w:rFonts w:ascii="Arial" w:hAnsi="Arial"/>
          <w:color w:val="777777"/>
          <w:sz w:val="27"/>
        </w:rPr>
        <w:t>No Covered Person may place a purchase or sell order or recommend that another person place a purchase or sell order in Company Securities when he or she is aware of material non-public information concerning the Company that has not been disclosed to the public. As noted above, for purposes of the prohibition expressed in this Policy, "Company Securities" should be construed broadly, and the terms "purchase" or "sell" should also be interpreted broadly to include transactions involving Company Securities such as elections or changes in elections under Company Securities purchase plans, loans, pledges, gifts, charitable donations and other contributions of Company Securities.</w:t>
      </w:r>
    </w:p>
    <w:p>
      <w:pPr>
        <w:pStyle w:val="TextBody"/>
        <w:bidi w:val="0"/>
        <w:spacing w:before="0" w:after="225"/>
        <w:jc w:val="left"/>
        <w:rPr>
          <w:rFonts w:ascii="Arial" w:hAnsi="Arial"/>
          <w:b/>
          <w:color w:val="777777"/>
          <w:sz w:val="27"/>
        </w:rPr>
      </w:pPr>
      <w:r>
        <w:rPr>
          <w:rFonts w:ascii="Arial" w:hAnsi="Arial"/>
          <w:b/>
          <w:color w:val="777777"/>
          <w:sz w:val="27"/>
        </w:rPr>
        <w:t>C. "Tipping" Information to Others</w:t>
      </w:r>
    </w:p>
    <w:p>
      <w:pPr>
        <w:pStyle w:val="TextBody"/>
        <w:bidi w:val="0"/>
        <w:spacing w:before="0" w:after="225"/>
        <w:jc w:val="left"/>
        <w:rPr>
          <w:rFonts w:ascii="Arial" w:hAnsi="Arial"/>
          <w:color w:val="777777"/>
          <w:sz w:val="27"/>
        </w:rPr>
      </w:pPr>
      <w:r>
        <w:rPr>
          <w:rFonts w:ascii="Arial" w:hAnsi="Arial"/>
          <w:color w:val="777777"/>
          <w:sz w:val="27"/>
        </w:rPr>
        <w:t>Covered Persons may be liable for communicating or tipping material non-public information to any third party ("tippee"). Further, insider trading violations are not limited to trading or tipping by Covered Persons. Persons other than Covered Persons also can be liable for insider trading, including tippees who trade on material non-public information tipped to them and individuals who trade on material non-public information which has been misappropriated.</w:t>
      </w:r>
    </w:p>
    <w:p>
      <w:pPr>
        <w:pStyle w:val="TextBody"/>
        <w:bidi w:val="0"/>
        <w:spacing w:before="0" w:after="225"/>
        <w:jc w:val="left"/>
        <w:rPr>
          <w:rFonts w:ascii="Times New Roman" w:hAnsi="Times New Roman"/>
          <w:sz w:val="20"/>
        </w:rPr>
      </w:pPr>
      <w:r>
        <w:rPr>
          <w:rFonts w:ascii="Arial" w:hAnsi="Arial"/>
          <w:color w:val="777777"/>
          <w:sz w:val="27"/>
        </w:rPr>
        <w:t>Tippees inherit a Covered Person's duties under this Policy and applicable insider trading laws and may be held liable for trading on material non-public information illegally tipped to them by a Covered Person. Similarly, just as Covered Persons are liable for the insider trading of their tippees, so are tippees who communicate the information to others who trade. In other words, a tippee's liability for insider trading is no different from that of a Covered Person. Tippees can obtain material non-public information in deliberate</w:t>
      </w:r>
      <w:r>
        <w:rPr>
          <w:rFonts w:ascii="Times New Roman" w:hAnsi="Times New Roman"/>
          <w:color w:val="777777"/>
          <w:sz w:val="20"/>
        </w:rPr>
        <w:t xml:space="preserve"> </w:t>
      </w:r>
    </w:p>
    <w:p>
      <w:pPr>
        <w:pStyle w:val="TextBody"/>
        <w:bidi w:val="0"/>
        <w:jc w:val="left"/>
        <w:rPr>
          <w:rFonts w:ascii="Arial" w:hAnsi="Arial"/>
          <w:color w:val="000000"/>
          <w:sz w:val="22"/>
        </w:rPr>
      </w:pPr>
      <w:r>
        <w:rPr>
          <w:rFonts w:ascii="Arial" w:hAnsi="Arial"/>
          <w:color w:val="000000"/>
          <w:sz w:val="22"/>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25"/>
        <w:jc w:val="left"/>
        <w:rPr>
          <w:rFonts w:ascii="Arial" w:hAnsi="Arial"/>
          <w:color w:val="777777"/>
          <w:sz w:val="27"/>
        </w:rPr>
      </w:pPr>
      <w:r>
        <w:rPr>
          <w:rFonts w:ascii="Arial" w:hAnsi="Arial"/>
          <w:color w:val="777777"/>
          <w:sz w:val="27"/>
        </w:rPr>
        <w:t>ways, such as the direct receipt of a tip, or in less deliberate or obvious ways, such as conversing at social, business or other gatherings.</w:t>
      </w:r>
    </w:p>
    <w:p>
      <w:pPr>
        <w:pStyle w:val="TextBody"/>
        <w:bidi w:val="0"/>
        <w:spacing w:before="0" w:after="225"/>
        <w:jc w:val="left"/>
        <w:rPr>
          <w:rFonts w:ascii="Arial" w:hAnsi="Arial"/>
          <w:b/>
          <w:color w:val="777777"/>
          <w:sz w:val="27"/>
        </w:rPr>
      </w:pPr>
      <w:r>
        <w:rPr>
          <w:rFonts w:ascii="Arial" w:hAnsi="Arial"/>
          <w:b/>
          <w:color w:val="777777"/>
          <w:sz w:val="27"/>
        </w:rPr>
        <w:t>D. Prohibitions Involving Securities of Other Companies</w:t>
      </w:r>
    </w:p>
    <w:p>
      <w:pPr>
        <w:pStyle w:val="TextBody"/>
        <w:bidi w:val="0"/>
        <w:spacing w:before="0" w:after="225"/>
        <w:jc w:val="left"/>
        <w:rPr>
          <w:rFonts w:ascii="Arial" w:hAnsi="Arial"/>
          <w:color w:val="777777"/>
          <w:sz w:val="27"/>
        </w:rPr>
      </w:pPr>
      <w:r>
        <w:rPr>
          <w:rFonts w:ascii="Arial" w:hAnsi="Arial"/>
          <w:color w:val="777777"/>
          <w:sz w:val="27"/>
        </w:rPr>
        <w:t>As described in paragraphs A and C above, no Covered Person may disclose material non-public information or "tip" information to others to the extent the Covered Person becomes aware of material non-public information about another company in the course of his or her business activities on behalf of the Company. No Covered Person may place a purchase or sell order or recommend that another person place a purchase or sell order in the securities of another company if he or she becomes aware of material non-public information concerning that company in the course of his or her business activities on behalf of the Company.</w:t>
      </w:r>
    </w:p>
    <w:p>
      <w:pPr>
        <w:pStyle w:val="TextBody"/>
        <w:bidi w:val="0"/>
        <w:spacing w:before="0" w:after="225"/>
        <w:jc w:val="left"/>
        <w:rPr>
          <w:rFonts w:ascii="Arial" w:hAnsi="Arial"/>
          <w:b/>
          <w:color w:val="777777"/>
          <w:sz w:val="27"/>
        </w:rPr>
      </w:pPr>
      <w:r>
        <w:rPr>
          <w:rFonts w:ascii="Arial" w:hAnsi="Arial"/>
          <w:b/>
          <w:color w:val="777777"/>
          <w:sz w:val="27"/>
        </w:rPr>
        <w:t>E. No Hedging of Company Securities</w:t>
      </w:r>
    </w:p>
    <w:p>
      <w:pPr>
        <w:pStyle w:val="TextBody"/>
        <w:bidi w:val="0"/>
        <w:spacing w:before="0" w:after="225"/>
        <w:jc w:val="left"/>
        <w:rPr>
          <w:rFonts w:ascii="Arial" w:hAnsi="Arial"/>
          <w:color w:val="777777"/>
          <w:sz w:val="27"/>
        </w:rPr>
      </w:pPr>
      <w:r>
        <w:rPr>
          <w:rFonts w:ascii="Arial" w:hAnsi="Arial"/>
          <w:color w:val="777777"/>
          <w:sz w:val="27"/>
        </w:rPr>
        <w:t>The Company believes that purchases of hedging instruments that protect against downward changes in the Company's stock price can result in the purchaser no longer having the same objectives as the Company's other stockholders because he or she is no longer subject to the full risks of stock ownership. Accordingly, no employee of the Company or member of the Company's Board of Directors may engage in any hedging transaction that would result in lack of exposure to the full risks of stock ownership. Prohibited hedging transactions include, but are not limited to, collars, forward sale contracts, trading in publicly-traded options, puts, calls or other derivative instruments related to Company stock or debt. The Dodd-Frank Wall Street Reform and Consumer Protection Act (the "Dodd-Frank Act") requires companies to disclose in the proxy materials for their annual stockholders' meetings whether any of their employees and directors are permitted to hedge against losses on their company stock.</w:t>
      </w:r>
    </w:p>
    <w:p>
      <w:pPr>
        <w:pStyle w:val="TextBody"/>
        <w:bidi w:val="0"/>
        <w:spacing w:before="0" w:after="225"/>
        <w:jc w:val="left"/>
        <w:rPr>
          <w:rFonts w:ascii="Arial" w:hAnsi="Arial"/>
          <w:b/>
          <w:color w:val="777777"/>
          <w:sz w:val="27"/>
        </w:rPr>
      </w:pPr>
      <w:r>
        <w:rPr>
          <w:rFonts w:ascii="Arial" w:hAnsi="Arial"/>
          <w:b/>
          <w:color w:val="777777"/>
          <w:sz w:val="27"/>
        </w:rPr>
        <w:t>F. Transactions by the Company</w:t>
      </w:r>
    </w:p>
    <w:p>
      <w:pPr>
        <w:pStyle w:val="TextBody"/>
        <w:bidi w:val="0"/>
        <w:spacing w:before="0" w:after="225"/>
        <w:jc w:val="left"/>
        <w:rPr>
          <w:rFonts w:ascii="Arial" w:hAnsi="Arial"/>
          <w:color w:val="777777"/>
          <w:sz w:val="27"/>
        </w:rPr>
      </w:pPr>
      <w:r>
        <w:rPr>
          <w:rFonts w:ascii="Arial" w:hAnsi="Arial"/>
          <w:color w:val="777777"/>
          <w:sz w:val="27"/>
        </w:rPr>
        <w:t>The Company will comply with all applicable securities laws and regulations with respect to any transactions by the Company in Company Securities, subject to any policies and procedures adopted by the Company.</w:t>
      </w:r>
    </w:p>
    <w:p>
      <w:pPr>
        <w:pStyle w:val="TextBody"/>
        <w:bidi w:val="0"/>
        <w:spacing w:before="0" w:after="225"/>
        <w:jc w:val="left"/>
        <w:rPr>
          <w:rFonts w:ascii="Arial" w:hAnsi="Arial"/>
          <w:b/>
          <w:color w:val="777777"/>
          <w:sz w:val="24"/>
        </w:rPr>
      </w:pPr>
      <w:r>
        <w:rPr>
          <w:rFonts w:ascii="Arial" w:hAnsi="Arial"/>
          <w:b/>
          <w:color w:val="777777"/>
          <w:sz w:val="24"/>
        </w:rPr>
        <w:t>VIII. Exceptions</w:t>
      </w:r>
    </w:p>
    <w:p>
      <w:pPr>
        <w:pStyle w:val="TextBody"/>
        <w:bidi w:val="0"/>
        <w:spacing w:before="0" w:after="225"/>
        <w:jc w:val="left"/>
        <w:rPr>
          <w:rFonts w:ascii="Arial" w:hAnsi="Arial"/>
          <w:b/>
          <w:color w:val="777777"/>
          <w:sz w:val="27"/>
        </w:rPr>
      </w:pPr>
      <w:r>
        <w:rPr>
          <w:rFonts w:ascii="Arial" w:hAnsi="Arial"/>
          <w:b/>
          <w:color w:val="777777"/>
          <w:sz w:val="27"/>
        </w:rPr>
        <w:t>A. No Sale/No Purchase Transactions</w:t>
      </w:r>
    </w:p>
    <w:p>
      <w:pPr>
        <w:pStyle w:val="TextBody"/>
        <w:bidi w:val="0"/>
        <w:spacing w:before="0" w:after="225"/>
        <w:jc w:val="left"/>
        <w:rPr>
          <w:rFonts w:ascii="Times New Roman" w:hAnsi="Times New Roman"/>
          <w:sz w:val="20"/>
        </w:rPr>
      </w:pPr>
      <w:r>
        <w:rPr>
          <w:rFonts w:ascii="Arial" w:hAnsi="Arial"/>
          <w:color w:val="777777"/>
          <w:sz w:val="27"/>
        </w:rPr>
        <w:t>The prohibitions of this Policy do not apply to bona fide gifts of Company Securities (i.e., for no consideration), including gifts to family members,</w:t>
      </w:r>
      <w:r>
        <w:rPr>
          <w:rFonts w:ascii="Times New Roman" w:hAnsi="Times New Roman"/>
          <w:color w:val="777777"/>
          <w:sz w:val="20"/>
        </w:rPr>
        <w:t xml:space="preserve"> </w:t>
      </w:r>
    </w:p>
    <w:p>
      <w:pPr>
        <w:pStyle w:val="TextBody"/>
        <w:bidi w:val="0"/>
        <w:jc w:val="left"/>
        <w:rPr>
          <w:rFonts w:ascii="Arial" w:hAnsi="Arial"/>
          <w:color w:val="000000"/>
          <w:sz w:val="22"/>
        </w:rPr>
      </w:pPr>
      <w:r>
        <w:rPr>
          <w:rFonts w:ascii="Arial" w:hAnsi="Arial"/>
          <w:color w:val="000000"/>
          <w:sz w:val="22"/>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25"/>
        <w:jc w:val="left"/>
        <w:rPr>
          <w:rFonts w:ascii="Times New Roman" w:hAnsi="Times New Roman"/>
          <w:sz w:val="20"/>
        </w:rPr>
      </w:pPr>
      <w:r>
        <w:rPr>
          <w:rFonts w:ascii="Arial" w:hAnsi="Arial"/>
          <w:color w:val="777777"/>
          <w:sz w:val="27"/>
        </w:rPr>
        <w:t xml:space="preserve">charities or private foundations (unless that the Covered Person making the gift has reason to believe that the recipient intends to sell the Company Securities while the Covered Person is aware of material “non-public” information); </w:t>
      </w:r>
      <w:r>
        <w:rPr>
          <w:rFonts w:ascii="Arial" w:hAnsi="Arial"/>
          <w:i/>
          <w:color w:val="777777"/>
          <w:sz w:val="27"/>
          <w:u w:val="single"/>
        </w:rPr>
        <w:t>provided</w:t>
      </w:r>
      <w:r>
        <w:rPr>
          <w:rFonts w:ascii="Times New Roman" w:hAnsi="Times New Roman"/>
          <w:color w:val="777777"/>
          <w:sz w:val="20"/>
        </w:rPr>
        <w:t xml:space="preserve"> </w:t>
      </w:r>
      <w:r>
        <w:rPr>
          <w:rFonts w:ascii="Arial" w:hAnsi="Arial"/>
          <w:color w:val="777777"/>
          <w:sz w:val="27"/>
        </w:rPr>
        <w:t>that any bona fide gifts of Company Securities should be pre-cleared by a Compliance Officer as provided in Section IX.C. In addition, this Policy does not restrict purchases and sales of mutual funds or exchange-traded funds that invest in Company Securities in addition to securities of other companies.</w:t>
      </w:r>
    </w:p>
    <w:p>
      <w:pPr>
        <w:pStyle w:val="TextBody"/>
        <w:bidi w:val="0"/>
        <w:spacing w:before="0" w:after="225"/>
        <w:jc w:val="left"/>
        <w:rPr>
          <w:rFonts w:ascii="Arial" w:hAnsi="Arial"/>
          <w:b/>
          <w:color w:val="777777"/>
          <w:sz w:val="27"/>
        </w:rPr>
      </w:pPr>
      <w:r>
        <w:rPr>
          <w:rFonts w:ascii="Arial" w:hAnsi="Arial"/>
          <w:b/>
          <w:color w:val="777777"/>
          <w:sz w:val="27"/>
        </w:rPr>
        <w:t>B. Transactions under Company Equity Plans</w:t>
      </w:r>
    </w:p>
    <w:p>
      <w:pPr>
        <w:pStyle w:val="TextBody"/>
        <w:bidi w:val="0"/>
        <w:spacing w:before="0" w:after="225"/>
        <w:jc w:val="left"/>
        <w:rPr>
          <w:rFonts w:ascii="Arial" w:hAnsi="Arial"/>
          <w:color w:val="777777"/>
          <w:sz w:val="27"/>
        </w:rPr>
      </w:pPr>
      <w:r>
        <w:rPr>
          <w:rFonts w:ascii="Arial" w:hAnsi="Arial"/>
          <w:color w:val="777777"/>
          <w:sz w:val="27"/>
        </w:rPr>
        <w:t>The prohibitions of this Policy also apply to a Covered Person's exercise of a stock option granted under a Company equity plan as well as to any sale of Company Securities received upon exercise of an option, regardless of whether the sale is to pay the exercise price or for tax withholding. This will not apply to a Covered Person's surrender of Company Securities to the Company or the retention and withholding from delivery to the Covered Person of shares by the Company (i.e., a so-called "net settlement") upon vesting of restricted stock in satisfaction of tax withholding obligations in a manner permitted by the applicable equity award agreement or the Company equity plan pursuant to which the equity award was granted. In addition, to the extent that the transactions described in this paragraph do not involve the sale or purchase of securities by the Covered Person with persons other than the Company, Compliance Officers shall have authority to waive these restrictions in the event the Compliance Officer determines that such actions do not result in the improper use of material non-public information.</w:t>
      </w:r>
    </w:p>
    <w:p>
      <w:pPr>
        <w:pStyle w:val="TextBody"/>
        <w:bidi w:val="0"/>
        <w:spacing w:before="0" w:after="225"/>
        <w:jc w:val="left"/>
        <w:rPr>
          <w:rFonts w:ascii="Arial" w:hAnsi="Arial"/>
          <w:b/>
          <w:color w:val="777777"/>
          <w:sz w:val="24"/>
        </w:rPr>
      </w:pPr>
      <w:r>
        <w:rPr>
          <w:rFonts w:ascii="Arial" w:hAnsi="Arial"/>
          <w:b/>
          <w:color w:val="777777"/>
          <w:sz w:val="24"/>
        </w:rPr>
        <w:t>IX. Additional Provisions Applicable to Designated Insiders</w:t>
      </w:r>
    </w:p>
    <w:p>
      <w:pPr>
        <w:pStyle w:val="TextBody"/>
        <w:bidi w:val="0"/>
        <w:spacing w:before="0" w:after="225"/>
        <w:jc w:val="left"/>
        <w:rPr>
          <w:rFonts w:ascii="Arial" w:hAnsi="Arial"/>
          <w:b/>
          <w:color w:val="777777"/>
          <w:sz w:val="27"/>
        </w:rPr>
      </w:pPr>
      <w:r>
        <w:rPr>
          <w:rFonts w:ascii="Arial" w:hAnsi="Arial"/>
          <w:b/>
          <w:color w:val="777777"/>
          <w:sz w:val="27"/>
        </w:rPr>
        <w:t>A. Designated Insiders</w:t>
      </w:r>
    </w:p>
    <w:p>
      <w:pPr>
        <w:pStyle w:val="TextBody"/>
        <w:bidi w:val="0"/>
        <w:spacing w:before="0" w:after="225"/>
        <w:jc w:val="left"/>
        <w:rPr>
          <w:rFonts w:ascii="Times New Roman" w:hAnsi="Times New Roman"/>
          <w:sz w:val="20"/>
        </w:rPr>
      </w:pPr>
      <w:r>
        <w:rPr>
          <w:rFonts w:ascii="Arial" w:hAnsi="Arial"/>
          <w:color w:val="777777"/>
          <w:sz w:val="27"/>
        </w:rPr>
        <w:t>This Section IX sets forth additional provisions applicable to the following individuals associated with the Company (referring to UHS, not its subsidiaries) ("</w:t>
      </w:r>
      <w:r>
        <w:rPr>
          <w:rFonts w:ascii="Arial" w:hAnsi="Arial"/>
          <w:b/>
          <w:color w:val="777777"/>
          <w:sz w:val="27"/>
        </w:rPr>
        <w:t>Designated Insiders</w:t>
      </w:r>
      <w:r>
        <w:rPr>
          <w:rFonts w:ascii="Arial" w:hAnsi="Arial"/>
          <w:color w:val="777777"/>
          <w:sz w:val="27"/>
        </w:rPr>
        <w:t>"):</w:t>
      </w:r>
    </w:p>
    <w:p>
      <w:pPr>
        <w:pStyle w:val="TextBody"/>
        <w:bidi w:val="0"/>
        <w:spacing w:before="0" w:after="0"/>
        <w:jc w:val="left"/>
        <w:rPr>
          <w:color w:val="777777"/>
        </w:rPr>
      </w:pPr>
      <w:r>
        <w:rPr>
          <w:color w:val="777777"/>
        </w:rPr>
        <w:t>•</w:t>
      </w:r>
    </w:p>
    <w:p>
      <w:pPr>
        <w:pStyle w:val="TextBody"/>
        <w:bidi w:val="0"/>
        <w:spacing w:before="0" w:after="0"/>
        <w:jc w:val="left"/>
        <w:rPr>
          <w:rFonts w:ascii="Arial" w:hAnsi="Arial"/>
          <w:color w:val="777777"/>
          <w:sz w:val="27"/>
        </w:rPr>
      </w:pPr>
      <w:r>
        <w:rPr>
          <w:rFonts w:ascii="Arial" w:hAnsi="Arial"/>
          <w:color w:val="777777"/>
          <w:sz w:val="27"/>
        </w:rPr>
        <w:t>each member of the Board of Directors of UHS;</w:t>
      </w:r>
    </w:p>
    <w:p>
      <w:pPr>
        <w:pStyle w:val="TextBody"/>
        <w:bidi w:val="0"/>
        <w:spacing w:before="0" w:after="0"/>
        <w:jc w:val="left"/>
        <w:rPr>
          <w:color w:val="777777"/>
        </w:rPr>
      </w:pPr>
      <w:r>
        <w:rPr>
          <w:color w:val="777777"/>
        </w:rPr>
        <w:t>•</w:t>
      </w:r>
    </w:p>
    <w:p>
      <w:pPr>
        <w:pStyle w:val="TextBody"/>
        <w:bidi w:val="0"/>
        <w:spacing w:before="0" w:after="0"/>
        <w:jc w:val="left"/>
        <w:rPr>
          <w:rFonts w:ascii="Arial" w:hAnsi="Arial"/>
          <w:color w:val="777777"/>
          <w:sz w:val="27"/>
        </w:rPr>
      </w:pPr>
      <w:r>
        <w:rPr>
          <w:rFonts w:ascii="Arial" w:hAnsi="Arial"/>
          <w:color w:val="777777"/>
          <w:sz w:val="27"/>
        </w:rPr>
        <w:t>each "executive officer" of UHS, as described in Rule 3b-7 under the Exchange Act;</w:t>
      </w:r>
    </w:p>
    <w:p>
      <w:pPr>
        <w:pStyle w:val="TextBody"/>
        <w:bidi w:val="0"/>
        <w:spacing w:before="0" w:after="0"/>
        <w:jc w:val="left"/>
        <w:rPr>
          <w:color w:val="777777"/>
        </w:rPr>
      </w:pPr>
      <w:r>
        <w:rPr>
          <w:color w:val="777777"/>
        </w:rPr>
        <w:t>•</w:t>
      </w:r>
    </w:p>
    <w:p>
      <w:pPr>
        <w:pStyle w:val="TextBody"/>
        <w:bidi w:val="0"/>
        <w:spacing w:before="0" w:after="0"/>
        <w:jc w:val="left"/>
        <w:rPr>
          <w:rFonts w:ascii="Arial" w:hAnsi="Arial"/>
          <w:color w:val="777777"/>
          <w:sz w:val="27"/>
        </w:rPr>
      </w:pPr>
      <w:r>
        <w:rPr>
          <w:rFonts w:ascii="Arial" w:hAnsi="Arial"/>
          <w:color w:val="777777"/>
          <w:sz w:val="27"/>
        </w:rPr>
        <w:t>each individual designated as an "officer" of UHS; and</w:t>
      </w:r>
    </w:p>
    <w:p>
      <w:pPr>
        <w:pStyle w:val="TextBody"/>
        <w:bidi w:val="0"/>
        <w:spacing w:before="0" w:after="0"/>
        <w:jc w:val="left"/>
        <w:rPr>
          <w:color w:val="777777"/>
        </w:rPr>
      </w:pPr>
      <w:r>
        <w:rPr>
          <w:color w:val="777777"/>
        </w:rPr>
        <w:t>•</w:t>
      </w:r>
    </w:p>
    <w:p>
      <w:pPr>
        <w:pStyle w:val="TextBody"/>
        <w:bidi w:val="0"/>
        <w:jc w:val="left"/>
        <w:rPr>
          <w:rFonts w:ascii="Arial" w:hAnsi="Arial"/>
          <w:color w:val="777777"/>
          <w:sz w:val="27"/>
        </w:rPr>
      </w:pPr>
      <w:r>
        <w:rPr>
          <w:rFonts w:ascii="Arial" w:hAnsi="Arial"/>
          <w:color w:val="777777"/>
          <w:sz w:val="27"/>
        </w:rPr>
        <w:t>each other individual designated as a Designated Insider by a Compliance Officer from time to time.</w:t>
      </w:r>
    </w:p>
    <w:p>
      <w:pPr>
        <w:pStyle w:val="TextBody"/>
        <w:bidi w:val="0"/>
        <w:spacing w:before="0" w:after="225"/>
        <w:jc w:val="left"/>
        <w:rPr>
          <w:rFonts w:ascii="Arial" w:hAnsi="Arial"/>
          <w:b/>
          <w:color w:val="777777"/>
          <w:sz w:val="27"/>
        </w:rPr>
      </w:pPr>
      <w:r>
        <w:rPr>
          <w:rFonts w:ascii="Arial" w:hAnsi="Arial"/>
          <w:b/>
          <w:color w:val="777777"/>
          <w:sz w:val="27"/>
        </w:rPr>
        <w:t>B. Blackout Periods/Trading Windows</w:t>
      </w:r>
    </w:p>
    <w:p>
      <w:pPr>
        <w:pStyle w:val="TextBody"/>
        <w:bidi w:val="0"/>
        <w:jc w:val="left"/>
        <w:rPr>
          <w:rFonts w:ascii="Arial" w:hAnsi="Arial"/>
          <w:color w:val="000000"/>
          <w:sz w:val="22"/>
        </w:rPr>
      </w:pPr>
      <w:r>
        <w:rPr>
          <w:rFonts w:ascii="Arial" w:hAnsi="Arial"/>
          <w:color w:val="000000"/>
          <w:sz w:val="22"/>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25"/>
        <w:jc w:val="left"/>
        <w:rPr>
          <w:rFonts w:ascii="Arial" w:hAnsi="Arial"/>
          <w:color w:val="777777"/>
          <w:sz w:val="27"/>
        </w:rPr>
      </w:pPr>
      <w:r>
        <w:rPr>
          <w:rFonts w:ascii="Arial" w:hAnsi="Arial"/>
          <w:color w:val="777777"/>
          <w:sz w:val="27"/>
        </w:rPr>
        <w:t>Designated Insiders are prohibited from trading in Company Securities during blackout periods: (a) the Company's regularly scheduled quarterly blackout period commencing before the market opens on the 15th of the last month of the calendar quarter and ending one business day after the Company's "earnings release" is issued to the public relating to the Company's financial information for the concluded fiscal quarter and (b) special blackout periods instituted by the Company on a discretionary basis when news of pending material events or other material non-public information regarding the Company that is anticipated to be disclosed has not yet been publicly disclosed, or stock repurchases are being made by the Company pursuant to its stock repurchase program. Subject to pre-clearance as provided in Section IX.C below, Designated Insiders are generally permitted to trade when no blackout period is in effect; provided, however, that even during an open trading window, a Designated Insider who is aware of material non-public information may not trade in Company Securities until the information has been made publicly available as described above, or is no longer material.</w:t>
      </w:r>
    </w:p>
    <w:p>
      <w:pPr>
        <w:pStyle w:val="TextBody"/>
        <w:bidi w:val="0"/>
        <w:spacing w:before="0" w:after="225"/>
        <w:jc w:val="left"/>
        <w:rPr>
          <w:rFonts w:ascii="Arial" w:hAnsi="Arial"/>
          <w:b/>
          <w:color w:val="777777"/>
          <w:sz w:val="27"/>
        </w:rPr>
      </w:pPr>
      <w:r>
        <w:rPr>
          <w:rFonts w:ascii="Arial" w:hAnsi="Arial"/>
          <w:b/>
          <w:color w:val="777777"/>
          <w:sz w:val="27"/>
        </w:rPr>
        <w:t>C. Pre-Clearance</w:t>
      </w:r>
    </w:p>
    <w:p>
      <w:pPr>
        <w:pStyle w:val="TextBody"/>
        <w:bidi w:val="0"/>
        <w:spacing w:before="0" w:after="225"/>
        <w:jc w:val="left"/>
        <w:rPr>
          <w:rFonts w:ascii="Arial" w:hAnsi="Arial"/>
          <w:color w:val="777777"/>
          <w:sz w:val="27"/>
        </w:rPr>
      </w:pPr>
      <w:r>
        <w:rPr>
          <w:rFonts w:ascii="Arial" w:hAnsi="Arial"/>
          <w:color w:val="777777"/>
          <w:sz w:val="27"/>
        </w:rPr>
        <w:t>Designated Insiders (including family members and other members of their respective households) must obtain prior clearance from a Compliance Officer before buying, selling or engaging in any transaction in Company Securities (except as described in Section IX.E below), including any exercise of stock options. A Compliance Officer will evaluate each proposed transaction to determine if it raises insider trading concerns or other concerns under the federal or state securities laws and regulations. Any advice will relate solely to legal considerations and not the merits of the investment decision. Clearance of a transaction will be valid only for a 48-hour period. If the transaction order is not placed within that 48-hour period, clearance of the transaction must be re-requested from a Compliance Officer.</w:t>
      </w:r>
    </w:p>
    <w:p>
      <w:pPr>
        <w:pStyle w:val="TextBody"/>
        <w:bidi w:val="0"/>
        <w:spacing w:before="0" w:after="225"/>
        <w:jc w:val="left"/>
        <w:rPr>
          <w:rFonts w:ascii="Arial" w:hAnsi="Arial"/>
          <w:b/>
          <w:color w:val="777777"/>
          <w:sz w:val="27"/>
        </w:rPr>
      </w:pPr>
      <w:r>
        <w:rPr>
          <w:rFonts w:ascii="Arial" w:hAnsi="Arial"/>
          <w:b/>
          <w:color w:val="777777"/>
          <w:sz w:val="27"/>
        </w:rPr>
        <w:t>D. Short-Swing Trading</w:t>
      </w:r>
    </w:p>
    <w:p>
      <w:pPr>
        <w:pStyle w:val="TextBody"/>
        <w:bidi w:val="0"/>
        <w:spacing w:before="0" w:after="225"/>
        <w:jc w:val="left"/>
        <w:rPr>
          <w:rFonts w:ascii="Arial" w:hAnsi="Arial"/>
          <w:color w:val="777777"/>
          <w:sz w:val="27"/>
        </w:rPr>
      </w:pPr>
      <w:r>
        <w:rPr>
          <w:rFonts w:ascii="Arial" w:hAnsi="Arial"/>
          <w:color w:val="777777"/>
          <w:sz w:val="27"/>
        </w:rPr>
        <w:t>Directors and executive officers of the Company who purchase Company Securities may not sell any Company Securities of the same class for at least six months after the purchase. Note that in addition to this Policy, under Section 16(b) of the Exchange Act, any "short-swing profits" realized by a Section 16 Officer or director of the Company from a "matching" purchase and sale or "matching" sale and purchase of Company Securities occurring within a six-month period would be subject to disgorgement to the Company.</w:t>
      </w:r>
    </w:p>
    <w:p>
      <w:pPr>
        <w:pStyle w:val="TextBody"/>
        <w:bidi w:val="0"/>
        <w:spacing w:before="0" w:after="225"/>
        <w:jc w:val="left"/>
        <w:rPr>
          <w:rFonts w:ascii="Arial" w:hAnsi="Arial"/>
          <w:b/>
          <w:color w:val="777777"/>
          <w:sz w:val="27"/>
        </w:rPr>
      </w:pPr>
      <w:r>
        <w:rPr>
          <w:rFonts w:ascii="Arial" w:hAnsi="Arial"/>
          <w:b/>
          <w:color w:val="777777"/>
          <w:sz w:val="27"/>
        </w:rPr>
        <w:t>E. Rule 10b5-1 Plans</w:t>
      </w:r>
    </w:p>
    <w:p>
      <w:pPr>
        <w:pStyle w:val="TextBody"/>
        <w:bidi w:val="0"/>
        <w:jc w:val="left"/>
        <w:rPr>
          <w:rFonts w:ascii="Arial" w:hAnsi="Arial"/>
          <w:color w:val="000000"/>
          <w:sz w:val="22"/>
        </w:rPr>
      </w:pPr>
      <w:r>
        <w:rPr>
          <w:rFonts w:ascii="Arial" w:hAnsi="Arial"/>
          <w:color w:val="000000"/>
          <w:sz w:val="22"/>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25"/>
        <w:jc w:val="left"/>
        <w:rPr>
          <w:rFonts w:ascii="Arial" w:hAnsi="Arial"/>
          <w:color w:val="777777"/>
          <w:sz w:val="27"/>
        </w:rPr>
      </w:pPr>
      <w:r>
        <w:rPr>
          <w:rFonts w:ascii="Arial" w:hAnsi="Arial"/>
          <w:color w:val="777777"/>
          <w:sz w:val="27"/>
        </w:rPr>
        <w:t>A Covered Person's trades may be exempt from this Policy if made under a properly pre-established and maintained written trading plan in compliance with Rule 10b5-1(c), known as a "Rule 10b5-1 plan." If the Rule 10b5-1 plan meets all of the requirements for such a plan, and the purchases or sales of Company Securities are actually made in accordance with the terms and conditions of the plan, the trades will not be deemed to have been made "on the basis of" material non-public information, even if the Designated Insider who established the plan is actually aware of material non-public information at the time of execution of the transactions provided for by the plan.</w:t>
      </w:r>
    </w:p>
    <w:p>
      <w:pPr>
        <w:pStyle w:val="TextBody"/>
        <w:bidi w:val="0"/>
        <w:spacing w:before="0" w:after="225"/>
        <w:jc w:val="left"/>
        <w:rPr>
          <w:rFonts w:ascii="Arial" w:hAnsi="Arial"/>
          <w:color w:val="777777"/>
          <w:sz w:val="27"/>
        </w:rPr>
      </w:pPr>
      <w:r>
        <w:rPr>
          <w:rFonts w:ascii="Arial" w:hAnsi="Arial"/>
          <w:color w:val="777777"/>
          <w:sz w:val="27"/>
        </w:rPr>
        <w:t>A properly designed Rule 10b5-1 plan must meet the following requirements, among others:</w:t>
      </w:r>
    </w:p>
    <w:p>
      <w:pPr>
        <w:pStyle w:val="TextBody"/>
        <w:bidi w:val="0"/>
        <w:spacing w:before="0" w:after="0"/>
        <w:jc w:val="left"/>
        <w:rPr>
          <w:color w:val="777777"/>
        </w:rPr>
      </w:pPr>
      <w:r>
        <w:rPr>
          <w:color w:val="777777"/>
        </w:rPr>
        <w:t>•</w:t>
      </w:r>
    </w:p>
    <w:p>
      <w:pPr>
        <w:pStyle w:val="TextBody"/>
        <w:bidi w:val="0"/>
        <w:spacing w:before="0" w:after="0"/>
        <w:jc w:val="left"/>
        <w:rPr>
          <w:rFonts w:ascii="Arial" w:hAnsi="Arial"/>
          <w:color w:val="777777"/>
          <w:sz w:val="27"/>
        </w:rPr>
      </w:pPr>
      <w:r>
        <w:rPr>
          <w:rFonts w:ascii="Arial" w:hAnsi="Arial"/>
          <w:color w:val="777777"/>
          <w:sz w:val="27"/>
        </w:rPr>
        <w:t>The plan was established when the Covered Person was unaware of material non-public information concerning the Company</w:t>
      </w:r>
    </w:p>
    <w:p>
      <w:pPr>
        <w:pStyle w:val="TextBody"/>
        <w:bidi w:val="0"/>
        <w:spacing w:before="0" w:after="0"/>
        <w:jc w:val="left"/>
        <w:rPr>
          <w:color w:val="777777"/>
        </w:rPr>
      </w:pPr>
      <w:r>
        <w:rPr>
          <w:color w:val="777777"/>
        </w:rPr>
        <w:t>•</w:t>
      </w:r>
    </w:p>
    <w:p>
      <w:pPr>
        <w:pStyle w:val="TextBody"/>
        <w:bidi w:val="0"/>
        <w:spacing w:before="0" w:after="0"/>
        <w:jc w:val="left"/>
        <w:rPr>
          <w:rFonts w:ascii="Arial" w:hAnsi="Arial"/>
          <w:color w:val="777777"/>
          <w:sz w:val="27"/>
        </w:rPr>
      </w:pPr>
      <w:r>
        <w:rPr>
          <w:rFonts w:ascii="Arial" w:hAnsi="Arial"/>
          <w:color w:val="777777"/>
          <w:sz w:val="27"/>
        </w:rPr>
        <w:t>The plan specifies the number (or dollar value) of Company Securities to be purchased or sold, the price (which may be a fixed price, market price or minimum/maximum price) at which the shares are to be traded, and the date of the trade, or provides a written formula or algorithm for determining the timing, amount and price of the trade (or the plan can give a third party such as a designated broker the exclusive right to determine the timing, amount and price of the trade);</w:t>
      </w:r>
    </w:p>
    <w:p>
      <w:pPr>
        <w:pStyle w:val="TextBody"/>
        <w:bidi w:val="0"/>
        <w:spacing w:before="0" w:after="0"/>
        <w:jc w:val="left"/>
        <w:rPr>
          <w:color w:val="777777"/>
        </w:rPr>
      </w:pPr>
      <w:r>
        <w:rPr>
          <w:color w:val="777777"/>
        </w:rPr>
        <w:t>•</w:t>
      </w:r>
    </w:p>
    <w:p>
      <w:pPr>
        <w:pStyle w:val="TextBody"/>
        <w:bidi w:val="0"/>
        <w:spacing w:before="0" w:after="0"/>
        <w:jc w:val="left"/>
        <w:rPr>
          <w:rFonts w:ascii="Arial" w:hAnsi="Arial"/>
          <w:color w:val="777777"/>
          <w:sz w:val="27"/>
        </w:rPr>
      </w:pPr>
      <w:r>
        <w:rPr>
          <w:rFonts w:ascii="Arial" w:hAnsi="Arial"/>
          <w:color w:val="777777"/>
          <w:sz w:val="27"/>
        </w:rPr>
        <w:t>The plan does not permit the Covered Person to exercise any subsequent influence over how, when, or whether to effect purchases or sales; provided, however, that if a third party (such as a broker) is designated under the terms of the plan to determine the timing, amount and price of trades, the third party must not have been aware of the material non-public information about the Company or Company Securities when it makes its trading decisions; and</w:t>
      </w:r>
    </w:p>
    <w:p>
      <w:pPr>
        <w:pStyle w:val="TextBody"/>
        <w:bidi w:val="0"/>
        <w:spacing w:before="0" w:after="0"/>
        <w:jc w:val="left"/>
        <w:rPr>
          <w:color w:val="777777"/>
        </w:rPr>
      </w:pPr>
      <w:r>
        <w:rPr>
          <w:color w:val="777777"/>
        </w:rPr>
        <w:t>•</w:t>
      </w:r>
    </w:p>
    <w:p>
      <w:pPr>
        <w:pStyle w:val="TextBody"/>
        <w:bidi w:val="0"/>
        <w:jc w:val="left"/>
        <w:rPr>
          <w:rFonts w:ascii="Arial" w:hAnsi="Arial"/>
          <w:color w:val="777777"/>
          <w:sz w:val="27"/>
        </w:rPr>
      </w:pPr>
      <w:r>
        <w:rPr>
          <w:rFonts w:ascii="Arial" w:hAnsi="Arial"/>
          <w:color w:val="777777"/>
          <w:sz w:val="27"/>
        </w:rPr>
        <w:t>The plan must be entered into in good faith and not as part of a scheme to evade insider trading prohibitions.</w:t>
      </w:r>
    </w:p>
    <w:p>
      <w:pPr>
        <w:pStyle w:val="TextBody"/>
        <w:bidi w:val="0"/>
        <w:spacing w:before="0" w:after="225"/>
        <w:jc w:val="left"/>
        <w:rPr>
          <w:rFonts w:ascii="Arial" w:hAnsi="Arial"/>
          <w:color w:val="777777"/>
          <w:sz w:val="27"/>
        </w:rPr>
      </w:pPr>
      <w:r>
        <w:rPr>
          <w:rFonts w:ascii="Arial" w:hAnsi="Arial"/>
          <w:color w:val="777777"/>
          <w:sz w:val="27"/>
        </w:rPr>
        <w:t>Any new Rule 10b5-1 plan, or amendment or termination of an existing Rule 10b5-1 plan, must be reviewed and approved by a Compliance Officer; provided, however, that trades occurring under an approved Rule 10b5-1 plan do not require pre-clearance.</w:t>
      </w:r>
    </w:p>
    <w:p>
      <w:pPr>
        <w:pStyle w:val="TextBody"/>
        <w:bidi w:val="0"/>
        <w:spacing w:before="0" w:after="225"/>
        <w:jc w:val="left"/>
        <w:rPr>
          <w:rFonts w:ascii="Times New Roman" w:hAnsi="Times New Roman"/>
          <w:sz w:val="20"/>
        </w:rPr>
      </w:pPr>
      <w:r>
        <w:rPr>
          <w:rFonts w:ascii="Arial" w:hAnsi="Arial"/>
          <w:color w:val="777777"/>
          <w:sz w:val="27"/>
        </w:rPr>
        <w:t>The SEC rules regarding trading plans are complex and must be complied with completely to be effective. The description provided above is only a summary, and the Company strongly advises that you consult with your personal legal advisor if you intend to adopt a trading plan. While trading plans are subject to review and approval by the Company, the individual</w:t>
      </w:r>
      <w:r>
        <w:rPr>
          <w:rFonts w:ascii="Times New Roman" w:hAnsi="Times New Roman"/>
          <w:color w:val="777777"/>
          <w:sz w:val="20"/>
        </w:rPr>
        <w:t xml:space="preserve"> </w:t>
      </w:r>
    </w:p>
    <w:p>
      <w:pPr>
        <w:pStyle w:val="TextBody"/>
        <w:bidi w:val="0"/>
        <w:jc w:val="left"/>
        <w:rPr>
          <w:rFonts w:ascii="Arial" w:hAnsi="Arial"/>
          <w:color w:val="000000"/>
          <w:sz w:val="22"/>
        </w:rPr>
      </w:pPr>
      <w:r>
        <w:rPr>
          <w:rFonts w:ascii="Arial" w:hAnsi="Arial"/>
          <w:color w:val="000000"/>
          <w:sz w:val="22"/>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25"/>
        <w:jc w:val="left"/>
        <w:rPr>
          <w:rFonts w:ascii="Arial" w:hAnsi="Arial"/>
          <w:color w:val="777777"/>
          <w:sz w:val="27"/>
        </w:rPr>
      </w:pPr>
      <w:r>
        <w:rPr>
          <w:rFonts w:ascii="Arial" w:hAnsi="Arial"/>
          <w:color w:val="777777"/>
          <w:sz w:val="27"/>
        </w:rPr>
        <w:t>adopting the trading plan is ultimately responsible for compliance with Rule 10b5-1 and ensuring that the trading plan complies with this Policy.</w:t>
      </w:r>
    </w:p>
    <w:p>
      <w:pPr>
        <w:pStyle w:val="TextBody"/>
        <w:bidi w:val="0"/>
        <w:spacing w:before="0" w:after="225"/>
        <w:jc w:val="left"/>
        <w:rPr>
          <w:rFonts w:ascii="Arial" w:hAnsi="Arial"/>
          <w:b/>
          <w:color w:val="777777"/>
          <w:sz w:val="27"/>
        </w:rPr>
      </w:pPr>
      <w:r>
        <w:rPr>
          <w:rFonts w:ascii="Arial" w:hAnsi="Arial"/>
          <w:b/>
          <w:color w:val="777777"/>
          <w:sz w:val="27"/>
        </w:rPr>
        <w:t>F. Section 16 Reporting</w:t>
      </w:r>
    </w:p>
    <w:p>
      <w:pPr>
        <w:pStyle w:val="TextBody"/>
        <w:bidi w:val="0"/>
        <w:spacing w:before="0" w:after="225"/>
        <w:jc w:val="left"/>
        <w:rPr>
          <w:rFonts w:ascii="Arial" w:hAnsi="Arial"/>
          <w:color w:val="777777"/>
          <w:sz w:val="27"/>
        </w:rPr>
      </w:pPr>
      <w:r>
        <w:rPr>
          <w:rFonts w:ascii="Arial" w:hAnsi="Arial"/>
          <w:color w:val="777777"/>
          <w:sz w:val="27"/>
        </w:rPr>
        <w:t>Directors and Section 16 Officers are required to report transactions in Company Securities, including purchases, sales, transfers to trusts, changes in the nature of their ownership (i.e., from direct to indirect), gifts, inheritances, transfers within their 401(k) plan, stock option exercises, stock option grants and other stock grants to the SEC under Section 16(a) of the Securities Exchange Act of 1934, as amended. The individual has a responsibility to ensure that the required filings are made on time and correctly.</w:t>
      </w:r>
    </w:p>
    <w:p>
      <w:pPr>
        <w:pStyle w:val="TextBody"/>
        <w:bidi w:val="0"/>
        <w:spacing w:before="0" w:after="225"/>
        <w:jc w:val="left"/>
        <w:rPr>
          <w:rFonts w:ascii="Arial" w:hAnsi="Arial"/>
          <w:color w:val="777777"/>
          <w:sz w:val="27"/>
        </w:rPr>
      </w:pPr>
      <w:r>
        <w:rPr>
          <w:rFonts w:ascii="Arial" w:hAnsi="Arial"/>
          <w:color w:val="777777"/>
          <w:sz w:val="27"/>
        </w:rPr>
        <w:t>When an individual initially becomes a Director or a Section 16 Officer of the Company, he or she must report Company Securities owned by him or her at that time by filing a statement on Form 3 with the SEC within ten calendar days of assuming the position.</w:t>
      </w:r>
    </w:p>
    <w:p>
      <w:pPr>
        <w:pStyle w:val="TextBody"/>
        <w:bidi w:val="0"/>
        <w:spacing w:before="0" w:after="225"/>
        <w:jc w:val="left"/>
        <w:rPr>
          <w:rFonts w:ascii="Arial" w:hAnsi="Arial"/>
          <w:color w:val="777777"/>
          <w:sz w:val="27"/>
        </w:rPr>
      </w:pPr>
      <w:r>
        <w:rPr>
          <w:rFonts w:ascii="Arial" w:hAnsi="Arial"/>
          <w:color w:val="777777"/>
          <w:sz w:val="27"/>
        </w:rPr>
        <w:t>Subsequent transactions in Company Securities must be reported on Form 4 by the second business day following the transaction. After receiving pre-clearance in accordance with Section IX.C above, a Director or Section 16 Officer should forward the details of their transaction(s) via email to the office of Corporate Secretary no later than the date of the transaction(s) so that the Form 4 can be prepared. The office of Corporate Secretary will prepare and file the necessary forms electronically with the SEC. One manually signed copy of the Form must be kept in the individual's file, located in the Corporate Accounting Department. In the event the Director or Section 16 Officer is unable to manually sign a Form required by Section 16(a), such Form will be signed by a previously designated Attorney-in-Fact.</w:t>
      </w:r>
    </w:p>
    <w:p>
      <w:pPr>
        <w:pStyle w:val="TextBody"/>
        <w:bidi w:val="0"/>
        <w:spacing w:before="0" w:after="225"/>
        <w:jc w:val="left"/>
        <w:rPr>
          <w:rFonts w:ascii="Arial" w:hAnsi="Arial"/>
          <w:color w:val="777777"/>
          <w:sz w:val="27"/>
        </w:rPr>
      </w:pPr>
      <w:r>
        <w:rPr>
          <w:rFonts w:ascii="Arial" w:hAnsi="Arial"/>
          <w:color w:val="777777"/>
          <w:sz w:val="27"/>
        </w:rPr>
        <w:t>SEC rules require companies to report in their annual proxy statement and Form 10-K the names of any Directors or Section 16 Officers who, during the Company's preceding fiscal year, failed to file a Form 4 or Form 3 or filed one late. In addition, the SEC has the authority to fine delinquent filers.</w:t>
      </w:r>
    </w:p>
    <w:p>
      <w:pPr>
        <w:pStyle w:val="TextBody"/>
        <w:bidi w:val="0"/>
        <w:spacing w:before="0" w:after="240"/>
        <w:jc w:val="both"/>
        <w:rPr/>
      </w:pPr>
      <w:r>
        <w:rPr/>
        <w:t> </w:t>
      </w:r>
    </w:p>
    <w:p>
      <w:pPr>
        <w:pStyle w:val="TextBody"/>
        <w:bidi w:val="0"/>
        <w:jc w:val="left"/>
        <w:rPr>
          <w:rFonts w:ascii="Arial" w:hAnsi="Arial"/>
          <w:color w:val="000000"/>
          <w:sz w:val="22"/>
        </w:rPr>
      </w:pPr>
      <w:r>
        <w:rPr>
          <w:rFonts w:ascii="Arial" w:hAnsi="Arial"/>
          <w:color w:val="000000"/>
          <w:sz w:val="22"/>
        </w:rPr>
        <w:t>10</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42" w:name="uhs-ex21.htm"/>
      <w:bookmarkStart w:id="43" w:name="ksuhsex21"/>
      <w:bookmarkEnd w:id="42"/>
      <w:bookmarkEnd w:id="43"/>
      <w:r>
        <w:rPr>
          <w:rFonts w:ascii="Times New Roman" w:hAnsi="Times New Roman"/>
          <w:b/>
          <w:color w:val="000000"/>
          <w:sz w:val="20"/>
        </w:rPr>
        <w:t>Exhibit 21</w:t>
      </w:r>
      <w:r>
        <w:br w:type="page"/>
      </w:r>
    </w:p>
    <w:p>
      <w:pPr>
        <w:pStyle w:val="TextBody"/>
        <w:bidi w:val="0"/>
        <w:spacing w:before="90" w:after="283"/>
        <w:jc w:val="center"/>
        <w:rPr>
          <w:rFonts w:ascii="Times New Roman" w:hAnsi="Times New Roman"/>
          <w:b/>
          <w:color w:val="000000"/>
          <w:sz w:val="20"/>
        </w:rPr>
      </w:pPr>
      <w:r>
        <w:rPr>
          <w:rFonts w:ascii="Times New Roman" w:hAnsi="Times New Roman"/>
          <w:b/>
          <w:color w:val="000000"/>
          <w:sz w:val="20"/>
        </w:rPr>
        <w:t>Subsidiaries of Registrant-2025</w:t>
      </w:r>
    </w:p>
    <w:p>
      <w:pPr>
        <w:pStyle w:val="TextBody"/>
        <w:bidi w:val="0"/>
        <w:jc w:val="left"/>
        <w:rPr>
          <w:rFonts w:ascii="Times New Roman" w:hAnsi="Times New Roman"/>
          <w:sz w:val="20"/>
        </w:rPr>
      </w:pPr>
      <w:r>
        <w:rPr>
          <w:rFonts w:ascii="Times New Roman" w:hAnsi="Times New Roman"/>
          <w:b/>
          <w:color w:val="000000"/>
          <w:sz w:val="20"/>
        </w:rPr>
        <w:t>1001 Medical Park Drive LLC</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Incorporated State: Michigan </w:t>
      </w:r>
    </w:p>
    <w:p>
      <w:pPr>
        <w:pStyle w:val="TextBody"/>
        <w:bidi w:val="0"/>
        <w:jc w:val="left"/>
        <w:rPr>
          <w:rFonts w:ascii="Times New Roman" w:hAnsi="Times New Roman"/>
          <w:sz w:val="20"/>
        </w:rPr>
      </w:pPr>
      <w:r>
        <w:rPr>
          <w:rFonts w:ascii="Times New Roman" w:hAnsi="Times New Roman"/>
          <w:b/>
          <w:color w:val="000000"/>
          <w:sz w:val="20"/>
        </w:rPr>
        <w:t>2012 W. University Properties, LLC</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Incorporated State: Delaware </w:t>
      </w:r>
    </w:p>
    <w:p>
      <w:pPr>
        <w:pStyle w:val="TextBody"/>
        <w:bidi w:val="0"/>
        <w:jc w:val="left"/>
        <w:rPr>
          <w:rFonts w:ascii="Times New Roman" w:hAnsi="Times New Roman"/>
          <w:sz w:val="20"/>
        </w:rPr>
      </w:pPr>
      <w:r>
        <w:rPr>
          <w:rFonts w:ascii="Times New Roman" w:hAnsi="Times New Roman"/>
          <w:b/>
          <w:color w:val="000000"/>
          <w:sz w:val="20"/>
        </w:rPr>
        <w:t>2026 W. University Properties, LLC</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Incorporated State: Delaware </w:t>
      </w:r>
    </w:p>
    <w:p>
      <w:pPr>
        <w:pStyle w:val="TextBody"/>
        <w:bidi w:val="0"/>
        <w:jc w:val="left"/>
        <w:rPr>
          <w:rFonts w:ascii="Times New Roman" w:hAnsi="Times New Roman"/>
          <w:sz w:val="20"/>
        </w:rPr>
      </w:pPr>
      <w:r>
        <w:rPr>
          <w:rFonts w:ascii="Times New Roman" w:hAnsi="Times New Roman"/>
          <w:b/>
          <w:color w:val="000000"/>
          <w:sz w:val="20"/>
        </w:rPr>
        <w:t>ABS LINCS KY, LLC</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Incorporated State: Virginia </w:t>
      </w:r>
    </w:p>
    <w:p>
      <w:pPr>
        <w:pStyle w:val="TextBody"/>
        <w:bidi w:val="0"/>
        <w:jc w:val="left"/>
        <w:rPr>
          <w:rFonts w:ascii="Times New Roman" w:hAnsi="Times New Roman"/>
          <w:color w:val="000000"/>
          <w:sz w:val="20"/>
        </w:rPr>
      </w:pPr>
      <w:r>
        <w:rPr>
          <w:rFonts w:ascii="Times New Roman" w:hAnsi="Times New Roman"/>
          <w:color w:val="000000"/>
          <w:sz w:val="20"/>
        </w:rPr>
        <w:t xml:space="preserve">Business Name: Cumberland Hall Hospital </w:t>
      </w:r>
    </w:p>
    <w:p>
      <w:pPr>
        <w:pStyle w:val="TextBody"/>
        <w:bidi w:val="0"/>
        <w:jc w:val="left"/>
        <w:rPr>
          <w:rFonts w:ascii="Times New Roman" w:hAnsi="Times New Roman"/>
          <w:b/>
          <w:color w:val="000000"/>
          <w:sz w:val="20"/>
        </w:rPr>
      </w:pPr>
      <w:r>
        <w:rPr>
          <w:rFonts w:ascii="Times New Roman" w:hAnsi="Times New Roman"/>
          <w:b/>
          <w:color w:val="000000"/>
          <w:sz w:val="20"/>
        </w:rPr>
        <w:t>ABS LINCS SC, Inc.</w:t>
      </w:r>
    </w:p>
    <w:p>
      <w:pPr>
        <w:pStyle w:val="TextBody"/>
        <w:bidi w:val="0"/>
        <w:jc w:val="left"/>
        <w:rPr>
          <w:rFonts w:ascii="Times New Roman" w:hAnsi="Times New Roman"/>
          <w:color w:val="000000"/>
          <w:sz w:val="20"/>
        </w:rPr>
      </w:pPr>
      <w:r>
        <w:rPr>
          <w:rFonts w:ascii="Times New Roman" w:hAnsi="Times New Roman"/>
          <w:color w:val="000000"/>
          <w:sz w:val="20"/>
        </w:rPr>
        <w:t xml:space="preserve">Incorporated State: South Carolina </w:t>
      </w:r>
    </w:p>
    <w:p>
      <w:pPr>
        <w:pStyle w:val="TextBody"/>
        <w:bidi w:val="0"/>
        <w:jc w:val="left"/>
        <w:rPr>
          <w:rFonts w:ascii="Times New Roman" w:hAnsi="Times New Roman"/>
          <w:b/>
          <w:color w:val="000000"/>
          <w:sz w:val="20"/>
        </w:rPr>
      </w:pPr>
      <w:r>
        <w:rPr>
          <w:rFonts w:ascii="Times New Roman" w:hAnsi="Times New Roman"/>
          <w:b/>
          <w:color w:val="000000"/>
          <w:sz w:val="20"/>
        </w:rPr>
        <w:t>ABS LINCS TN, Inc.</w:t>
      </w:r>
    </w:p>
    <w:p>
      <w:pPr>
        <w:pStyle w:val="TextBody"/>
        <w:bidi w:val="0"/>
        <w:jc w:val="left"/>
        <w:rPr>
          <w:rFonts w:ascii="Times New Roman" w:hAnsi="Times New Roman"/>
          <w:color w:val="000000"/>
          <w:sz w:val="20"/>
        </w:rPr>
      </w:pPr>
      <w:r>
        <w:rPr>
          <w:rFonts w:ascii="Times New Roman" w:hAnsi="Times New Roman"/>
          <w:color w:val="000000"/>
          <w:sz w:val="20"/>
        </w:rPr>
        <w:t xml:space="preserve">Incorporated State: Virginia </w:t>
      </w:r>
    </w:p>
    <w:p>
      <w:pPr>
        <w:pStyle w:val="TextBody"/>
        <w:bidi w:val="0"/>
        <w:jc w:val="left"/>
        <w:rPr>
          <w:rFonts w:ascii="Times New Roman" w:hAnsi="Times New Roman"/>
          <w:b/>
          <w:color w:val="000000"/>
          <w:sz w:val="20"/>
        </w:rPr>
      </w:pPr>
      <w:r>
        <w:rPr>
          <w:rFonts w:ascii="Times New Roman" w:hAnsi="Times New Roman"/>
          <w:b/>
          <w:color w:val="000000"/>
          <w:sz w:val="20"/>
        </w:rPr>
        <w:t>ACO Management Services, LLC</w:t>
      </w:r>
    </w:p>
    <w:p>
      <w:pPr>
        <w:pStyle w:val="TextBody"/>
        <w:bidi w:val="0"/>
        <w:jc w:val="left"/>
        <w:rPr>
          <w:rFonts w:ascii="Times New Roman" w:hAnsi="Times New Roman"/>
          <w:color w:val="000000"/>
          <w:sz w:val="20"/>
        </w:rPr>
      </w:pPr>
      <w:r>
        <w:rPr>
          <w:rFonts w:ascii="Times New Roman" w:hAnsi="Times New Roman"/>
          <w:color w:val="000000"/>
          <w:sz w:val="20"/>
        </w:rPr>
        <w:t>Incorporated State: Nevada</w:t>
      </w:r>
    </w:p>
    <w:p>
      <w:pPr>
        <w:pStyle w:val="TextBody"/>
        <w:bidi w:val="0"/>
        <w:jc w:val="left"/>
        <w:rPr>
          <w:rFonts w:ascii="Times New Roman" w:hAnsi="Times New Roman"/>
          <w:b/>
          <w:color w:val="000000"/>
          <w:sz w:val="20"/>
        </w:rPr>
      </w:pPr>
      <w:r>
        <w:rPr>
          <w:rFonts w:ascii="Times New Roman" w:hAnsi="Times New Roman"/>
          <w:b/>
          <w:color w:val="000000"/>
          <w:sz w:val="20"/>
        </w:rPr>
        <w:t>ACO REACH California, LLC</w:t>
      </w:r>
    </w:p>
    <w:p>
      <w:pPr>
        <w:pStyle w:val="TextBody"/>
        <w:bidi w:val="0"/>
        <w:jc w:val="left"/>
        <w:rPr>
          <w:rFonts w:ascii="Times New Roman" w:hAnsi="Times New Roman"/>
          <w:color w:val="000000"/>
          <w:sz w:val="20"/>
        </w:rPr>
      </w:pPr>
      <w:r>
        <w:rPr>
          <w:rFonts w:ascii="Times New Roman" w:hAnsi="Times New Roman"/>
          <w:color w:val="000000"/>
          <w:sz w:val="20"/>
        </w:rPr>
        <w:t>Incorporated State: Delaware</w:t>
      </w:r>
    </w:p>
    <w:p>
      <w:pPr>
        <w:pStyle w:val="TextBody"/>
        <w:bidi w:val="0"/>
        <w:jc w:val="left"/>
        <w:rPr>
          <w:rFonts w:ascii="Times New Roman" w:hAnsi="Times New Roman"/>
          <w:b/>
          <w:color w:val="000000"/>
          <w:sz w:val="20"/>
        </w:rPr>
      </w:pPr>
      <w:r>
        <w:rPr>
          <w:rFonts w:ascii="Times New Roman" w:hAnsi="Times New Roman"/>
          <w:b/>
          <w:color w:val="000000"/>
          <w:sz w:val="20"/>
        </w:rPr>
        <w:t>ACO REACH DC, LLC</w:t>
      </w:r>
    </w:p>
    <w:p>
      <w:pPr>
        <w:pStyle w:val="TextBody"/>
        <w:bidi w:val="0"/>
        <w:jc w:val="left"/>
        <w:rPr>
          <w:rFonts w:ascii="Times New Roman" w:hAnsi="Times New Roman"/>
          <w:color w:val="000000"/>
          <w:sz w:val="20"/>
        </w:rPr>
      </w:pPr>
      <w:r>
        <w:rPr>
          <w:rFonts w:ascii="Times New Roman" w:hAnsi="Times New Roman"/>
          <w:color w:val="000000"/>
          <w:sz w:val="20"/>
        </w:rPr>
        <w:t>Incorporated State: Delaware</w:t>
      </w:r>
    </w:p>
    <w:p>
      <w:pPr>
        <w:pStyle w:val="TextBody"/>
        <w:bidi w:val="0"/>
        <w:jc w:val="left"/>
        <w:rPr>
          <w:rFonts w:ascii="Times New Roman" w:hAnsi="Times New Roman"/>
          <w:b/>
          <w:color w:val="000000"/>
          <w:sz w:val="20"/>
        </w:rPr>
      </w:pPr>
      <w:r>
        <w:rPr>
          <w:rFonts w:ascii="Times New Roman" w:hAnsi="Times New Roman"/>
          <w:b/>
          <w:color w:val="000000"/>
          <w:sz w:val="20"/>
        </w:rPr>
        <w:t>ACO REACH Florida, LLC</w:t>
      </w:r>
    </w:p>
    <w:p>
      <w:pPr>
        <w:pStyle w:val="TextBody"/>
        <w:bidi w:val="0"/>
        <w:jc w:val="left"/>
        <w:rPr>
          <w:rFonts w:ascii="Times New Roman" w:hAnsi="Times New Roman"/>
          <w:color w:val="000000"/>
          <w:sz w:val="20"/>
        </w:rPr>
      </w:pPr>
      <w:r>
        <w:rPr>
          <w:rFonts w:ascii="Times New Roman" w:hAnsi="Times New Roman"/>
          <w:color w:val="000000"/>
          <w:sz w:val="20"/>
        </w:rPr>
        <w:t>Incorporated State: Delaware</w:t>
      </w:r>
    </w:p>
    <w:p>
      <w:pPr>
        <w:pStyle w:val="TextBody"/>
        <w:bidi w:val="0"/>
        <w:jc w:val="left"/>
        <w:rPr>
          <w:rFonts w:ascii="Times New Roman" w:hAnsi="Times New Roman"/>
          <w:b/>
          <w:color w:val="000000"/>
          <w:sz w:val="20"/>
        </w:rPr>
      </w:pPr>
      <w:r>
        <w:rPr>
          <w:rFonts w:ascii="Times New Roman" w:hAnsi="Times New Roman"/>
          <w:b/>
          <w:color w:val="000000"/>
          <w:sz w:val="20"/>
        </w:rPr>
        <w:t>ACO REACH Nevada, LLC</w:t>
      </w:r>
    </w:p>
    <w:p>
      <w:pPr>
        <w:pStyle w:val="TextBody"/>
        <w:bidi w:val="0"/>
        <w:jc w:val="left"/>
        <w:rPr>
          <w:rFonts w:ascii="Times New Roman" w:hAnsi="Times New Roman"/>
          <w:color w:val="000000"/>
          <w:sz w:val="20"/>
        </w:rPr>
      </w:pPr>
      <w:r>
        <w:rPr>
          <w:rFonts w:ascii="Times New Roman" w:hAnsi="Times New Roman"/>
          <w:color w:val="000000"/>
          <w:sz w:val="20"/>
        </w:rPr>
        <w:t>Incorporated State: Delaware</w:t>
      </w:r>
    </w:p>
    <w:p>
      <w:pPr>
        <w:pStyle w:val="TextBody"/>
        <w:bidi w:val="0"/>
        <w:jc w:val="left"/>
        <w:rPr>
          <w:rFonts w:ascii="Times New Roman" w:hAnsi="Times New Roman"/>
          <w:sz w:val="20"/>
        </w:rPr>
      </w:pPr>
      <w:r>
        <w:rPr>
          <w:rFonts w:ascii="Times New Roman" w:hAnsi="Times New Roman"/>
          <w:b/>
          <w:color w:val="000000"/>
          <w:sz w:val="20"/>
        </w:rPr>
        <w:t>ACO REACH NW Texas, LLC</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Incorporated State: Delaware</w:t>
      </w:r>
    </w:p>
    <w:p>
      <w:pPr>
        <w:pStyle w:val="TextBody"/>
        <w:bidi w:val="0"/>
        <w:jc w:val="left"/>
        <w:rPr>
          <w:rFonts w:ascii="Times New Roman" w:hAnsi="Times New Roman"/>
          <w:b/>
          <w:color w:val="000000"/>
          <w:sz w:val="20"/>
        </w:rPr>
      </w:pPr>
      <w:r>
        <w:rPr>
          <w:rFonts w:ascii="Times New Roman" w:hAnsi="Times New Roman"/>
          <w:b/>
          <w:color w:val="000000"/>
          <w:sz w:val="20"/>
        </w:rPr>
        <w:t>ACO REACH South Texas, LLC</w:t>
      </w:r>
    </w:p>
    <w:p>
      <w:pPr>
        <w:pStyle w:val="TextBody"/>
        <w:bidi w:val="0"/>
        <w:jc w:val="left"/>
        <w:rPr>
          <w:rFonts w:ascii="Times New Roman" w:hAnsi="Times New Roman"/>
          <w:color w:val="000000"/>
          <w:sz w:val="20"/>
        </w:rPr>
      </w:pPr>
      <w:r>
        <w:rPr>
          <w:rFonts w:ascii="Times New Roman" w:hAnsi="Times New Roman"/>
          <w:color w:val="000000"/>
          <w:sz w:val="20"/>
        </w:rPr>
        <w:t>Incorporated State: Delaware</w:t>
      </w:r>
    </w:p>
    <w:p>
      <w:pPr>
        <w:pStyle w:val="TextBody"/>
        <w:bidi w:val="0"/>
        <w:jc w:val="left"/>
        <w:rPr>
          <w:rFonts w:ascii="Times New Roman" w:hAnsi="Times New Roman"/>
          <w:b/>
          <w:color w:val="000000"/>
          <w:sz w:val="20"/>
        </w:rPr>
      </w:pPr>
      <w:r>
        <w:rPr>
          <w:rFonts w:ascii="Times New Roman" w:hAnsi="Times New Roman"/>
          <w:b/>
          <w:color w:val="000000"/>
          <w:sz w:val="20"/>
        </w:rPr>
        <w:t>ACO REACH Texoma, LLC</w:t>
      </w:r>
    </w:p>
    <w:p>
      <w:pPr>
        <w:pStyle w:val="TextBody"/>
        <w:bidi w:val="0"/>
        <w:jc w:val="left"/>
        <w:rPr>
          <w:rFonts w:ascii="Times New Roman" w:hAnsi="Times New Roman"/>
          <w:color w:val="000000"/>
          <w:sz w:val="20"/>
        </w:rPr>
      </w:pPr>
      <w:r>
        <w:rPr>
          <w:rFonts w:ascii="Times New Roman" w:hAnsi="Times New Roman"/>
          <w:color w:val="000000"/>
          <w:sz w:val="20"/>
        </w:rPr>
        <w:t>Incorporated State: Delaware</w:t>
      </w:r>
    </w:p>
    <w:p>
      <w:pPr>
        <w:pStyle w:val="TextBody"/>
        <w:bidi w:val="0"/>
        <w:jc w:val="left"/>
        <w:rPr>
          <w:rFonts w:ascii="Times New Roman" w:hAnsi="Times New Roman"/>
          <w:b/>
          <w:color w:val="000000"/>
          <w:sz w:val="20"/>
        </w:rPr>
      </w:pPr>
      <w:r>
        <w:rPr>
          <w:rFonts w:ascii="Times New Roman" w:hAnsi="Times New Roman"/>
          <w:b/>
          <w:color w:val="000000"/>
          <w:sz w:val="20"/>
        </w:rPr>
        <w:t>Advanced Orthopaedic Surgery Center, LLC</w:t>
      </w:r>
    </w:p>
    <w:p>
      <w:pPr>
        <w:pStyle w:val="TextBody"/>
        <w:bidi w:val="0"/>
        <w:jc w:val="left"/>
        <w:rPr>
          <w:rFonts w:ascii="Times New Roman" w:hAnsi="Times New Roman"/>
          <w:color w:val="000000"/>
          <w:sz w:val="20"/>
        </w:rPr>
      </w:pPr>
      <w:r>
        <w:rPr>
          <w:rFonts w:ascii="Times New Roman" w:hAnsi="Times New Roman"/>
          <w:color w:val="000000"/>
          <w:sz w:val="20"/>
        </w:rPr>
        <w:t>Incorporated State: Nevada</w:t>
      </w:r>
    </w:p>
    <w:p>
      <w:pPr>
        <w:pStyle w:val="TextBody"/>
        <w:bidi w:val="0"/>
        <w:jc w:val="left"/>
        <w:rPr>
          <w:rFonts w:ascii="Times New Roman" w:hAnsi="Times New Roman"/>
          <w:color w:val="000000"/>
          <w:sz w:val="20"/>
        </w:rPr>
      </w:pPr>
      <w:r>
        <w:rPr>
          <w:rFonts w:ascii="Times New Roman" w:hAnsi="Times New Roman"/>
          <w:color w:val="000000"/>
          <w:sz w:val="20"/>
        </w:rPr>
        <w:t>Business Name: Las Vegas Institute for Advanced Surgery</w:t>
      </w:r>
    </w:p>
    <w:p>
      <w:pPr>
        <w:pStyle w:val="TextBody"/>
        <w:bidi w:val="0"/>
        <w:jc w:val="left"/>
        <w:rPr>
          <w:rFonts w:ascii="Times New Roman" w:hAnsi="Times New Roman"/>
          <w:sz w:val="20"/>
        </w:rPr>
      </w:pPr>
      <w:r>
        <w:rPr>
          <w:rFonts w:ascii="Times New Roman" w:hAnsi="Times New Roman"/>
          <w:b/>
          <w:color w:val="000000"/>
          <w:sz w:val="20"/>
        </w:rPr>
        <w:t>Aiken Professional Association, LLC</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Incorporated State: South Carolina </w:t>
      </w:r>
    </w:p>
    <w:p>
      <w:pPr>
        <w:pStyle w:val="TextBody"/>
        <w:bidi w:val="0"/>
        <w:jc w:val="left"/>
        <w:rPr>
          <w:rFonts w:ascii="Times New Roman" w:hAnsi="Times New Roman"/>
          <w:sz w:val="20"/>
        </w:rPr>
      </w:pPr>
      <w:r>
        <w:rPr>
          <w:rFonts w:ascii="Times New Roman" w:hAnsi="Times New Roman"/>
          <w:b/>
          <w:color w:val="000000"/>
          <w:sz w:val="20"/>
        </w:rPr>
        <w:t>Aiken Regional Medical Centers, LLC</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Incorporated State: South Carolina </w:t>
      </w:r>
    </w:p>
    <w:p>
      <w:pPr>
        <w:pStyle w:val="TextBody"/>
        <w:bidi w:val="0"/>
        <w:jc w:val="left"/>
        <w:rPr>
          <w:rFonts w:ascii="Times New Roman" w:hAnsi="Times New Roman"/>
          <w:color w:val="000000"/>
          <w:sz w:val="20"/>
        </w:rPr>
      </w:pPr>
      <w:r>
        <w:rPr>
          <w:rFonts w:ascii="Times New Roman" w:hAnsi="Times New Roman"/>
          <w:color w:val="000000"/>
          <w:sz w:val="20"/>
        </w:rPr>
        <w:t>Business Name: Aiken Regional Medical Centers, Aurora Pavilion Behavioral Health Services, The Surgery Center of Aiken and ER at Sweetwater, an Extension of Aiken Regional Medical Centers</w:t>
      </w:r>
    </w:p>
    <w:p>
      <w:pPr>
        <w:pStyle w:val="TextBody"/>
        <w:bidi w:val="0"/>
        <w:jc w:val="left"/>
        <w:rPr>
          <w:rFonts w:ascii="Times New Roman" w:hAnsi="Times New Roman"/>
          <w:b/>
          <w:color w:val="000000"/>
          <w:sz w:val="20"/>
        </w:rPr>
      </w:pPr>
      <w:r>
        <w:rPr>
          <w:rFonts w:ascii="Times New Roman" w:hAnsi="Times New Roman"/>
          <w:b/>
          <w:color w:val="000000"/>
          <w:sz w:val="20"/>
        </w:rPr>
        <w:t>Aiken Regional Medical Centers Surgery Center, LLC</w:t>
      </w:r>
    </w:p>
    <w:p>
      <w:pPr>
        <w:pStyle w:val="TextBody"/>
        <w:bidi w:val="0"/>
        <w:jc w:val="left"/>
        <w:rPr>
          <w:rFonts w:ascii="Times New Roman" w:hAnsi="Times New Roman"/>
          <w:color w:val="000000"/>
          <w:sz w:val="20"/>
        </w:rPr>
      </w:pPr>
      <w:r>
        <w:rPr>
          <w:rFonts w:ascii="Times New Roman" w:hAnsi="Times New Roman"/>
          <w:color w:val="000000"/>
          <w:sz w:val="20"/>
        </w:rPr>
        <w:t xml:space="preserve">Incorporated State: Delaware </w:t>
      </w:r>
    </w:p>
    <w:p>
      <w:pPr>
        <w:pStyle w:val="TextBody"/>
        <w:bidi w:val="0"/>
        <w:jc w:val="left"/>
        <w:rPr>
          <w:rFonts w:ascii="Times New Roman" w:hAnsi="Times New Roman"/>
          <w:sz w:val="20"/>
        </w:rPr>
      </w:pPr>
      <w:r>
        <w:rPr>
          <w:rFonts w:ascii="Times New Roman" w:hAnsi="Times New Roman"/>
          <w:b/>
          <w:color w:val="000000"/>
          <w:sz w:val="20"/>
        </w:rPr>
        <w:t>Aiken Regional Receivables, L.L.C</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Incorporated State: Delaware </w:t>
      </w:r>
    </w:p>
    <w:p>
      <w:pPr>
        <w:pStyle w:val="TextBody"/>
        <w:bidi w:val="0"/>
        <w:jc w:val="left"/>
        <w:rPr>
          <w:rFonts w:ascii="Times New Roman" w:hAnsi="Times New Roman"/>
          <w:sz w:val="20"/>
        </w:rPr>
      </w:pPr>
      <w:r>
        <w:rPr>
          <w:rFonts w:ascii="Times New Roman" w:hAnsi="Times New Roman"/>
          <w:b/>
          <w:color w:val="000000"/>
          <w:sz w:val="20"/>
        </w:rPr>
        <w:t>Alabama Clinical Schools, Inc.</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Incorporated State: Alabama </w:t>
      </w:r>
    </w:p>
    <w:p>
      <w:pPr>
        <w:pStyle w:val="TextBody"/>
        <w:bidi w:val="0"/>
        <w:jc w:val="left"/>
        <w:rPr>
          <w:rFonts w:ascii="Times New Roman" w:hAnsi="Times New Roman"/>
          <w:color w:val="000000"/>
          <w:sz w:val="20"/>
        </w:rPr>
      </w:pPr>
      <w:r>
        <w:rPr>
          <w:rFonts w:ascii="Times New Roman" w:hAnsi="Times New Roman"/>
          <w:color w:val="000000"/>
          <w:sz w:val="20"/>
        </w:rPr>
        <w:t xml:space="preserve">Business Name: Alabama Clinical Schools </w:t>
      </w:r>
    </w:p>
    <w:p>
      <w:pPr>
        <w:pStyle w:val="TextBody"/>
        <w:bidi w:val="0"/>
        <w:jc w:val="left"/>
        <w:rPr>
          <w:rFonts w:ascii="Times New Roman" w:hAnsi="Times New Roman"/>
          <w:sz w:val="20"/>
        </w:rPr>
      </w:pPr>
      <w:r>
        <w:rPr>
          <w:rFonts w:ascii="Times New Roman" w:hAnsi="Times New Roman"/>
          <w:b/>
          <w:color w:val="000000"/>
          <w:sz w:val="20"/>
        </w:rPr>
        <w:t>Alliance Health Center, Inc.</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Incorporated State: Mississippi </w:t>
      </w:r>
    </w:p>
    <w:p>
      <w:pPr>
        <w:pStyle w:val="TextBody"/>
        <w:bidi w:val="0"/>
        <w:jc w:val="left"/>
        <w:rPr>
          <w:rFonts w:ascii="Times New Roman" w:hAnsi="Times New Roman"/>
          <w:color w:val="000000"/>
          <w:sz w:val="20"/>
        </w:rPr>
      </w:pPr>
      <w:r>
        <w:rPr>
          <w:rFonts w:ascii="Times New Roman" w:hAnsi="Times New Roman"/>
          <w:color w:val="000000"/>
          <w:sz w:val="20"/>
        </w:rPr>
        <w:t xml:space="preserve">Business Name: Alliance Health Center </w:t>
      </w:r>
    </w:p>
    <w:p>
      <w:pPr>
        <w:pStyle w:val="TextBody"/>
        <w:bidi w:val="0"/>
        <w:jc w:val="left"/>
        <w:rPr>
          <w:rFonts w:ascii="Times New Roman" w:hAnsi="Times New Roman"/>
          <w:sz w:val="20"/>
        </w:rPr>
      </w:pPr>
      <w:r>
        <w:rPr>
          <w:rFonts w:ascii="Times New Roman" w:hAnsi="Times New Roman"/>
          <w:b/>
          <w:color w:val="000000"/>
          <w:sz w:val="20"/>
        </w:rPr>
        <w:t>Alternative Behavioral Services, Inc.</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Incorporated State: Virginia </w:t>
      </w:r>
    </w:p>
    <w:p>
      <w:pPr>
        <w:pStyle w:val="TextBody"/>
        <w:bidi w:val="0"/>
        <w:jc w:val="left"/>
        <w:rPr>
          <w:rFonts w:ascii="Times New Roman" w:hAnsi="Times New Roman"/>
          <w:sz w:val="20"/>
        </w:rPr>
      </w:pPr>
      <w:r>
        <w:rPr>
          <w:rFonts w:ascii="Times New Roman" w:hAnsi="Times New Roman"/>
          <w:b/>
          <w:color w:val="000000"/>
          <w:sz w:val="20"/>
        </w:rPr>
        <w:t>Amarillo Clinical Services, Inc.</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Incorporated State: Texas </w:t>
      </w:r>
    </w:p>
    <w:p>
      <w:pPr>
        <w:pStyle w:val="TextBody"/>
        <w:bidi w:val="0"/>
        <w:jc w:val="left"/>
        <w:rPr>
          <w:rFonts w:ascii="Times New Roman" w:hAnsi="Times New Roman"/>
          <w:sz w:val="20"/>
        </w:rPr>
      </w:pPr>
      <w:r>
        <w:rPr>
          <w:rFonts w:ascii="Times New Roman" w:hAnsi="Times New Roman"/>
          <w:b/>
          <w:color w:val="000000"/>
          <w:sz w:val="20"/>
        </w:rPr>
        <w:t>Ambulatory Surgery Center of Temecula Valley, Inc.</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Incorporated State: California </w:t>
      </w:r>
    </w:p>
    <w:p>
      <w:pPr>
        <w:pStyle w:val="TextBody"/>
        <w:bidi w:val="0"/>
        <w:jc w:val="left"/>
        <w:rPr>
          <w:rFonts w:ascii="Times New Roman" w:hAnsi="Times New Roman"/>
          <w:sz w:val="20"/>
        </w:rPr>
      </w:pPr>
      <w:r>
        <w:rPr>
          <w:rFonts w:ascii="Times New Roman" w:hAnsi="Times New Roman"/>
          <w:b/>
          <w:color w:val="000000"/>
          <w:sz w:val="20"/>
        </w:rPr>
        <w:t>Ambulatory Surgical Center of Aiken, L.L.C.</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Incorporated State: South Carolina </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b/>
          <w:color w:val="000000"/>
          <w:sz w:val="20"/>
        </w:rPr>
      </w:pPr>
      <w:r>
        <w:rPr>
          <w:rFonts w:ascii="Times New Roman" w:hAnsi="Times New Roman"/>
          <w:b/>
          <w:color w:val="000000"/>
          <w:sz w:val="20"/>
        </w:rPr>
        <w:t>Arbor Group, L.L.C.</w:t>
      </w:r>
    </w:p>
    <w:p>
      <w:pPr>
        <w:pStyle w:val="TextBody"/>
        <w:bidi w:val="0"/>
        <w:jc w:val="left"/>
        <w:rPr>
          <w:rFonts w:ascii="Times New Roman" w:hAnsi="Times New Roman"/>
          <w:color w:val="000000"/>
          <w:sz w:val="20"/>
        </w:rPr>
      </w:pPr>
      <w:r>
        <w:rPr>
          <w:rFonts w:ascii="Times New Roman" w:hAnsi="Times New Roman"/>
          <w:color w:val="000000"/>
          <w:sz w:val="20"/>
        </w:rPr>
        <w:t>Incorporation State: District of Columbia</w:t>
      </w:r>
    </w:p>
    <w:p>
      <w:pPr>
        <w:pStyle w:val="TextBody"/>
        <w:bidi w:val="0"/>
        <w:jc w:val="left"/>
        <w:rPr>
          <w:rFonts w:ascii="Times New Roman" w:hAnsi="Times New Roman"/>
          <w:sz w:val="20"/>
        </w:rPr>
      </w:pPr>
      <w:r>
        <w:rPr>
          <w:rFonts w:ascii="Times New Roman" w:hAnsi="Times New Roman"/>
          <w:b/>
          <w:color w:val="000000"/>
          <w:sz w:val="20"/>
        </w:rPr>
        <w:t>Arbour Foundation, Inc.</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Incorporated State: Massachusetts </w:t>
      </w:r>
    </w:p>
    <w:p>
      <w:pPr>
        <w:pStyle w:val="TextBody"/>
        <w:bidi w:val="0"/>
        <w:jc w:val="left"/>
        <w:rPr>
          <w:rFonts w:ascii="Times New Roman" w:hAnsi="Times New Roman"/>
          <w:sz w:val="20"/>
        </w:rPr>
      </w:pPr>
      <w:r>
        <w:rPr>
          <w:rFonts w:ascii="Times New Roman" w:hAnsi="Times New Roman"/>
          <w:b/>
          <w:color w:val="000000"/>
          <w:sz w:val="20"/>
        </w:rPr>
        <w:t>Arrowhead Behavioral Health, LLC</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Incorporated State: Delaware </w:t>
      </w:r>
    </w:p>
    <w:p>
      <w:pPr>
        <w:pStyle w:val="TextBody"/>
        <w:bidi w:val="0"/>
        <w:jc w:val="left"/>
        <w:rPr>
          <w:rFonts w:ascii="Times New Roman" w:hAnsi="Times New Roman"/>
          <w:color w:val="000000"/>
          <w:sz w:val="20"/>
        </w:rPr>
      </w:pPr>
      <w:r>
        <w:rPr>
          <w:rFonts w:ascii="Times New Roman" w:hAnsi="Times New Roman"/>
          <w:color w:val="000000"/>
          <w:sz w:val="20"/>
        </w:rPr>
        <w:t xml:space="preserve">Business Name: Arrowhead Behavioral Health </w:t>
      </w:r>
    </w:p>
    <w:p>
      <w:pPr>
        <w:pStyle w:val="TextBody"/>
        <w:bidi w:val="0"/>
        <w:jc w:val="left"/>
        <w:rPr>
          <w:rFonts w:ascii="Times New Roman" w:hAnsi="Times New Roman"/>
          <w:b/>
          <w:color w:val="000000"/>
          <w:sz w:val="20"/>
        </w:rPr>
      </w:pPr>
      <w:r>
        <w:rPr>
          <w:rFonts w:ascii="Times New Roman" w:hAnsi="Times New Roman"/>
          <w:b/>
          <w:color w:val="000000"/>
          <w:sz w:val="20"/>
        </w:rPr>
        <w:t>ASC of Aiken, Inc.</w:t>
      </w:r>
    </w:p>
    <w:p>
      <w:pPr>
        <w:pStyle w:val="TextBody"/>
        <w:bidi w:val="0"/>
        <w:jc w:val="left"/>
        <w:rPr>
          <w:rFonts w:ascii="Times New Roman" w:hAnsi="Times New Roman"/>
          <w:color w:val="000000"/>
          <w:sz w:val="20"/>
        </w:rPr>
      </w:pPr>
      <w:r>
        <w:rPr>
          <w:rFonts w:ascii="Times New Roman" w:hAnsi="Times New Roman"/>
          <w:color w:val="000000"/>
          <w:sz w:val="20"/>
        </w:rPr>
        <w:t xml:space="preserve">Incorporated State: Delaware </w:t>
      </w:r>
    </w:p>
    <w:p>
      <w:pPr>
        <w:pStyle w:val="TextBody"/>
        <w:bidi w:val="0"/>
        <w:jc w:val="left"/>
        <w:rPr>
          <w:rFonts w:ascii="Times New Roman" w:hAnsi="Times New Roman"/>
          <w:sz w:val="20"/>
        </w:rPr>
      </w:pPr>
      <w:r>
        <w:rPr>
          <w:rFonts w:ascii="Times New Roman" w:hAnsi="Times New Roman"/>
          <w:b/>
          <w:color w:val="000000"/>
          <w:sz w:val="20"/>
        </w:rPr>
        <w:t>ASC of East New Orleans, Inc.</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Incorporated State: Delaware </w:t>
      </w:r>
    </w:p>
    <w:p>
      <w:pPr>
        <w:pStyle w:val="TextBody"/>
        <w:bidi w:val="0"/>
        <w:jc w:val="left"/>
        <w:rPr>
          <w:rFonts w:ascii="Times New Roman" w:hAnsi="Times New Roman"/>
          <w:sz w:val="20"/>
        </w:rPr>
      </w:pPr>
      <w:r>
        <w:rPr>
          <w:rFonts w:ascii="Times New Roman" w:hAnsi="Times New Roman"/>
          <w:b/>
          <w:color w:val="000000"/>
          <w:sz w:val="20"/>
        </w:rPr>
        <w:t>ASC of Las Vegas, Inc.</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Incorporated State: Nevada </w:t>
      </w:r>
    </w:p>
    <w:p>
      <w:pPr>
        <w:pStyle w:val="TextBody"/>
        <w:bidi w:val="0"/>
        <w:jc w:val="left"/>
        <w:rPr>
          <w:rFonts w:ascii="Times New Roman" w:hAnsi="Times New Roman"/>
          <w:sz w:val="20"/>
        </w:rPr>
      </w:pPr>
      <w:r>
        <w:rPr>
          <w:rFonts w:ascii="Times New Roman" w:hAnsi="Times New Roman"/>
          <w:b/>
          <w:color w:val="000000"/>
          <w:sz w:val="20"/>
        </w:rPr>
        <w:t>ASC of Midwest City, Inc.</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Incorporated State: Oklahoma </w:t>
      </w:r>
    </w:p>
    <w:p>
      <w:pPr>
        <w:pStyle w:val="TextBody"/>
        <w:bidi w:val="0"/>
        <w:jc w:val="left"/>
        <w:rPr>
          <w:rFonts w:ascii="Times New Roman" w:hAnsi="Times New Roman"/>
          <w:sz w:val="20"/>
        </w:rPr>
      </w:pPr>
      <w:r>
        <w:rPr>
          <w:rFonts w:ascii="Times New Roman" w:hAnsi="Times New Roman"/>
          <w:b/>
          <w:color w:val="000000"/>
          <w:sz w:val="20"/>
        </w:rPr>
        <w:t>ASC of Puerto Rico, Inc.</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Incorporated State: Delaware </w:t>
      </w:r>
    </w:p>
    <w:p>
      <w:pPr>
        <w:pStyle w:val="TextBody"/>
        <w:bidi w:val="0"/>
        <w:jc w:val="left"/>
        <w:rPr>
          <w:rFonts w:ascii="Times New Roman" w:hAnsi="Times New Roman"/>
          <w:sz w:val="20"/>
        </w:rPr>
      </w:pPr>
      <w:r>
        <w:rPr>
          <w:rFonts w:ascii="Times New Roman" w:hAnsi="Times New Roman"/>
          <w:b/>
          <w:color w:val="000000"/>
          <w:sz w:val="20"/>
        </w:rPr>
        <w:t>Ascend Health Corporation</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Incorporated State: Delaware </w:t>
      </w:r>
    </w:p>
    <w:p>
      <w:pPr>
        <w:pStyle w:val="TextBody"/>
        <w:bidi w:val="0"/>
        <w:jc w:val="left"/>
        <w:rPr>
          <w:rFonts w:ascii="Times New Roman" w:hAnsi="Times New Roman"/>
          <w:sz w:val="20"/>
        </w:rPr>
      </w:pPr>
      <w:r>
        <w:rPr>
          <w:rFonts w:ascii="Times New Roman" w:hAnsi="Times New Roman"/>
          <w:b/>
          <w:color w:val="000000"/>
          <w:sz w:val="20"/>
        </w:rPr>
        <w:t>Atlantic Shores Hospital, LLC</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Incorporated State: Delaware </w:t>
      </w:r>
    </w:p>
    <w:p>
      <w:pPr>
        <w:pStyle w:val="TextBody"/>
        <w:bidi w:val="0"/>
        <w:jc w:val="left"/>
        <w:rPr>
          <w:rFonts w:ascii="Times New Roman" w:hAnsi="Times New Roman"/>
          <w:sz w:val="20"/>
        </w:rPr>
      </w:pPr>
      <w:r>
        <w:rPr>
          <w:rFonts w:ascii="Times New Roman" w:hAnsi="Times New Roman"/>
          <w:b/>
          <w:color w:val="000000"/>
          <w:sz w:val="20"/>
        </w:rPr>
        <w:t>Auburn Regional Medical Center, Inc.</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Incorporated State: Washington </w:t>
      </w:r>
    </w:p>
    <w:p>
      <w:pPr>
        <w:pStyle w:val="TextBody"/>
        <w:bidi w:val="0"/>
        <w:jc w:val="left"/>
        <w:rPr>
          <w:rFonts w:ascii="Times New Roman" w:hAnsi="Times New Roman"/>
          <w:b/>
          <w:color w:val="000000"/>
          <w:sz w:val="20"/>
        </w:rPr>
      </w:pPr>
      <w:r>
        <w:rPr>
          <w:rFonts w:ascii="Times New Roman" w:hAnsi="Times New Roman"/>
          <w:b/>
          <w:color w:val="000000"/>
          <w:sz w:val="20"/>
        </w:rPr>
        <w:t>AZ Holding 4, LLC</w:t>
      </w:r>
    </w:p>
    <w:p>
      <w:pPr>
        <w:pStyle w:val="TextBody"/>
        <w:bidi w:val="0"/>
        <w:jc w:val="left"/>
        <w:rPr>
          <w:rFonts w:ascii="Times New Roman" w:hAnsi="Times New Roman"/>
          <w:color w:val="000000"/>
          <w:sz w:val="20"/>
        </w:rPr>
      </w:pPr>
      <w:r>
        <w:rPr>
          <w:rFonts w:ascii="Times New Roman" w:hAnsi="Times New Roman"/>
          <w:color w:val="000000"/>
          <w:sz w:val="20"/>
        </w:rPr>
        <w:t>Incorporated State: Arizona</w:t>
      </w:r>
    </w:p>
    <w:p>
      <w:pPr>
        <w:pStyle w:val="TextBody"/>
        <w:bidi w:val="0"/>
        <w:jc w:val="left"/>
        <w:rPr>
          <w:rFonts w:ascii="Times New Roman" w:hAnsi="Times New Roman"/>
          <w:sz w:val="20"/>
        </w:rPr>
      </w:pPr>
      <w:r>
        <w:rPr>
          <w:rFonts w:ascii="Times New Roman" w:hAnsi="Times New Roman"/>
          <w:b/>
          <w:color w:val="000000"/>
          <w:sz w:val="20"/>
        </w:rPr>
        <w:t>Beach 77 LP</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Incorporated State: Delaware </w:t>
      </w:r>
    </w:p>
    <w:p>
      <w:pPr>
        <w:pStyle w:val="TextBody"/>
        <w:bidi w:val="0"/>
        <w:jc w:val="left"/>
        <w:rPr>
          <w:rFonts w:ascii="Times New Roman" w:hAnsi="Times New Roman"/>
          <w:sz w:val="20"/>
        </w:rPr>
      </w:pPr>
      <w:r>
        <w:rPr>
          <w:rFonts w:ascii="Times New Roman" w:hAnsi="Times New Roman"/>
          <w:b/>
          <w:color w:val="000000"/>
          <w:sz w:val="20"/>
        </w:rPr>
        <w:t>Behavioral Educational Services, Inc.</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Incorporated State: Delaware </w:t>
      </w:r>
    </w:p>
    <w:p>
      <w:pPr>
        <w:pStyle w:val="TextBody"/>
        <w:bidi w:val="0"/>
        <w:jc w:val="left"/>
        <w:rPr>
          <w:rFonts w:ascii="Times New Roman" w:hAnsi="Times New Roman"/>
          <w:sz w:val="20"/>
        </w:rPr>
      </w:pPr>
      <w:r>
        <w:rPr>
          <w:rFonts w:ascii="Times New Roman" w:hAnsi="Times New Roman"/>
          <w:b/>
          <w:color w:val="000000"/>
          <w:sz w:val="20"/>
        </w:rPr>
        <w:t>Behavioral Health Connections, Inc.</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Incorporated State: Texas </w:t>
      </w:r>
    </w:p>
    <w:p>
      <w:pPr>
        <w:pStyle w:val="TextBody"/>
        <w:bidi w:val="0"/>
        <w:jc w:val="left"/>
        <w:rPr>
          <w:rFonts w:ascii="Times New Roman" w:hAnsi="Times New Roman"/>
          <w:sz w:val="20"/>
        </w:rPr>
      </w:pPr>
      <w:r>
        <w:rPr>
          <w:rFonts w:ascii="Times New Roman" w:hAnsi="Times New Roman"/>
          <w:b/>
          <w:color w:val="000000"/>
          <w:sz w:val="20"/>
        </w:rPr>
        <w:t>Behavioral Health Management, LLC</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Incorporated State: Delaware </w:t>
      </w:r>
    </w:p>
    <w:p>
      <w:pPr>
        <w:pStyle w:val="TextBody"/>
        <w:bidi w:val="0"/>
        <w:jc w:val="left"/>
        <w:rPr>
          <w:rFonts w:ascii="Times New Roman" w:hAnsi="Times New Roman"/>
          <w:color w:val="000000"/>
          <w:sz w:val="20"/>
        </w:rPr>
      </w:pPr>
      <w:r>
        <w:rPr>
          <w:rFonts w:ascii="Times New Roman" w:hAnsi="Times New Roman"/>
          <w:color w:val="000000"/>
          <w:sz w:val="20"/>
        </w:rPr>
        <w:t xml:space="preserve">Business Name: Behavioral Hospital of Bellaire </w:t>
      </w:r>
    </w:p>
    <w:p>
      <w:pPr>
        <w:pStyle w:val="TextBody"/>
        <w:bidi w:val="0"/>
        <w:jc w:val="left"/>
        <w:rPr>
          <w:rFonts w:ascii="Times New Roman" w:hAnsi="Times New Roman"/>
          <w:sz w:val="20"/>
        </w:rPr>
      </w:pPr>
      <w:r>
        <w:rPr>
          <w:rFonts w:ascii="Times New Roman" w:hAnsi="Times New Roman"/>
          <w:b/>
          <w:color w:val="000000"/>
          <w:sz w:val="20"/>
        </w:rPr>
        <w:t>Behavioral Health Realty, LLC</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Incorporated State: Delaware </w:t>
      </w:r>
    </w:p>
    <w:p>
      <w:pPr>
        <w:pStyle w:val="TextBody"/>
        <w:bidi w:val="0"/>
        <w:jc w:val="left"/>
        <w:rPr>
          <w:rFonts w:ascii="Times New Roman" w:hAnsi="Times New Roman"/>
          <w:b/>
          <w:color w:val="000000"/>
          <w:sz w:val="20"/>
        </w:rPr>
      </w:pPr>
      <w:r>
        <w:rPr>
          <w:rFonts w:ascii="Times New Roman" w:hAnsi="Times New Roman"/>
          <w:b/>
          <w:color w:val="000000"/>
          <w:sz w:val="20"/>
        </w:rPr>
        <w:t>Behavioral Healthcare Corporation</w:t>
      </w:r>
    </w:p>
    <w:p>
      <w:pPr>
        <w:pStyle w:val="TextBody"/>
        <w:bidi w:val="0"/>
        <w:jc w:val="left"/>
        <w:rPr>
          <w:rFonts w:ascii="Times New Roman" w:hAnsi="Times New Roman"/>
          <w:color w:val="000000"/>
          <w:sz w:val="20"/>
        </w:rPr>
      </w:pPr>
      <w:r>
        <w:rPr>
          <w:rFonts w:ascii="Times New Roman" w:hAnsi="Times New Roman"/>
          <w:color w:val="000000"/>
          <w:sz w:val="20"/>
        </w:rPr>
        <w:t>Incorporated State: Delaware</w:t>
      </w:r>
    </w:p>
    <w:p>
      <w:pPr>
        <w:pStyle w:val="TextBody"/>
        <w:bidi w:val="0"/>
        <w:jc w:val="left"/>
        <w:rPr>
          <w:rFonts w:ascii="Times New Roman" w:hAnsi="Times New Roman"/>
          <w:sz w:val="20"/>
        </w:rPr>
      </w:pPr>
      <w:r>
        <w:rPr>
          <w:rFonts w:ascii="Times New Roman" w:hAnsi="Times New Roman"/>
          <w:b/>
          <w:color w:val="000000"/>
          <w:sz w:val="20"/>
        </w:rPr>
        <w:t>Behavioral Healthcare LLC</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Incorporated State: Delaware </w:t>
      </w:r>
    </w:p>
    <w:p>
      <w:pPr>
        <w:pStyle w:val="TextBody"/>
        <w:bidi w:val="0"/>
        <w:jc w:val="left"/>
        <w:rPr>
          <w:rFonts w:ascii="Times New Roman" w:hAnsi="Times New Roman"/>
          <w:sz w:val="20"/>
        </w:rPr>
      </w:pPr>
      <w:r>
        <w:rPr>
          <w:rFonts w:ascii="Times New Roman" w:hAnsi="Times New Roman"/>
          <w:b/>
          <w:color w:val="000000"/>
          <w:sz w:val="20"/>
        </w:rPr>
        <w:t>Benchmark Behavioral Health System, Inc.</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Incorporated State: Utah </w:t>
      </w:r>
    </w:p>
    <w:p>
      <w:pPr>
        <w:pStyle w:val="TextBody"/>
        <w:bidi w:val="0"/>
        <w:jc w:val="left"/>
        <w:rPr>
          <w:rFonts w:ascii="Times New Roman" w:hAnsi="Times New Roman"/>
          <w:color w:val="000000"/>
          <w:sz w:val="20"/>
        </w:rPr>
      </w:pPr>
      <w:r>
        <w:rPr>
          <w:rFonts w:ascii="Times New Roman" w:hAnsi="Times New Roman"/>
          <w:color w:val="000000"/>
          <w:sz w:val="20"/>
        </w:rPr>
        <w:t xml:space="preserve">Business Name: Benchmark Behavioral Health Systems </w:t>
      </w:r>
    </w:p>
    <w:p>
      <w:pPr>
        <w:pStyle w:val="TextBody"/>
        <w:bidi w:val="0"/>
        <w:jc w:val="left"/>
        <w:rPr>
          <w:rFonts w:ascii="Times New Roman" w:hAnsi="Times New Roman"/>
          <w:sz w:val="20"/>
        </w:rPr>
      </w:pPr>
      <w:r>
        <w:rPr>
          <w:rFonts w:ascii="Times New Roman" w:hAnsi="Times New Roman"/>
          <w:b/>
          <w:color w:val="000000"/>
          <w:sz w:val="20"/>
        </w:rPr>
        <w:t>Bergen Drummers Lane GP, LLC</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Incorporated State: Pennsylvania </w:t>
      </w:r>
    </w:p>
    <w:p>
      <w:pPr>
        <w:pStyle w:val="TextBody"/>
        <w:bidi w:val="0"/>
        <w:jc w:val="left"/>
        <w:rPr>
          <w:rFonts w:ascii="Times New Roman" w:hAnsi="Times New Roman"/>
          <w:sz w:val="20"/>
        </w:rPr>
      </w:pPr>
      <w:r>
        <w:rPr>
          <w:rFonts w:ascii="Times New Roman" w:hAnsi="Times New Roman"/>
          <w:b/>
          <w:color w:val="000000"/>
          <w:sz w:val="20"/>
        </w:rPr>
        <w:t>Bergen Drummers Lane Sub, LLC</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Incorporated State: Pennsylvania </w:t>
      </w:r>
    </w:p>
    <w:p>
      <w:pPr>
        <w:pStyle w:val="TextBody"/>
        <w:bidi w:val="0"/>
        <w:jc w:val="left"/>
        <w:rPr>
          <w:rFonts w:ascii="Times New Roman" w:hAnsi="Times New Roman"/>
          <w:b/>
          <w:color w:val="000000"/>
          <w:sz w:val="20"/>
        </w:rPr>
      </w:pPr>
      <w:r>
        <w:rPr>
          <w:rFonts w:ascii="Times New Roman" w:hAnsi="Times New Roman"/>
          <w:b/>
          <w:color w:val="000000"/>
          <w:sz w:val="20"/>
        </w:rPr>
        <w:t>BH AZ Master, LLC</w:t>
      </w:r>
    </w:p>
    <w:p>
      <w:pPr>
        <w:pStyle w:val="TextBody"/>
        <w:bidi w:val="0"/>
        <w:jc w:val="left"/>
        <w:rPr>
          <w:rFonts w:ascii="Times New Roman" w:hAnsi="Times New Roman"/>
          <w:color w:val="000000"/>
          <w:sz w:val="20"/>
        </w:rPr>
      </w:pPr>
      <w:r>
        <w:rPr>
          <w:rFonts w:ascii="Times New Roman" w:hAnsi="Times New Roman"/>
          <w:color w:val="000000"/>
          <w:sz w:val="20"/>
        </w:rPr>
        <w:t>Incorporated State: Arizona</w:t>
      </w:r>
    </w:p>
    <w:p>
      <w:pPr>
        <w:pStyle w:val="TextBody"/>
        <w:bidi w:val="0"/>
        <w:jc w:val="left"/>
        <w:rPr>
          <w:rFonts w:ascii="Times New Roman" w:hAnsi="Times New Roman"/>
          <w:b/>
          <w:color w:val="000000"/>
          <w:sz w:val="20"/>
        </w:rPr>
      </w:pPr>
      <w:r>
        <w:rPr>
          <w:rFonts w:ascii="Times New Roman" w:hAnsi="Times New Roman"/>
          <w:b/>
          <w:color w:val="000000"/>
          <w:sz w:val="20"/>
        </w:rPr>
        <w:t>BH JV Grand Rapids Employees, LLC</w:t>
      </w:r>
    </w:p>
    <w:p>
      <w:pPr>
        <w:pStyle w:val="TextBody"/>
        <w:bidi w:val="0"/>
        <w:jc w:val="left"/>
        <w:rPr>
          <w:rFonts w:ascii="Times New Roman" w:hAnsi="Times New Roman"/>
          <w:color w:val="000000"/>
          <w:sz w:val="20"/>
        </w:rPr>
      </w:pPr>
      <w:r>
        <w:rPr>
          <w:rFonts w:ascii="Times New Roman" w:hAnsi="Times New Roman"/>
          <w:color w:val="000000"/>
          <w:sz w:val="20"/>
        </w:rPr>
        <w:t>Incorporated State: Delaware</w:t>
      </w:r>
    </w:p>
    <w:p>
      <w:pPr>
        <w:pStyle w:val="TextBody"/>
        <w:bidi w:val="0"/>
        <w:jc w:val="left"/>
        <w:rPr>
          <w:rFonts w:ascii="Times New Roman" w:hAnsi="Times New Roman"/>
          <w:b/>
          <w:color w:val="000000"/>
          <w:sz w:val="20"/>
        </w:rPr>
      </w:pPr>
      <w:r>
        <w:rPr>
          <w:rFonts w:ascii="Times New Roman" w:hAnsi="Times New Roman"/>
          <w:b/>
          <w:color w:val="000000"/>
          <w:sz w:val="20"/>
        </w:rPr>
        <w:t>BH JV Grand Rapids, LLC</w:t>
      </w:r>
    </w:p>
    <w:p>
      <w:pPr>
        <w:pStyle w:val="TextBody"/>
        <w:bidi w:val="0"/>
        <w:jc w:val="left"/>
        <w:rPr>
          <w:rFonts w:ascii="Times New Roman" w:hAnsi="Times New Roman"/>
          <w:color w:val="000000"/>
          <w:sz w:val="20"/>
        </w:rPr>
      </w:pPr>
      <w:r>
        <w:rPr>
          <w:rFonts w:ascii="Times New Roman" w:hAnsi="Times New Roman"/>
          <w:color w:val="000000"/>
          <w:sz w:val="20"/>
        </w:rPr>
        <w:t>Incorporated State: Michigan</w:t>
      </w:r>
    </w:p>
    <w:p>
      <w:pPr>
        <w:pStyle w:val="TextBody"/>
        <w:bidi w:val="0"/>
        <w:jc w:val="left"/>
        <w:rPr>
          <w:rFonts w:ascii="Times New Roman" w:hAnsi="Times New Roman"/>
          <w:color w:val="000000"/>
          <w:sz w:val="20"/>
        </w:rPr>
      </w:pPr>
      <w:r>
        <w:rPr>
          <w:rFonts w:ascii="Times New Roman" w:hAnsi="Times New Roman"/>
          <w:color w:val="000000"/>
          <w:sz w:val="20"/>
        </w:rPr>
        <w:t>Business Name: Southridge Behavioral Hospital</w:t>
      </w:r>
    </w:p>
    <w:p>
      <w:pPr>
        <w:pStyle w:val="TextBody"/>
        <w:bidi w:val="0"/>
        <w:jc w:val="left"/>
        <w:rPr>
          <w:rFonts w:ascii="Times New Roman" w:hAnsi="Times New Roman"/>
          <w:b/>
          <w:color w:val="000000"/>
          <w:sz w:val="20"/>
        </w:rPr>
      </w:pPr>
      <w:r>
        <w:rPr>
          <w:rFonts w:ascii="Times New Roman" w:hAnsi="Times New Roman"/>
          <w:b/>
          <w:color w:val="000000"/>
          <w:sz w:val="20"/>
        </w:rPr>
        <w:t>BH Newco Hospital, LLC</w:t>
      </w:r>
    </w:p>
    <w:p>
      <w:pPr>
        <w:pStyle w:val="TextBody"/>
        <w:bidi w:val="0"/>
        <w:jc w:val="left"/>
        <w:rPr>
          <w:rFonts w:ascii="Times New Roman" w:hAnsi="Times New Roman"/>
          <w:color w:val="000000"/>
          <w:sz w:val="20"/>
        </w:rPr>
      </w:pPr>
      <w:r>
        <w:rPr>
          <w:rFonts w:ascii="Times New Roman" w:hAnsi="Times New Roman"/>
          <w:color w:val="000000"/>
          <w:sz w:val="20"/>
        </w:rPr>
        <w:t>Incorporated State: Arizona</w:t>
      </w:r>
    </w:p>
    <w:p>
      <w:pPr>
        <w:pStyle w:val="TextBody"/>
        <w:bidi w:val="0"/>
        <w:jc w:val="left"/>
        <w:rPr>
          <w:rFonts w:ascii="Times New Roman" w:hAnsi="Times New Roman"/>
          <w:color w:val="000000"/>
          <w:sz w:val="20"/>
        </w:rPr>
      </w:pPr>
      <w:r>
        <w:rPr>
          <w:rFonts w:ascii="Times New Roman" w:hAnsi="Times New Roman"/>
          <w:color w:val="000000"/>
          <w:sz w:val="20"/>
        </w:rPr>
        <w:t>Business Name: Via Linda Behavioral Hospital</w:t>
      </w:r>
    </w:p>
    <w:p>
      <w:pPr>
        <w:pStyle w:val="TextBody"/>
        <w:bidi w:val="0"/>
        <w:jc w:val="left"/>
        <w:rPr>
          <w:rFonts w:ascii="Times New Roman" w:hAnsi="Times New Roman"/>
          <w:sz w:val="20"/>
        </w:rPr>
      </w:pPr>
      <w:r>
        <w:rPr>
          <w:rFonts w:ascii="Times New Roman" w:hAnsi="Times New Roman"/>
          <w:b/>
          <w:color w:val="000000"/>
          <w:sz w:val="20"/>
        </w:rPr>
        <w:t>BHC Alhambra Hospital, Inc.</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Incorporated State: Tennessee </w:t>
      </w:r>
    </w:p>
    <w:p>
      <w:pPr>
        <w:pStyle w:val="TextBody"/>
        <w:bidi w:val="0"/>
        <w:jc w:val="left"/>
        <w:rPr>
          <w:rFonts w:ascii="Times New Roman" w:hAnsi="Times New Roman"/>
          <w:color w:val="000000"/>
          <w:sz w:val="20"/>
        </w:rPr>
      </w:pPr>
      <w:r>
        <w:rPr>
          <w:rFonts w:ascii="Times New Roman" w:hAnsi="Times New Roman"/>
          <w:color w:val="000000"/>
          <w:sz w:val="20"/>
        </w:rPr>
        <w:t xml:space="preserve">Business Name: BHC Alhambra Hospital </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sz w:val="20"/>
        </w:rPr>
      </w:pPr>
      <w:r>
        <w:rPr>
          <w:rFonts w:ascii="Times New Roman" w:hAnsi="Times New Roman"/>
          <w:b/>
          <w:color w:val="000000"/>
          <w:sz w:val="20"/>
        </w:rPr>
        <w:t>BHC Belmont Pines Hospital, Inc.</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Incorporated State: Tennessee </w:t>
      </w:r>
    </w:p>
    <w:p>
      <w:pPr>
        <w:pStyle w:val="TextBody"/>
        <w:bidi w:val="0"/>
        <w:jc w:val="left"/>
        <w:rPr>
          <w:rFonts w:ascii="Times New Roman" w:hAnsi="Times New Roman"/>
          <w:color w:val="000000"/>
          <w:sz w:val="20"/>
        </w:rPr>
      </w:pPr>
      <w:r>
        <w:rPr>
          <w:rFonts w:ascii="Times New Roman" w:hAnsi="Times New Roman"/>
          <w:color w:val="000000"/>
          <w:sz w:val="20"/>
        </w:rPr>
        <w:t xml:space="preserve">Business Name: Belmont Pines Hospital </w:t>
      </w:r>
    </w:p>
    <w:p>
      <w:pPr>
        <w:pStyle w:val="TextBody"/>
        <w:bidi w:val="0"/>
        <w:jc w:val="left"/>
        <w:rPr>
          <w:rFonts w:ascii="Times New Roman" w:hAnsi="Times New Roman"/>
          <w:sz w:val="20"/>
        </w:rPr>
      </w:pPr>
      <w:r>
        <w:rPr>
          <w:rFonts w:ascii="Times New Roman" w:hAnsi="Times New Roman"/>
          <w:b/>
          <w:color w:val="000000"/>
          <w:sz w:val="20"/>
        </w:rPr>
        <w:t>BHC Fairfax Hospital, Inc.</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Incorporated State: Tennessee </w:t>
      </w:r>
    </w:p>
    <w:p>
      <w:pPr>
        <w:pStyle w:val="TextBody"/>
        <w:bidi w:val="0"/>
        <w:jc w:val="left"/>
        <w:rPr>
          <w:rFonts w:ascii="Times New Roman" w:hAnsi="Times New Roman"/>
          <w:color w:val="000000"/>
          <w:sz w:val="20"/>
        </w:rPr>
      </w:pPr>
      <w:r>
        <w:rPr>
          <w:rFonts w:ascii="Times New Roman" w:hAnsi="Times New Roman"/>
          <w:color w:val="000000"/>
          <w:sz w:val="20"/>
        </w:rPr>
        <w:t>Business Name: Fairfax Behavioral Health, Fairfax Behavioral Health Monroe and Fairfax Behavioral Health Everett</w:t>
      </w:r>
    </w:p>
    <w:p>
      <w:pPr>
        <w:pStyle w:val="TextBody"/>
        <w:bidi w:val="0"/>
        <w:jc w:val="left"/>
        <w:rPr>
          <w:rFonts w:ascii="Times New Roman" w:hAnsi="Times New Roman"/>
          <w:sz w:val="20"/>
        </w:rPr>
      </w:pPr>
      <w:r>
        <w:rPr>
          <w:rFonts w:ascii="Times New Roman" w:hAnsi="Times New Roman"/>
          <w:b/>
          <w:color w:val="000000"/>
          <w:sz w:val="20"/>
        </w:rPr>
        <w:t>BHC Fox Run Hospital, Inc.</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Incorporated State: Tennessee </w:t>
      </w:r>
    </w:p>
    <w:p>
      <w:pPr>
        <w:pStyle w:val="TextBody"/>
        <w:bidi w:val="0"/>
        <w:jc w:val="left"/>
        <w:rPr>
          <w:rFonts w:ascii="Times New Roman" w:hAnsi="Times New Roman"/>
          <w:color w:val="000000"/>
          <w:sz w:val="20"/>
        </w:rPr>
      </w:pPr>
      <w:r>
        <w:rPr>
          <w:rFonts w:ascii="Times New Roman" w:hAnsi="Times New Roman"/>
          <w:color w:val="000000"/>
          <w:sz w:val="20"/>
        </w:rPr>
        <w:t xml:space="preserve">Business Name: Fox Run Center </w:t>
      </w:r>
    </w:p>
    <w:p>
      <w:pPr>
        <w:pStyle w:val="TextBody"/>
        <w:bidi w:val="0"/>
        <w:jc w:val="left"/>
        <w:rPr>
          <w:rFonts w:ascii="Times New Roman" w:hAnsi="Times New Roman"/>
          <w:sz w:val="20"/>
        </w:rPr>
      </w:pPr>
      <w:r>
        <w:rPr>
          <w:rFonts w:ascii="Times New Roman" w:hAnsi="Times New Roman"/>
          <w:b/>
          <w:color w:val="000000"/>
          <w:sz w:val="20"/>
        </w:rPr>
        <w:t>BHC Fremont Hospital, Inc.</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Incorporated State: Tennessee </w:t>
      </w:r>
    </w:p>
    <w:p>
      <w:pPr>
        <w:pStyle w:val="TextBody"/>
        <w:bidi w:val="0"/>
        <w:jc w:val="left"/>
        <w:rPr>
          <w:rFonts w:ascii="Times New Roman" w:hAnsi="Times New Roman"/>
          <w:color w:val="000000"/>
          <w:sz w:val="20"/>
        </w:rPr>
      </w:pPr>
      <w:r>
        <w:rPr>
          <w:rFonts w:ascii="Times New Roman" w:hAnsi="Times New Roman"/>
          <w:color w:val="000000"/>
          <w:sz w:val="20"/>
        </w:rPr>
        <w:t xml:space="preserve">Business Name: Fremont Hospital </w:t>
      </w:r>
    </w:p>
    <w:p>
      <w:pPr>
        <w:pStyle w:val="TextBody"/>
        <w:bidi w:val="0"/>
        <w:jc w:val="left"/>
        <w:rPr>
          <w:rFonts w:ascii="Times New Roman" w:hAnsi="Times New Roman"/>
          <w:sz w:val="20"/>
        </w:rPr>
      </w:pPr>
      <w:r>
        <w:rPr>
          <w:rFonts w:ascii="Times New Roman" w:hAnsi="Times New Roman"/>
          <w:b/>
          <w:color w:val="000000"/>
          <w:sz w:val="20"/>
        </w:rPr>
        <w:t>BHC Health Services of Nevada, Inc.</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Incorporated State: Nevada </w:t>
      </w:r>
    </w:p>
    <w:p>
      <w:pPr>
        <w:pStyle w:val="TextBody"/>
        <w:bidi w:val="0"/>
        <w:jc w:val="left"/>
        <w:rPr>
          <w:rFonts w:ascii="Times New Roman" w:hAnsi="Times New Roman"/>
          <w:sz w:val="20"/>
        </w:rPr>
      </w:pPr>
      <w:r>
        <w:rPr>
          <w:rFonts w:ascii="Times New Roman" w:hAnsi="Times New Roman"/>
          <w:b/>
          <w:color w:val="000000"/>
          <w:sz w:val="20"/>
        </w:rPr>
        <w:t>BHC Heritage Oaks Hospital, Inc.</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Incorporated State: Tennessee </w:t>
      </w:r>
    </w:p>
    <w:p>
      <w:pPr>
        <w:pStyle w:val="TextBody"/>
        <w:bidi w:val="0"/>
        <w:jc w:val="left"/>
        <w:rPr>
          <w:rFonts w:ascii="Times New Roman" w:hAnsi="Times New Roman"/>
          <w:color w:val="000000"/>
          <w:sz w:val="20"/>
        </w:rPr>
      </w:pPr>
      <w:r>
        <w:rPr>
          <w:rFonts w:ascii="Times New Roman" w:hAnsi="Times New Roman"/>
          <w:color w:val="000000"/>
          <w:sz w:val="20"/>
        </w:rPr>
        <w:t xml:space="preserve">Business Name: Heritage Oaks Hospital </w:t>
      </w:r>
    </w:p>
    <w:p>
      <w:pPr>
        <w:pStyle w:val="TextBody"/>
        <w:bidi w:val="0"/>
        <w:jc w:val="left"/>
        <w:rPr>
          <w:rFonts w:ascii="Times New Roman" w:hAnsi="Times New Roman"/>
          <w:b/>
          <w:color w:val="000000"/>
          <w:sz w:val="20"/>
        </w:rPr>
      </w:pPr>
      <w:r>
        <w:rPr>
          <w:rFonts w:ascii="Times New Roman" w:hAnsi="Times New Roman"/>
          <w:b/>
          <w:color w:val="000000"/>
          <w:sz w:val="20"/>
        </w:rPr>
        <w:t>BHC Holdings, Inc.</w:t>
      </w:r>
    </w:p>
    <w:p>
      <w:pPr>
        <w:pStyle w:val="TextBody"/>
        <w:bidi w:val="0"/>
        <w:jc w:val="left"/>
        <w:rPr>
          <w:rFonts w:ascii="Times New Roman" w:hAnsi="Times New Roman"/>
          <w:color w:val="000000"/>
          <w:sz w:val="20"/>
        </w:rPr>
      </w:pPr>
      <w:r>
        <w:rPr>
          <w:rFonts w:ascii="Times New Roman" w:hAnsi="Times New Roman"/>
          <w:color w:val="000000"/>
          <w:sz w:val="20"/>
        </w:rPr>
        <w:t xml:space="preserve">Incorporated State: Delaware </w:t>
      </w:r>
    </w:p>
    <w:p>
      <w:pPr>
        <w:pStyle w:val="TextBody"/>
        <w:bidi w:val="0"/>
        <w:jc w:val="left"/>
        <w:rPr>
          <w:rFonts w:ascii="Times New Roman" w:hAnsi="Times New Roman"/>
          <w:sz w:val="20"/>
        </w:rPr>
      </w:pPr>
      <w:r>
        <w:rPr>
          <w:rFonts w:ascii="Times New Roman" w:hAnsi="Times New Roman"/>
          <w:b/>
          <w:color w:val="000000"/>
          <w:sz w:val="20"/>
        </w:rPr>
        <w:t>BHC Intermountain Hospital, Inc.</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Incorporated State: Tennessee </w:t>
      </w:r>
    </w:p>
    <w:p>
      <w:pPr>
        <w:pStyle w:val="TextBody"/>
        <w:bidi w:val="0"/>
        <w:jc w:val="left"/>
        <w:rPr>
          <w:rFonts w:ascii="Times New Roman" w:hAnsi="Times New Roman"/>
          <w:color w:val="000000"/>
          <w:sz w:val="20"/>
        </w:rPr>
      </w:pPr>
      <w:r>
        <w:rPr>
          <w:rFonts w:ascii="Times New Roman" w:hAnsi="Times New Roman"/>
          <w:color w:val="000000"/>
          <w:sz w:val="20"/>
        </w:rPr>
        <w:t xml:space="preserve">Business Name: Intermountain Hospital </w:t>
      </w:r>
    </w:p>
    <w:p>
      <w:pPr>
        <w:pStyle w:val="TextBody"/>
        <w:bidi w:val="0"/>
        <w:jc w:val="left"/>
        <w:rPr>
          <w:rFonts w:ascii="Times New Roman" w:hAnsi="Times New Roman"/>
          <w:sz w:val="20"/>
        </w:rPr>
      </w:pPr>
      <w:r>
        <w:rPr>
          <w:rFonts w:ascii="Times New Roman" w:hAnsi="Times New Roman"/>
          <w:b/>
          <w:color w:val="000000"/>
          <w:sz w:val="20"/>
        </w:rPr>
        <w:t>BHC Management Services of Streamwood, LLC</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Incorporated State: Delaware </w:t>
      </w:r>
    </w:p>
    <w:p>
      <w:pPr>
        <w:pStyle w:val="TextBody"/>
        <w:bidi w:val="0"/>
        <w:jc w:val="left"/>
        <w:rPr>
          <w:rFonts w:ascii="Times New Roman" w:hAnsi="Times New Roman"/>
          <w:sz w:val="20"/>
        </w:rPr>
      </w:pPr>
      <w:r>
        <w:rPr>
          <w:rFonts w:ascii="Times New Roman" w:hAnsi="Times New Roman"/>
          <w:b/>
          <w:color w:val="000000"/>
          <w:sz w:val="20"/>
        </w:rPr>
        <w:t>BHC Mesilla Valley Hospital, LLC</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Incorporated State: Delaware </w:t>
      </w:r>
    </w:p>
    <w:p>
      <w:pPr>
        <w:pStyle w:val="TextBody"/>
        <w:bidi w:val="0"/>
        <w:jc w:val="left"/>
        <w:rPr>
          <w:rFonts w:ascii="Times New Roman" w:hAnsi="Times New Roman"/>
          <w:color w:val="000000"/>
          <w:sz w:val="20"/>
        </w:rPr>
      </w:pPr>
      <w:r>
        <w:rPr>
          <w:rFonts w:ascii="Times New Roman" w:hAnsi="Times New Roman"/>
          <w:color w:val="000000"/>
          <w:sz w:val="20"/>
        </w:rPr>
        <w:t xml:space="preserve">Business Name: Mesilla Valley Hospital </w:t>
      </w:r>
    </w:p>
    <w:p>
      <w:pPr>
        <w:pStyle w:val="TextBody"/>
        <w:bidi w:val="0"/>
        <w:jc w:val="left"/>
        <w:rPr>
          <w:rFonts w:ascii="Times New Roman" w:hAnsi="Times New Roman"/>
          <w:sz w:val="20"/>
        </w:rPr>
      </w:pPr>
      <w:r>
        <w:rPr>
          <w:rFonts w:ascii="Times New Roman" w:hAnsi="Times New Roman"/>
          <w:b/>
          <w:color w:val="000000"/>
          <w:sz w:val="20"/>
        </w:rPr>
        <w:t>BHC Montevista Hospital, Inc.</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Incorporated State: Nevada </w:t>
      </w:r>
    </w:p>
    <w:p>
      <w:pPr>
        <w:pStyle w:val="TextBody"/>
        <w:bidi w:val="0"/>
        <w:jc w:val="left"/>
        <w:rPr>
          <w:rFonts w:ascii="Times New Roman" w:hAnsi="Times New Roman"/>
          <w:sz w:val="20"/>
        </w:rPr>
      </w:pPr>
      <w:r>
        <w:rPr>
          <w:rFonts w:ascii="Times New Roman" w:hAnsi="Times New Roman"/>
          <w:b/>
          <w:color w:val="000000"/>
          <w:sz w:val="20"/>
        </w:rPr>
        <w:t>BHC Northwest Psychiatric Hospital, LLC</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Incorporated State: Delaware </w:t>
      </w:r>
    </w:p>
    <w:p>
      <w:pPr>
        <w:pStyle w:val="TextBody"/>
        <w:bidi w:val="0"/>
        <w:jc w:val="left"/>
        <w:rPr>
          <w:rFonts w:ascii="Times New Roman" w:hAnsi="Times New Roman"/>
          <w:color w:val="000000"/>
          <w:sz w:val="20"/>
        </w:rPr>
      </w:pPr>
      <w:r>
        <w:rPr>
          <w:rFonts w:ascii="Times New Roman" w:hAnsi="Times New Roman"/>
          <w:color w:val="000000"/>
          <w:sz w:val="20"/>
        </w:rPr>
        <w:t xml:space="preserve">Business Name: Brooke Glen Behavioral Hospital </w:t>
      </w:r>
    </w:p>
    <w:p>
      <w:pPr>
        <w:pStyle w:val="TextBody"/>
        <w:bidi w:val="0"/>
        <w:jc w:val="left"/>
        <w:rPr>
          <w:rFonts w:ascii="Times New Roman" w:hAnsi="Times New Roman"/>
          <w:sz w:val="20"/>
        </w:rPr>
      </w:pPr>
      <w:r>
        <w:rPr>
          <w:rFonts w:ascii="Times New Roman" w:hAnsi="Times New Roman"/>
          <w:b/>
          <w:color w:val="000000"/>
          <w:sz w:val="20"/>
        </w:rPr>
        <w:t>BHC of Indiana, General Partnership</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Incorporated State: Tennessee </w:t>
      </w:r>
    </w:p>
    <w:p>
      <w:pPr>
        <w:pStyle w:val="TextBody"/>
        <w:bidi w:val="0"/>
        <w:jc w:val="left"/>
        <w:rPr>
          <w:rFonts w:ascii="Times New Roman" w:hAnsi="Times New Roman"/>
          <w:sz w:val="20"/>
        </w:rPr>
      </w:pPr>
      <w:r>
        <w:rPr>
          <w:rFonts w:ascii="Times New Roman" w:hAnsi="Times New Roman"/>
          <w:b/>
          <w:color w:val="000000"/>
          <w:sz w:val="20"/>
        </w:rPr>
        <w:t>BHC Pinnacle Pointe Hospital, LLC</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Incorporated State: Tennessee </w:t>
      </w:r>
    </w:p>
    <w:p>
      <w:pPr>
        <w:pStyle w:val="TextBody"/>
        <w:bidi w:val="0"/>
        <w:jc w:val="left"/>
        <w:rPr>
          <w:rFonts w:ascii="Times New Roman" w:hAnsi="Times New Roman"/>
          <w:color w:val="000000"/>
          <w:sz w:val="20"/>
        </w:rPr>
      </w:pPr>
      <w:r>
        <w:rPr>
          <w:rFonts w:ascii="Times New Roman" w:hAnsi="Times New Roman"/>
          <w:color w:val="000000"/>
          <w:sz w:val="20"/>
        </w:rPr>
        <w:t>Business Name: Pinnacle Pointe Behavioral Healthcare System and The Pointe Outpatient Behavioral Health Services</w:t>
      </w:r>
    </w:p>
    <w:p>
      <w:pPr>
        <w:pStyle w:val="TextBody"/>
        <w:bidi w:val="0"/>
        <w:jc w:val="left"/>
        <w:rPr>
          <w:rFonts w:ascii="Times New Roman" w:hAnsi="Times New Roman"/>
          <w:sz w:val="20"/>
        </w:rPr>
      </w:pPr>
      <w:r>
        <w:rPr>
          <w:rFonts w:ascii="Times New Roman" w:hAnsi="Times New Roman"/>
          <w:b/>
          <w:color w:val="000000"/>
          <w:sz w:val="20"/>
        </w:rPr>
        <w:t>BHC Properties, LLC</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Incorporated State: Tennessee </w:t>
      </w:r>
    </w:p>
    <w:p>
      <w:pPr>
        <w:pStyle w:val="TextBody"/>
        <w:bidi w:val="0"/>
        <w:jc w:val="left"/>
        <w:rPr>
          <w:rFonts w:ascii="Times New Roman" w:hAnsi="Times New Roman"/>
          <w:sz w:val="20"/>
        </w:rPr>
      </w:pPr>
      <w:r>
        <w:rPr>
          <w:rFonts w:ascii="Times New Roman" w:hAnsi="Times New Roman"/>
          <w:b/>
          <w:color w:val="000000"/>
          <w:sz w:val="20"/>
        </w:rPr>
        <w:t>BHC Sierra Vista Hospital, Inc.</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Incorporated State: Tennessee </w:t>
      </w:r>
    </w:p>
    <w:p>
      <w:pPr>
        <w:pStyle w:val="TextBody"/>
        <w:bidi w:val="0"/>
        <w:jc w:val="left"/>
        <w:rPr>
          <w:rFonts w:ascii="Times New Roman" w:hAnsi="Times New Roman"/>
          <w:color w:val="000000"/>
          <w:sz w:val="20"/>
        </w:rPr>
      </w:pPr>
      <w:r>
        <w:rPr>
          <w:rFonts w:ascii="Times New Roman" w:hAnsi="Times New Roman"/>
          <w:color w:val="000000"/>
          <w:sz w:val="20"/>
        </w:rPr>
        <w:t xml:space="preserve">Business Name: Sierra Vista Hospital </w:t>
      </w:r>
    </w:p>
    <w:p>
      <w:pPr>
        <w:pStyle w:val="TextBody"/>
        <w:bidi w:val="0"/>
        <w:jc w:val="left"/>
        <w:rPr>
          <w:rFonts w:ascii="Times New Roman" w:hAnsi="Times New Roman"/>
          <w:b/>
          <w:color w:val="000000"/>
          <w:sz w:val="20"/>
        </w:rPr>
      </w:pPr>
      <w:r>
        <w:rPr>
          <w:rFonts w:ascii="Times New Roman" w:hAnsi="Times New Roman"/>
          <w:b/>
          <w:color w:val="000000"/>
          <w:sz w:val="20"/>
        </w:rPr>
        <w:t>BHC Streamwood Hospital, Inc.</w:t>
      </w:r>
    </w:p>
    <w:p>
      <w:pPr>
        <w:pStyle w:val="TextBody"/>
        <w:bidi w:val="0"/>
        <w:jc w:val="left"/>
        <w:rPr>
          <w:rFonts w:ascii="Times New Roman" w:hAnsi="Times New Roman"/>
          <w:color w:val="000000"/>
          <w:sz w:val="20"/>
        </w:rPr>
      </w:pPr>
      <w:r>
        <w:rPr>
          <w:rFonts w:ascii="Times New Roman" w:hAnsi="Times New Roman"/>
          <w:color w:val="000000"/>
          <w:sz w:val="20"/>
        </w:rPr>
        <w:t xml:space="preserve">Incorporated State: Tennessee </w:t>
      </w:r>
    </w:p>
    <w:p>
      <w:pPr>
        <w:pStyle w:val="TextBody"/>
        <w:bidi w:val="0"/>
        <w:jc w:val="left"/>
        <w:rPr>
          <w:rFonts w:ascii="Times New Roman" w:hAnsi="Times New Roman"/>
          <w:color w:val="000000"/>
          <w:sz w:val="20"/>
        </w:rPr>
      </w:pPr>
      <w:r>
        <w:rPr>
          <w:rFonts w:ascii="Times New Roman" w:hAnsi="Times New Roman"/>
          <w:color w:val="000000"/>
          <w:sz w:val="20"/>
        </w:rPr>
        <w:t xml:space="preserve">Business Name: Streamwood Behavioral Health System </w:t>
      </w:r>
    </w:p>
    <w:p>
      <w:pPr>
        <w:pStyle w:val="TextBody"/>
        <w:bidi w:val="0"/>
        <w:jc w:val="left"/>
        <w:rPr>
          <w:rFonts w:ascii="Times New Roman" w:hAnsi="Times New Roman"/>
          <w:b/>
          <w:color w:val="000000"/>
          <w:sz w:val="20"/>
        </w:rPr>
      </w:pPr>
      <w:r>
        <w:rPr>
          <w:rFonts w:ascii="Times New Roman" w:hAnsi="Times New Roman"/>
          <w:b/>
          <w:color w:val="000000"/>
          <w:sz w:val="20"/>
        </w:rPr>
        <w:t>Black Bear Treatment Center, LLC</w:t>
      </w:r>
    </w:p>
    <w:p>
      <w:pPr>
        <w:pStyle w:val="TextBody"/>
        <w:bidi w:val="0"/>
        <w:jc w:val="left"/>
        <w:rPr>
          <w:rFonts w:ascii="Times New Roman" w:hAnsi="Times New Roman"/>
          <w:color w:val="000000"/>
          <w:sz w:val="20"/>
        </w:rPr>
      </w:pPr>
      <w:r>
        <w:rPr>
          <w:rFonts w:ascii="Times New Roman" w:hAnsi="Times New Roman"/>
          <w:color w:val="000000"/>
          <w:sz w:val="20"/>
        </w:rPr>
        <w:t>Incorporated State: Delaware</w:t>
      </w:r>
    </w:p>
    <w:p>
      <w:pPr>
        <w:pStyle w:val="TextBody"/>
        <w:bidi w:val="0"/>
        <w:jc w:val="left"/>
        <w:rPr>
          <w:rFonts w:ascii="Times New Roman" w:hAnsi="Times New Roman"/>
          <w:color w:val="000000"/>
          <w:sz w:val="20"/>
        </w:rPr>
      </w:pPr>
      <w:r>
        <w:rPr>
          <w:rFonts w:ascii="Times New Roman" w:hAnsi="Times New Roman"/>
          <w:color w:val="000000"/>
          <w:sz w:val="20"/>
        </w:rPr>
        <w:t>Business Name: Black Bear Lodge</w:t>
      </w:r>
    </w:p>
    <w:p>
      <w:pPr>
        <w:pStyle w:val="TextBody"/>
        <w:bidi w:val="0"/>
        <w:jc w:val="left"/>
        <w:rPr>
          <w:rFonts w:ascii="Times New Roman" w:hAnsi="Times New Roman"/>
          <w:sz w:val="20"/>
        </w:rPr>
      </w:pPr>
      <w:r>
        <w:rPr>
          <w:rFonts w:ascii="Times New Roman" w:hAnsi="Times New Roman"/>
          <w:b/>
          <w:color w:val="000000"/>
          <w:sz w:val="20"/>
        </w:rPr>
        <w:t>Bloomington Meadows, General Partnership</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Incorporated State: Tennessee </w:t>
      </w:r>
    </w:p>
    <w:p>
      <w:pPr>
        <w:pStyle w:val="TextBody"/>
        <w:bidi w:val="0"/>
        <w:jc w:val="left"/>
        <w:rPr>
          <w:rFonts w:ascii="Times New Roman" w:hAnsi="Times New Roman"/>
          <w:color w:val="000000"/>
          <w:sz w:val="20"/>
        </w:rPr>
      </w:pPr>
      <w:r>
        <w:rPr>
          <w:rFonts w:ascii="Times New Roman" w:hAnsi="Times New Roman"/>
          <w:color w:val="000000"/>
          <w:sz w:val="20"/>
        </w:rPr>
        <w:t xml:space="preserve">Business Name: Bloomington Meadows Hospital </w:t>
      </w:r>
    </w:p>
    <w:p>
      <w:pPr>
        <w:pStyle w:val="TextBody"/>
        <w:bidi w:val="0"/>
        <w:jc w:val="left"/>
        <w:rPr>
          <w:rFonts w:ascii="Times New Roman" w:hAnsi="Times New Roman"/>
          <w:sz w:val="20"/>
        </w:rPr>
      </w:pPr>
      <w:r>
        <w:rPr>
          <w:rFonts w:ascii="Times New Roman" w:hAnsi="Times New Roman"/>
          <w:b/>
          <w:color w:val="000000"/>
          <w:sz w:val="20"/>
        </w:rPr>
        <w:t>Brentwood Acquisition, Inc.</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Incorporation State: Tennessee </w:t>
      </w:r>
    </w:p>
    <w:p>
      <w:pPr>
        <w:pStyle w:val="TextBody"/>
        <w:bidi w:val="0"/>
        <w:jc w:val="left"/>
        <w:rPr>
          <w:rFonts w:ascii="Times New Roman" w:hAnsi="Times New Roman"/>
          <w:color w:val="000000"/>
          <w:sz w:val="20"/>
        </w:rPr>
      </w:pPr>
      <w:r>
        <w:rPr>
          <w:rFonts w:ascii="Times New Roman" w:hAnsi="Times New Roman"/>
          <w:color w:val="000000"/>
          <w:sz w:val="20"/>
        </w:rPr>
        <w:t xml:space="preserve">Business Name: Brentwood Behavioral Healthcare </w:t>
      </w:r>
    </w:p>
    <w:p>
      <w:pPr>
        <w:pStyle w:val="TextBody"/>
        <w:bidi w:val="0"/>
        <w:jc w:val="left"/>
        <w:rPr>
          <w:rFonts w:ascii="Times New Roman" w:hAnsi="Times New Roman"/>
          <w:sz w:val="20"/>
        </w:rPr>
      </w:pPr>
      <w:r>
        <w:rPr>
          <w:rFonts w:ascii="Times New Roman" w:hAnsi="Times New Roman"/>
          <w:b/>
          <w:color w:val="000000"/>
          <w:sz w:val="20"/>
        </w:rPr>
        <w:t>Brentwood Acquisition-Shreveport, Inc.</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Incorporation State: Delaware </w:t>
      </w:r>
    </w:p>
    <w:p>
      <w:pPr>
        <w:pStyle w:val="TextBody"/>
        <w:bidi w:val="0"/>
        <w:jc w:val="left"/>
        <w:rPr>
          <w:rFonts w:ascii="Times New Roman" w:hAnsi="Times New Roman"/>
          <w:color w:val="000000"/>
          <w:sz w:val="20"/>
        </w:rPr>
      </w:pPr>
      <w:r>
        <w:rPr>
          <w:rFonts w:ascii="Times New Roman" w:hAnsi="Times New Roman"/>
          <w:color w:val="000000"/>
          <w:sz w:val="20"/>
        </w:rPr>
        <w:t xml:space="preserve">Business Name: Brentwood Hospital </w:t>
      </w:r>
    </w:p>
    <w:p>
      <w:pPr>
        <w:pStyle w:val="TextBody"/>
        <w:bidi w:val="0"/>
        <w:jc w:val="left"/>
        <w:rPr>
          <w:rFonts w:ascii="Times New Roman" w:hAnsi="Times New Roman"/>
          <w:sz w:val="20"/>
        </w:rPr>
      </w:pPr>
      <w:r>
        <w:rPr>
          <w:rFonts w:ascii="Times New Roman" w:hAnsi="Times New Roman"/>
          <w:b/>
          <w:color w:val="000000"/>
          <w:sz w:val="20"/>
        </w:rPr>
        <w:t>Brynn Marr Hospital, Inc.</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Incorporation State: North Carolina </w:t>
      </w:r>
    </w:p>
    <w:p>
      <w:pPr>
        <w:pStyle w:val="TextBody"/>
        <w:bidi w:val="0"/>
        <w:jc w:val="left"/>
        <w:rPr>
          <w:rFonts w:ascii="Times New Roman" w:hAnsi="Times New Roman"/>
          <w:color w:val="000000"/>
          <w:sz w:val="20"/>
        </w:rPr>
      </w:pPr>
      <w:r>
        <w:rPr>
          <w:rFonts w:ascii="Times New Roman" w:hAnsi="Times New Roman"/>
          <w:color w:val="000000"/>
          <w:sz w:val="20"/>
        </w:rPr>
        <w:t xml:space="preserve">Business Name: Brynn Marr Hospital </w:t>
      </w:r>
    </w:p>
    <w:p>
      <w:pPr>
        <w:pStyle w:val="TextBody"/>
        <w:bidi w:val="0"/>
        <w:jc w:val="left"/>
        <w:rPr>
          <w:rFonts w:ascii="Times New Roman" w:hAnsi="Times New Roman"/>
          <w:b/>
          <w:color w:val="000000"/>
          <w:sz w:val="20"/>
        </w:rPr>
      </w:pPr>
      <w:r>
        <w:rPr>
          <w:rFonts w:ascii="Times New Roman" w:hAnsi="Times New Roman"/>
          <w:b/>
          <w:color w:val="000000"/>
          <w:sz w:val="20"/>
        </w:rPr>
        <w:t>Caireach Limited</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color w:val="000000"/>
          <w:sz w:val="20"/>
        </w:rPr>
      </w:pPr>
      <w:r>
        <w:rPr>
          <w:rFonts w:ascii="Times New Roman" w:hAnsi="Times New Roman"/>
          <w:color w:val="000000"/>
          <w:sz w:val="20"/>
        </w:rPr>
        <w:t>Incorporated State: United Kingdom</w:t>
      </w:r>
    </w:p>
    <w:p>
      <w:pPr>
        <w:pStyle w:val="TextBody"/>
        <w:bidi w:val="0"/>
        <w:jc w:val="left"/>
        <w:rPr>
          <w:rFonts w:ascii="Times New Roman" w:hAnsi="Times New Roman"/>
          <w:color w:val="000000"/>
          <w:sz w:val="20"/>
        </w:rPr>
      </w:pPr>
      <w:r>
        <w:rPr>
          <w:rFonts w:ascii="Times New Roman" w:hAnsi="Times New Roman"/>
          <w:color w:val="000000"/>
          <w:sz w:val="20"/>
        </w:rPr>
        <w:t>Business Name: Beacon House, Kirkside House, Kirkside Lodge and Cygnet Adarna House</w:t>
      </w:r>
    </w:p>
    <w:p>
      <w:pPr>
        <w:pStyle w:val="TextBody"/>
        <w:bidi w:val="0"/>
        <w:jc w:val="left"/>
        <w:rPr>
          <w:rFonts w:ascii="Times New Roman" w:hAnsi="Times New Roman"/>
          <w:b/>
          <w:color w:val="000000"/>
          <w:sz w:val="20"/>
        </w:rPr>
      </w:pPr>
      <w:r>
        <w:rPr>
          <w:rFonts w:ascii="Times New Roman" w:hAnsi="Times New Roman"/>
          <w:b/>
          <w:color w:val="000000"/>
          <w:sz w:val="20"/>
        </w:rPr>
        <w:t>California ACO Holdings, LLC</w:t>
      </w:r>
    </w:p>
    <w:p>
      <w:pPr>
        <w:pStyle w:val="TextBody"/>
        <w:bidi w:val="0"/>
        <w:jc w:val="left"/>
        <w:rPr>
          <w:rFonts w:ascii="Times New Roman" w:hAnsi="Times New Roman"/>
          <w:color w:val="000000"/>
          <w:sz w:val="20"/>
        </w:rPr>
      </w:pPr>
      <w:r>
        <w:rPr>
          <w:rFonts w:ascii="Times New Roman" w:hAnsi="Times New Roman"/>
          <w:color w:val="000000"/>
          <w:sz w:val="20"/>
        </w:rPr>
        <w:t>Incorporated State: California</w:t>
      </w:r>
    </w:p>
    <w:p>
      <w:pPr>
        <w:pStyle w:val="TextBody"/>
        <w:bidi w:val="0"/>
        <w:jc w:val="left"/>
        <w:rPr>
          <w:rFonts w:ascii="Times New Roman" w:hAnsi="Times New Roman"/>
          <w:b/>
          <w:color w:val="000000"/>
          <w:sz w:val="20"/>
        </w:rPr>
      </w:pPr>
      <w:r>
        <w:rPr>
          <w:rFonts w:ascii="Times New Roman" w:hAnsi="Times New Roman"/>
          <w:b/>
          <w:color w:val="000000"/>
          <w:sz w:val="20"/>
        </w:rPr>
        <w:t>California Clinical Partners ACO, LLC</w:t>
      </w:r>
    </w:p>
    <w:p>
      <w:pPr>
        <w:pStyle w:val="TextBody"/>
        <w:bidi w:val="0"/>
        <w:jc w:val="left"/>
        <w:rPr>
          <w:rFonts w:ascii="Times New Roman" w:hAnsi="Times New Roman"/>
          <w:color w:val="000000"/>
          <w:sz w:val="20"/>
        </w:rPr>
      </w:pPr>
      <w:r>
        <w:rPr>
          <w:rFonts w:ascii="Times New Roman" w:hAnsi="Times New Roman"/>
          <w:color w:val="000000"/>
          <w:sz w:val="20"/>
        </w:rPr>
        <w:t>Incorporated State: Florida</w:t>
      </w:r>
    </w:p>
    <w:p>
      <w:pPr>
        <w:pStyle w:val="TextBody"/>
        <w:bidi w:val="0"/>
        <w:jc w:val="left"/>
        <w:rPr>
          <w:rFonts w:ascii="Times New Roman" w:hAnsi="Times New Roman"/>
          <w:sz w:val="20"/>
        </w:rPr>
      </w:pPr>
      <w:r>
        <w:rPr>
          <w:rFonts w:ascii="Times New Roman" w:hAnsi="Times New Roman"/>
          <w:b/>
          <w:color w:val="000000"/>
          <w:sz w:val="20"/>
        </w:rPr>
        <w:t>Calvary Center, Inc.</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Incorporation State: Delaware </w:t>
      </w:r>
    </w:p>
    <w:p>
      <w:pPr>
        <w:pStyle w:val="TextBody"/>
        <w:bidi w:val="0"/>
        <w:jc w:val="left"/>
        <w:rPr>
          <w:rFonts w:ascii="Times New Roman" w:hAnsi="Times New Roman"/>
          <w:color w:val="000000"/>
          <w:sz w:val="20"/>
        </w:rPr>
      </w:pPr>
      <w:r>
        <w:rPr>
          <w:rFonts w:ascii="Times New Roman" w:hAnsi="Times New Roman"/>
          <w:color w:val="000000"/>
          <w:sz w:val="20"/>
        </w:rPr>
        <w:t xml:space="preserve">Business Name: Calvary Healing Center </w:t>
      </w:r>
    </w:p>
    <w:p>
      <w:pPr>
        <w:pStyle w:val="TextBody"/>
        <w:bidi w:val="0"/>
        <w:jc w:val="left"/>
        <w:rPr>
          <w:rFonts w:ascii="Times New Roman" w:hAnsi="Times New Roman"/>
          <w:sz w:val="20"/>
        </w:rPr>
      </w:pPr>
      <w:r>
        <w:rPr>
          <w:rFonts w:ascii="Times New Roman" w:hAnsi="Times New Roman"/>
          <w:b/>
          <w:color w:val="000000"/>
          <w:sz w:val="20"/>
        </w:rPr>
        <w:t>Canyon Ridge Hospital, Inc.</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Incorporation State: California </w:t>
      </w:r>
    </w:p>
    <w:p>
      <w:pPr>
        <w:pStyle w:val="TextBody"/>
        <w:bidi w:val="0"/>
        <w:jc w:val="left"/>
        <w:rPr>
          <w:rFonts w:ascii="Times New Roman" w:hAnsi="Times New Roman"/>
          <w:color w:val="000000"/>
          <w:sz w:val="20"/>
        </w:rPr>
      </w:pPr>
      <w:r>
        <w:rPr>
          <w:rFonts w:ascii="Times New Roman" w:hAnsi="Times New Roman"/>
          <w:color w:val="000000"/>
          <w:sz w:val="20"/>
        </w:rPr>
        <w:t xml:space="preserve">Business Name: Canyon Ridge Hospital </w:t>
      </w:r>
    </w:p>
    <w:p>
      <w:pPr>
        <w:pStyle w:val="TextBody"/>
        <w:bidi w:val="0"/>
        <w:jc w:val="left"/>
        <w:rPr>
          <w:rFonts w:ascii="Times New Roman" w:hAnsi="Times New Roman"/>
          <w:sz w:val="20"/>
        </w:rPr>
      </w:pPr>
      <w:r>
        <w:rPr>
          <w:rFonts w:ascii="Times New Roman" w:hAnsi="Times New Roman"/>
          <w:b/>
          <w:color w:val="000000"/>
          <w:sz w:val="20"/>
        </w:rPr>
        <w:t>Canyon Ridge Real Estate, LLC</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Incorporation State: Delaware </w:t>
      </w:r>
    </w:p>
    <w:p>
      <w:pPr>
        <w:pStyle w:val="TextBody"/>
        <w:bidi w:val="0"/>
        <w:jc w:val="left"/>
        <w:rPr>
          <w:rFonts w:ascii="Times New Roman" w:hAnsi="Times New Roman"/>
          <w:b/>
          <w:color w:val="000000"/>
          <w:sz w:val="20"/>
        </w:rPr>
      </w:pPr>
      <w:r>
        <w:rPr>
          <w:rFonts w:ascii="Times New Roman" w:hAnsi="Times New Roman"/>
          <w:b/>
          <w:color w:val="000000"/>
          <w:sz w:val="20"/>
        </w:rPr>
        <w:t>Canyon West Los Angeles, LLC</w:t>
      </w:r>
    </w:p>
    <w:p>
      <w:pPr>
        <w:pStyle w:val="TextBody"/>
        <w:bidi w:val="0"/>
        <w:jc w:val="left"/>
        <w:rPr>
          <w:rFonts w:ascii="Times New Roman" w:hAnsi="Times New Roman"/>
          <w:color w:val="000000"/>
          <w:sz w:val="20"/>
        </w:rPr>
      </w:pPr>
      <w:r>
        <w:rPr>
          <w:rFonts w:ascii="Times New Roman" w:hAnsi="Times New Roman"/>
          <w:color w:val="000000"/>
          <w:sz w:val="20"/>
        </w:rPr>
        <w:t>Incorporated State: Delaware</w:t>
      </w:r>
    </w:p>
    <w:p>
      <w:pPr>
        <w:pStyle w:val="TextBody"/>
        <w:bidi w:val="0"/>
        <w:jc w:val="left"/>
        <w:rPr>
          <w:rFonts w:ascii="Times New Roman" w:hAnsi="Times New Roman"/>
          <w:b/>
          <w:color w:val="000000"/>
          <w:sz w:val="20"/>
        </w:rPr>
      </w:pPr>
      <w:r>
        <w:rPr>
          <w:rFonts w:ascii="Times New Roman" w:hAnsi="Times New Roman"/>
          <w:b/>
          <w:color w:val="000000"/>
          <w:sz w:val="20"/>
        </w:rPr>
        <w:t>Cape Girardeau Behavioral Health, LLC</w:t>
      </w:r>
    </w:p>
    <w:p>
      <w:pPr>
        <w:pStyle w:val="TextBody"/>
        <w:bidi w:val="0"/>
        <w:jc w:val="left"/>
        <w:rPr>
          <w:rFonts w:ascii="Times New Roman" w:hAnsi="Times New Roman"/>
          <w:color w:val="000000"/>
          <w:sz w:val="20"/>
        </w:rPr>
      </w:pPr>
      <w:r>
        <w:rPr>
          <w:rFonts w:ascii="Times New Roman" w:hAnsi="Times New Roman"/>
          <w:color w:val="000000"/>
          <w:sz w:val="20"/>
        </w:rPr>
        <w:t>Incorporated State: Missouri</w:t>
      </w:r>
    </w:p>
    <w:p>
      <w:pPr>
        <w:pStyle w:val="TextBody"/>
        <w:bidi w:val="0"/>
        <w:jc w:val="left"/>
        <w:rPr>
          <w:rFonts w:ascii="Times New Roman" w:hAnsi="Times New Roman"/>
          <w:color w:val="000000"/>
          <w:sz w:val="20"/>
        </w:rPr>
      </w:pPr>
      <w:r>
        <w:rPr>
          <w:rFonts w:ascii="Times New Roman" w:hAnsi="Times New Roman"/>
          <w:color w:val="000000"/>
          <w:sz w:val="20"/>
        </w:rPr>
        <w:t>Business Name: Southeast Behavioral Hospital</w:t>
      </w:r>
    </w:p>
    <w:p>
      <w:pPr>
        <w:pStyle w:val="TextBody"/>
        <w:bidi w:val="0"/>
        <w:jc w:val="left"/>
        <w:rPr>
          <w:rFonts w:ascii="Times New Roman" w:hAnsi="Times New Roman"/>
          <w:b/>
          <w:color w:val="000000"/>
          <w:sz w:val="20"/>
        </w:rPr>
      </w:pPr>
      <w:r>
        <w:rPr>
          <w:rFonts w:ascii="Times New Roman" w:hAnsi="Times New Roman"/>
          <w:b/>
          <w:color w:val="000000"/>
          <w:sz w:val="20"/>
        </w:rPr>
        <w:t>Capitol Radiation Therapy, L.L.P.</w:t>
      </w:r>
    </w:p>
    <w:p>
      <w:pPr>
        <w:pStyle w:val="TextBody"/>
        <w:bidi w:val="0"/>
        <w:jc w:val="left"/>
        <w:rPr>
          <w:rFonts w:ascii="Times New Roman" w:hAnsi="Times New Roman"/>
          <w:color w:val="000000"/>
          <w:sz w:val="20"/>
        </w:rPr>
      </w:pPr>
      <w:r>
        <w:rPr>
          <w:rFonts w:ascii="Times New Roman" w:hAnsi="Times New Roman"/>
          <w:color w:val="000000"/>
          <w:sz w:val="20"/>
        </w:rPr>
        <w:t xml:space="preserve">Incorporated State: Kentucky </w:t>
      </w:r>
    </w:p>
    <w:p>
      <w:pPr>
        <w:pStyle w:val="TextBody"/>
        <w:bidi w:val="0"/>
        <w:jc w:val="left"/>
        <w:rPr>
          <w:rFonts w:ascii="Times New Roman" w:hAnsi="Times New Roman"/>
          <w:b/>
          <w:color w:val="000000"/>
          <w:sz w:val="20"/>
        </w:rPr>
      </w:pPr>
      <w:r>
        <w:rPr>
          <w:rFonts w:ascii="Times New Roman" w:hAnsi="Times New Roman"/>
          <w:b/>
          <w:color w:val="000000"/>
          <w:sz w:val="20"/>
        </w:rPr>
        <w:t>CAS Aspirations Properties Limited</w:t>
      </w:r>
    </w:p>
    <w:p>
      <w:pPr>
        <w:pStyle w:val="TextBody"/>
        <w:bidi w:val="0"/>
        <w:jc w:val="left"/>
        <w:rPr>
          <w:rFonts w:ascii="Times New Roman" w:hAnsi="Times New Roman"/>
          <w:color w:val="000000"/>
          <w:sz w:val="20"/>
        </w:rPr>
      </w:pPr>
      <w:r>
        <w:rPr>
          <w:rFonts w:ascii="Times New Roman" w:hAnsi="Times New Roman"/>
          <w:color w:val="000000"/>
          <w:sz w:val="20"/>
        </w:rPr>
        <w:t>Incorporated State: United Kingdom</w:t>
      </w:r>
    </w:p>
    <w:p>
      <w:pPr>
        <w:pStyle w:val="TextBody"/>
        <w:bidi w:val="0"/>
        <w:jc w:val="left"/>
        <w:rPr>
          <w:rFonts w:ascii="Times New Roman" w:hAnsi="Times New Roman"/>
          <w:b/>
          <w:color w:val="000000"/>
          <w:sz w:val="20"/>
        </w:rPr>
      </w:pPr>
      <w:r>
        <w:rPr>
          <w:rFonts w:ascii="Times New Roman" w:hAnsi="Times New Roman"/>
          <w:b/>
          <w:color w:val="000000"/>
          <w:sz w:val="20"/>
        </w:rPr>
        <w:t>CAS Aspirations Properties Limited (Jersey)</w:t>
      </w:r>
    </w:p>
    <w:p>
      <w:pPr>
        <w:pStyle w:val="TextBody"/>
        <w:bidi w:val="0"/>
        <w:jc w:val="left"/>
        <w:rPr>
          <w:rFonts w:ascii="Times New Roman" w:hAnsi="Times New Roman"/>
          <w:color w:val="000000"/>
          <w:sz w:val="20"/>
        </w:rPr>
      </w:pPr>
      <w:r>
        <w:rPr>
          <w:rFonts w:ascii="Times New Roman" w:hAnsi="Times New Roman"/>
          <w:color w:val="000000"/>
          <w:sz w:val="20"/>
        </w:rPr>
        <w:t>Incorporated State: United Kingdom</w:t>
      </w:r>
    </w:p>
    <w:p>
      <w:pPr>
        <w:pStyle w:val="TextBody"/>
        <w:bidi w:val="0"/>
        <w:jc w:val="left"/>
        <w:rPr>
          <w:rFonts w:ascii="Times New Roman" w:hAnsi="Times New Roman"/>
          <w:b/>
          <w:color w:val="000000"/>
          <w:sz w:val="20"/>
        </w:rPr>
      </w:pPr>
      <w:r>
        <w:rPr>
          <w:rFonts w:ascii="Times New Roman" w:hAnsi="Times New Roman"/>
          <w:b/>
          <w:color w:val="000000"/>
          <w:sz w:val="20"/>
        </w:rPr>
        <w:t>CAS Aspirations Properties III Limited</w:t>
      </w:r>
    </w:p>
    <w:p>
      <w:pPr>
        <w:pStyle w:val="TextBody"/>
        <w:bidi w:val="0"/>
        <w:jc w:val="left"/>
        <w:rPr>
          <w:rFonts w:ascii="Times New Roman" w:hAnsi="Times New Roman"/>
          <w:color w:val="000000"/>
          <w:sz w:val="20"/>
        </w:rPr>
      </w:pPr>
      <w:r>
        <w:rPr>
          <w:rFonts w:ascii="Times New Roman" w:hAnsi="Times New Roman"/>
          <w:color w:val="000000"/>
          <w:sz w:val="20"/>
        </w:rPr>
        <w:t>Incorporated State: United Kingdom</w:t>
      </w:r>
    </w:p>
    <w:p>
      <w:pPr>
        <w:pStyle w:val="TextBody"/>
        <w:bidi w:val="0"/>
        <w:jc w:val="left"/>
        <w:rPr>
          <w:rFonts w:ascii="Times New Roman" w:hAnsi="Times New Roman"/>
          <w:b/>
          <w:color w:val="000000"/>
          <w:sz w:val="20"/>
        </w:rPr>
      </w:pPr>
      <w:r>
        <w:rPr>
          <w:rFonts w:ascii="Times New Roman" w:hAnsi="Times New Roman"/>
          <w:b/>
          <w:color w:val="000000"/>
          <w:sz w:val="20"/>
        </w:rPr>
        <w:t>CAS Aspirations Properties V Limited</w:t>
      </w:r>
    </w:p>
    <w:p>
      <w:pPr>
        <w:pStyle w:val="TextBody"/>
        <w:bidi w:val="0"/>
        <w:jc w:val="left"/>
        <w:rPr>
          <w:rFonts w:ascii="Times New Roman" w:hAnsi="Times New Roman"/>
          <w:color w:val="000000"/>
          <w:sz w:val="20"/>
        </w:rPr>
      </w:pPr>
      <w:r>
        <w:rPr>
          <w:rFonts w:ascii="Times New Roman" w:hAnsi="Times New Roman"/>
          <w:color w:val="000000"/>
          <w:sz w:val="20"/>
        </w:rPr>
        <w:t>Incorporated State: United Kingdom</w:t>
      </w:r>
    </w:p>
    <w:p>
      <w:pPr>
        <w:pStyle w:val="TextBody"/>
        <w:bidi w:val="0"/>
        <w:jc w:val="left"/>
        <w:rPr>
          <w:rFonts w:ascii="Times New Roman" w:hAnsi="Times New Roman"/>
          <w:sz w:val="20"/>
        </w:rPr>
      </w:pPr>
      <w:r>
        <w:rPr>
          <w:rFonts w:ascii="Times New Roman" w:hAnsi="Times New Roman"/>
          <w:b/>
          <w:color w:val="000000"/>
          <w:sz w:val="20"/>
        </w:rPr>
        <w:t>CAS Clifton Healthcare Limited</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Incorporated State: United Kingdom</w:t>
      </w:r>
    </w:p>
    <w:p>
      <w:pPr>
        <w:pStyle w:val="TextBody"/>
        <w:bidi w:val="0"/>
        <w:jc w:val="left"/>
        <w:rPr>
          <w:rFonts w:ascii="Times New Roman" w:hAnsi="Times New Roman"/>
          <w:b/>
          <w:color w:val="000000"/>
          <w:sz w:val="20"/>
        </w:rPr>
      </w:pPr>
      <w:r>
        <w:rPr>
          <w:rFonts w:ascii="Times New Roman" w:hAnsi="Times New Roman"/>
          <w:b/>
          <w:color w:val="000000"/>
          <w:sz w:val="20"/>
        </w:rPr>
        <w:t>CAS Healthcare Properties Limited</w:t>
      </w:r>
    </w:p>
    <w:p>
      <w:pPr>
        <w:pStyle w:val="TextBody"/>
        <w:bidi w:val="0"/>
        <w:jc w:val="left"/>
        <w:rPr>
          <w:rFonts w:ascii="Times New Roman" w:hAnsi="Times New Roman"/>
          <w:color w:val="000000"/>
          <w:sz w:val="20"/>
        </w:rPr>
      </w:pPr>
      <w:r>
        <w:rPr>
          <w:rFonts w:ascii="Times New Roman" w:hAnsi="Times New Roman"/>
          <w:color w:val="000000"/>
          <w:sz w:val="20"/>
        </w:rPr>
        <w:t>Incorporated State: United Kingdom</w:t>
      </w:r>
    </w:p>
    <w:p>
      <w:pPr>
        <w:pStyle w:val="TextBody"/>
        <w:bidi w:val="0"/>
        <w:jc w:val="left"/>
        <w:rPr>
          <w:rFonts w:ascii="Times New Roman" w:hAnsi="Times New Roman"/>
          <w:b/>
          <w:color w:val="000000"/>
          <w:sz w:val="20"/>
        </w:rPr>
      </w:pPr>
      <w:r>
        <w:rPr>
          <w:rFonts w:ascii="Times New Roman" w:hAnsi="Times New Roman"/>
          <w:b/>
          <w:color w:val="000000"/>
          <w:sz w:val="20"/>
        </w:rPr>
        <w:t>CAS Learning Disabilities Services Limited</w:t>
      </w:r>
    </w:p>
    <w:p>
      <w:pPr>
        <w:pStyle w:val="TextBody"/>
        <w:bidi w:val="0"/>
        <w:jc w:val="left"/>
        <w:rPr>
          <w:rFonts w:ascii="Times New Roman" w:hAnsi="Times New Roman"/>
          <w:color w:val="000000"/>
          <w:sz w:val="20"/>
        </w:rPr>
      </w:pPr>
      <w:r>
        <w:rPr>
          <w:rFonts w:ascii="Times New Roman" w:hAnsi="Times New Roman"/>
          <w:color w:val="000000"/>
          <w:sz w:val="20"/>
        </w:rPr>
        <w:t>Incorporated State: United Kingdom</w:t>
      </w:r>
    </w:p>
    <w:p>
      <w:pPr>
        <w:pStyle w:val="TextBody"/>
        <w:bidi w:val="0"/>
        <w:jc w:val="left"/>
        <w:rPr>
          <w:rFonts w:ascii="Times New Roman" w:hAnsi="Times New Roman"/>
          <w:b/>
          <w:color w:val="000000"/>
          <w:sz w:val="20"/>
        </w:rPr>
      </w:pPr>
      <w:r>
        <w:rPr>
          <w:rFonts w:ascii="Times New Roman" w:hAnsi="Times New Roman"/>
          <w:b/>
          <w:color w:val="000000"/>
          <w:sz w:val="20"/>
        </w:rPr>
        <w:t>CAS St. Paul’s Limited</w:t>
      </w:r>
    </w:p>
    <w:p>
      <w:pPr>
        <w:pStyle w:val="TextBody"/>
        <w:bidi w:val="0"/>
        <w:jc w:val="left"/>
        <w:rPr>
          <w:rFonts w:ascii="Times New Roman" w:hAnsi="Times New Roman"/>
          <w:color w:val="000000"/>
          <w:sz w:val="20"/>
        </w:rPr>
      </w:pPr>
      <w:r>
        <w:rPr>
          <w:rFonts w:ascii="Times New Roman" w:hAnsi="Times New Roman"/>
          <w:color w:val="000000"/>
          <w:sz w:val="20"/>
        </w:rPr>
        <w:t>Incorporated State: United Kingdom</w:t>
      </w:r>
    </w:p>
    <w:p>
      <w:pPr>
        <w:pStyle w:val="TextBody"/>
        <w:bidi w:val="0"/>
        <w:jc w:val="left"/>
        <w:rPr>
          <w:rFonts w:ascii="Times New Roman" w:hAnsi="Times New Roman"/>
          <w:sz w:val="20"/>
        </w:rPr>
      </w:pPr>
      <w:r>
        <w:rPr>
          <w:rFonts w:ascii="Times New Roman" w:hAnsi="Times New Roman"/>
          <w:b/>
          <w:color w:val="000000"/>
          <w:sz w:val="20"/>
        </w:rPr>
        <w:t>CAT Realty, LLC</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Incorporated State: Delaware </w:t>
      </w:r>
    </w:p>
    <w:p>
      <w:pPr>
        <w:pStyle w:val="TextBody"/>
        <w:bidi w:val="0"/>
        <w:jc w:val="left"/>
        <w:rPr>
          <w:rFonts w:ascii="Times New Roman" w:hAnsi="Times New Roman"/>
          <w:sz w:val="20"/>
        </w:rPr>
      </w:pPr>
      <w:r>
        <w:rPr>
          <w:rFonts w:ascii="Times New Roman" w:hAnsi="Times New Roman"/>
          <w:b/>
          <w:color w:val="000000"/>
          <w:sz w:val="20"/>
        </w:rPr>
        <w:t>CAT Seattle, LLC</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Incorporated State: Delaware </w:t>
      </w:r>
    </w:p>
    <w:p>
      <w:pPr>
        <w:pStyle w:val="TextBody"/>
        <w:bidi w:val="0"/>
        <w:jc w:val="left"/>
        <w:rPr>
          <w:rFonts w:ascii="Times New Roman" w:hAnsi="Times New Roman"/>
          <w:sz w:val="20"/>
        </w:rPr>
      </w:pPr>
      <w:r>
        <w:rPr>
          <w:rFonts w:ascii="Times New Roman" w:hAnsi="Times New Roman"/>
          <w:b/>
          <w:color w:val="000000"/>
          <w:sz w:val="20"/>
        </w:rPr>
        <w:t>CCS/Lansing, Inc.</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Incorporated State: Michigan </w:t>
      </w:r>
    </w:p>
    <w:p>
      <w:pPr>
        <w:pStyle w:val="TextBody"/>
        <w:bidi w:val="0"/>
        <w:jc w:val="left"/>
        <w:rPr>
          <w:rFonts w:ascii="Times New Roman" w:hAnsi="Times New Roman"/>
          <w:sz w:val="20"/>
        </w:rPr>
      </w:pPr>
      <w:r>
        <w:rPr>
          <w:rFonts w:ascii="Times New Roman" w:hAnsi="Times New Roman"/>
          <w:b/>
          <w:color w:val="000000"/>
          <w:sz w:val="20"/>
        </w:rPr>
        <w:t>CDS of Nevada, Inc.</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Incorporation State: Nevada</w:t>
      </w:r>
    </w:p>
    <w:p>
      <w:pPr>
        <w:pStyle w:val="TextBody"/>
        <w:bidi w:val="0"/>
        <w:jc w:val="left"/>
        <w:rPr>
          <w:rFonts w:ascii="Times New Roman" w:hAnsi="Times New Roman"/>
          <w:sz w:val="20"/>
        </w:rPr>
      </w:pPr>
      <w:r>
        <w:rPr>
          <w:rFonts w:ascii="Times New Roman" w:hAnsi="Times New Roman"/>
          <w:b/>
          <w:color w:val="000000"/>
          <w:sz w:val="20"/>
        </w:rPr>
        <w:t>Cedar Springs Hospital, Inc.</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Incorporated State: Delaware </w:t>
      </w:r>
    </w:p>
    <w:p>
      <w:pPr>
        <w:pStyle w:val="TextBody"/>
        <w:bidi w:val="0"/>
        <w:jc w:val="left"/>
        <w:rPr>
          <w:rFonts w:ascii="Times New Roman" w:hAnsi="Times New Roman"/>
          <w:color w:val="000000"/>
          <w:sz w:val="20"/>
        </w:rPr>
      </w:pPr>
      <w:r>
        <w:rPr>
          <w:rFonts w:ascii="Times New Roman" w:hAnsi="Times New Roman"/>
          <w:color w:val="000000"/>
          <w:sz w:val="20"/>
        </w:rPr>
        <w:t>Business Name: Cedar Springs Hospital</w:t>
      </w:r>
    </w:p>
    <w:p>
      <w:pPr>
        <w:pStyle w:val="TextBody"/>
        <w:bidi w:val="0"/>
        <w:jc w:val="left"/>
        <w:rPr>
          <w:rFonts w:ascii="Times New Roman" w:hAnsi="Times New Roman"/>
          <w:sz w:val="20"/>
        </w:rPr>
      </w:pPr>
      <w:r>
        <w:rPr>
          <w:rFonts w:ascii="Times New Roman" w:hAnsi="Times New Roman"/>
          <w:b/>
          <w:color w:val="000000"/>
          <w:sz w:val="20"/>
        </w:rPr>
        <w:t>Central Montgomery Medical Center, L.L.C.</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Incorporated State: Pennsylvania </w:t>
      </w:r>
    </w:p>
    <w:p>
      <w:pPr>
        <w:pStyle w:val="TextBody"/>
        <w:bidi w:val="0"/>
        <w:jc w:val="left"/>
        <w:rPr>
          <w:rFonts w:ascii="Times New Roman" w:hAnsi="Times New Roman"/>
          <w:sz w:val="20"/>
        </w:rPr>
      </w:pPr>
      <w:r>
        <w:rPr>
          <w:rFonts w:ascii="Times New Roman" w:hAnsi="Times New Roman"/>
          <w:b/>
          <w:color w:val="000000"/>
          <w:sz w:val="20"/>
        </w:rPr>
        <w:t>Chalmette Medical Center, Inc.</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Incorporated State: Louisiana </w:t>
      </w:r>
    </w:p>
    <w:p>
      <w:pPr>
        <w:pStyle w:val="TextBody"/>
        <w:bidi w:val="0"/>
        <w:jc w:val="left"/>
        <w:rPr>
          <w:rFonts w:ascii="Times New Roman" w:hAnsi="Times New Roman"/>
          <w:sz w:val="20"/>
        </w:rPr>
      </w:pPr>
      <w:r>
        <w:rPr>
          <w:rFonts w:ascii="Times New Roman" w:hAnsi="Times New Roman"/>
          <w:b/>
          <w:color w:val="000000"/>
          <w:sz w:val="20"/>
        </w:rPr>
        <w:t>Children’s Comprehensive Services, Inc.</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Incorporated State: Tennessee </w:t>
      </w:r>
    </w:p>
    <w:p>
      <w:pPr>
        <w:pStyle w:val="TextBody"/>
        <w:bidi w:val="0"/>
        <w:jc w:val="left"/>
        <w:rPr>
          <w:rFonts w:ascii="Times New Roman" w:hAnsi="Times New Roman"/>
          <w:b/>
          <w:color w:val="000000"/>
          <w:sz w:val="20"/>
        </w:rPr>
      </w:pPr>
      <w:r>
        <w:rPr>
          <w:rFonts w:ascii="Times New Roman" w:hAnsi="Times New Roman"/>
          <w:b/>
          <w:color w:val="000000"/>
          <w:sz w:val="20"/>
        </w:rPr>
        <w:t>Clinical Trials JV, LLC</w:t>
      </w:r>
    </w:p>
    <w:p>
      <w:pPr>
        <w:pStyle w:val="TextBody"/>
        <w:bidi w:val="0"/>
        <w:jc w:val="left"/>
        <w:rPr>
          <w:rFonts w:ascii="Times New Roman" w:hAnsi="Times New Roman"/>
          <w:color w:val="000000"/>
          <w:sz w:val="20"/>
        </w:rPr>
      </w:pPr>
      <w:r>
        <w:rPr>
          <w:rFonts w:ascii="Times New Roman" w:hAnsi="Times New Roman"/>
          <w:color w:val="000000"/>
          <w:sz w:val="20"/>
        </w:rPr>
        <w:t>Incorporated State: Delaware</w:t>
      </w:r>
    </w:p>
    <w:p>
      <w:pPr>
        <w:pStyle w:val="TextBody"/>
        <w:bidi w:val="0"/>
        <w:jc w:val="left"/>
        <w:rPr>
          <w:rFonts w:ascii="Times New Roman" w:hAnsi="Times New Roman"/>
          <w:sz w:val="20"/>
        </w:rPr>
      </w:pPr>
      <w:r>
        <w:rPr>
          <w:rFonts w:ascii="Times New Roman" w:hAnsi="Times New Roman"/>
          <w:b/>
          <w:color w:val="000000"/>
          <w:sz w:val="20"/>
        </w:rPr>
        <w:t>Clive Behavioral Health, LLC</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Incorporated State: Delaware</w:t>
      </w:r>
    </w:p>
    <w:p>
      <w:pPr>
        <w:pStyle w:val="TextBody"/>
        <w:bidi w:val="0"/>
        <w:jc w:val="left"/>
        <w:rPr>
          <w:rFonts w:ascii="Times New Roman" w:hAnsi="Times New Roman"/>
          <w:color w:val="000000"/>
          <w:sz w:val="20"/>
        </w:rPr>
      </w:pPr>
      <w:r>
        <w:rPr>
          <w:rFonts w:ascii="Times New Roman" w:hAnsi="Times New Roman"/>
          <w:color w:val="000000"/>
          <w:sz w:val="20"/>
        </w:rPr>
        <w:t>Business Name: Clive Behavioral Health</w:t>
      </w:r>
    </w:p>
    <w:p>
      <w:pPr>
        <w:pStyle w:val="TextBody"/>
        <w:bidi w:val="0"/>
        <w:jc w:val="left"/>
        <w:rPr>
          <w:rFonts w:ascii="Times New Roman" w:hAnsi="Times New Roman"/>
          <w:sz w:val="20"/>
        </w:rPr>
      </w:pPr>
      <w:r>
        <w:rPr>
          <w:rFonts w:ascii="Times New Roman" w:hAnsi="Times New Roman"/>
          <w:b/>
          <w:color w:val="000000"/>
          <w:sz w:val="20"/>
        </w:rPr>
        <w:t>Columbus Hospital Partners, LLC</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Incorporated State: Tennessee </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sz w:val="20"/>
        </w:rPr>
      </w:pPr>
      <w:r>
        <w:rPr>
          <w:rFonts w:ascii="Times New Roman" w:hAnsi="Times New Roman"/>
          <w:b/>
          <w:color w:val="000000"/>
          <w:sz w:val="20"/>
        </w:rPr>
        <w:t>Columbus Hospital, LLC</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Incorporated State: Delaware </w:t>
      </w:r>
    </w:p>
    <w:p>
      <w:pPr>
        <w:pStyle w:val="TextBody"/>
        <w:bidi w:val="0"/>
        <w:jc w:val="left"/>
        <w:rPr>
          <w:rFonts w:ascii="Times New Roman" w:hAnsi="Times New Roman"/>
          <w:color w:val="000000"/>
          <w:sz w:val="20"/>
        </w:rPr>
      </w:pPr>
      <w:r>
        <w:rPr>
          <w:rFonts w:ascii="Times New Roman" w:hAnsi="Times New Roman"/>
          <w:color w:val="000000"/>
          <w:sz w:val="20"/>
        </w:rPr>
        <w:t xml:space="preserve">Business Name: Columbus Behavioral Center for Children and Adolescents </w:t>
      </w:r>
    </w:p>
    <w:p>
      <w:pPr>
        <w:pStyle w:val="TextBody"/>
        <w:bidi w:val="0"/>
        <w:jc w:val="left"/>
        <w:rPr>
          <w:rFonts w:ascii="Times New Roman" w:hAnsi="Times New Roman"/>
          <w:sz w:val="20"/>
        </w:rPr>
      </w:pPr>
      <w:r>
        <w:rPr>
          <w:rFonts w:ascii="Times New Roman" w:hAnsi="Times New Roman"/>
          <w:b/>
          <w:color w:val="000000"/>
          <w:sz w:val="20"/>
        </w:rPr>
        <w:t>Community Cornerstones, Inc.</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Incorporated State: Puerto Rico </w:t>
      </w:r>
    </w:p>
    <w:p>
      <w:pPr>
        <w:pStyle w:val="TextBody"/>
        <w:bidi w:val="0"/>
        <w:jc w:val="left"/>
        <w:rPr>
          <w:rFonts w:ascii="Times New Roman" w:hAnsi="Times New Roman"/>
          <w:b/>
          <w:color w:val="000000"/>
          <w:sz w:val="20"/>
        </w:rPr>
      </w:pPr>
      <w:r>
        <w:rPr>
          <w:rFonts w:ascii="Times New Roman" w:hAnsi="Times New Roman"/>
          <w:b/>
          <w:color w:val="000000"/>
          <w:sz w:val="20"/>
        </w:rPr>
        <w:t>Coral Shores Behavioral Health, LLC</w:t>
      </w:r>
    </w:p>
    <w:p>
      <w:pPr>
        <w:pStyle w:val="TextBody"/>
        <w:bidi w:val="0"/>
        <w:jc w:val="left"/>
        <w:rPr>
          <w:rFonts w:ascii="Times New Roman" w:hAnsi="Times New Roman"/>
          <w:color w:val="000000"/>
          <w:sz w:val="20"/>
        </w:rPr>
      </w:pPr>
      <w:r>
        <w:rPr>
          <w:rFonts w:ascii="Times New Roman" w:hAnsi="Times New Roman"/>
          <w:color w:val="000000"/>
          <w:sz w:val="20"/>
        </w:rPr>
        <w:t>Incorporated State: Delaware</w:t>
      </w:r>
    </w:p>
    <w:p>
      <w:pPr>
        <w:pStyle w:val="TextBody"/>
        <w:bidi w:val="0"/>
        <w:jc w:val="left"/>
        <w:rPr>
          <w:rFonts w:ascii="Times New Roman" w:hAnsi="Times New Roman"/>
          <w:color w:val="000000"/>
          <w:sz w:val="20"/>
        </w:rPr>
      </w:pPr>
      <w:r>
        <w:rPr>
          <w:rFonts w:ascii="Times New Roman" w:hAnsi="Times New Roman"/>
          <w:color w:val="000000"/>
          <w:sz w:val="20"/>
        </w:rPr>
        <w:t>Business Name: Coral Shores Behavioral Health</w:t>
      </w:r>
    </w:p>
    <w:p>
      <w:pPr>
        <w:pStyle w:val="TextBody"/>
        <w:bidi w:val="0"/>
        <w:jc w:val="left"/>
        <w:rPr>
          <w:rFonts w:ascii="Times New Roman" w:hAnsi="Times New Roman"/>
          <w:sz w:val="20"/>
        </w:rPr>
      </w:pPr>
      <w:r>
        <w:rPr>
          <w:rFonts w:ascii="Times New Roman" w:hAnsi="Times New Roman"/>
          <w:b/>
          <w:color w:val="000000"/>
          <w:sz w:val="20"/>
        </w:rPr>
        <w:t>Cornerstone Hospital Management, LLC</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Incorporated State: Texas </w:t>
      </w:r>
    </w:p>
    <w:p>
      <w:pPr>
        <w:pStyle w:val="TextBody"/>
        <w:bidi w:val="0"/>
        <w:jc w:val="left"/>
        <w:rPr>
          <w:rFonts w:ascii="Times New Roman" w:hAnsi="Times New Roman"/>
          <w:sz w:val="20"/>
        </w:rPr>
      </w:pPr>
      <w:r>
        <w:rPr>
          <w:rFonts w:ascii="Times New Roman" w:hAnsi="Times New Roman"/>
          <w:b/>
          <w:color w:val="000000"/>
          <w:sz w:val="20"/>
        </w:rPr>
        <w:t>Cornerstone Hospital Properties, LP</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Incorporated State: Texas </w:t>
      </w:r>
    </w:p>
    <w:p>
      <w:pPr>
        <w:pStyle w:val="TextBody"/>
        <w:bidi w:val="0"/>
        <w:jc w:val="left"/>
        <w:rPr>
          <w:rFonts w:ascii="Times New Roman" w:hAnsi="Times New Roman"/>
          <w:sz w:val="20"/>
        </w:rPr>
      </w:pPr>
      <w:r>
        <w:rPr>
          <w:rFonts w:ascii="Times New Roman" w:hAnsi="Times New Roman"/>
          <w:b/>
          <w:color w:val="000000"/>
          <w:sz w:val="20"/>
        </w:rPr>
        <w:t>Cornerstone Regional Hospital, LP</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Incorporated State: Texas </w:t>
      </w:r>
    </w:p>
    <w:p>
      <w:pPr>
        <w:pStyle w:val="TextBody"/>
        <w:bidi w:val="0"/>
        <w:jc w:val="left"/>
        <w:rPr>
          <w:rFonts w:ascii="Times New Roman" w:hAnsi="Times New Roman"/>
          <w:color w:val="000000"/>
          <w:sz w:val="20"/>
        </w:rPr>
      </w:pPr>
      <w:r>
        <w:rPr>
          <w:rFonts w:ascii="Times New Roman" w:hAnsi="Times New Roman"/>
          <w:color w:val="000000"/>
          <w:sz w:val="20"/>
        </w:rPr>
        <w:t xml:space="preserve">Business Name: Cornerstone Regional Hospital </w:t>
      </w:r>
    </w:p>
    <w:p>
      <w:pPr>
        <w:pStyle w:val="TextBody"/>
        <w:bidi w:val="0"/>
        <w:jc w:val="left"/>
        <w:rPr>
          <w:rFonts w:ascii="Times New Roman" w:hAnsi="Times New Roman"/>
          <w:b/>
          <w:color w:val="000000"/>
          <w:sz w:val="20"/>
        </w:rPr>
      </w:pPr>
      <w:r>
        <w:rPr>
          <w:rFonts w:ascii="Times New Roman" w:hAnsi="Times New Roman"/>
          <w:b/>
          <w:color w:val="000000"/>
          <w:sz w:val="20"/>
        </w:rPr>
        <w:t>Corona Regional Medical Center Community Fund</w:t>
      </w:r>
    </w:p>
    <w:p>
      <w:pPr>
        <w:pStyle w:val="TextBody"/>
        <w:bidi w:val="0"/>
        <w:jc w:val="left"/>
        <w:rPr>
          <w:rFonts w:ascii="Times New Roman" w:hAnsi="Times New Roman"/>
          <w:color w:val="000000"/>
          <w:sz w:val="20"/>
        </w:rPr>
      </w:pPr>
      <w:r>
        <w:rPr>
          <w:rFonts w:ascii="Times New Roman" w:hAnsi="Times New Roman"/>
          <w:color w:val="000000"/>
          <w:sz w:val="20"/>
        </w:rPr>
        <w:t>Incorporated State: California</w:t>
      </w:r>
    </w:p>
    <w:p>
      <w:pPr>
        <w:pStyle w:val="TextBody"/>
        <w:bidi w:val="0"/>
        <w:jc w:val="left"/>
        <w:rPr>
          <w:rFonts w:ascii="Times New Roman" w:hAnsi="Times New Roman"/>
          <w:b/>
          <w:color w:val="000000"/>
          <w:sz w:val="20"/>
        </w:rPr>
      </w:pPr>
      <w:r>
        <w:rPr>
          <w:rFonts w:ascii="Times New Roman" w:hAnsi="Times New Roman"/>
          <w:b/>
          <w:color w:val="000000"/>
          <w:sz w:val="20"/>
        </w:rPr>
        <w:t>Crossings Healthcare Solutions, Inc.</w:t>
      </w:r>
    </w:p>
    <w:p>
      <w:pPr>
        <w:pStyle w:val="TextBody"/>
        <w:bidi w:val="0"/>
        <w:jc w:val="left"/>
        <w:rPr>
          <w:rFonts w:ascii="Times New Roman" w:hAnsi="Times New Roman"/>
          <w:color w:val="000000"/>
          <w:sz w:val="20"/>
        </w:rPr>
      </w:pPr>
      <w:r>
        <w:rPr>
          <w:rFonts w:ascii="Times New Roman" w:hAnsi="Times New Roman"/>
          <w:color w:val="000000"/>
          <w:sz w:val="20"/>
        </w:rPr>
        <w:t xml:space="preserve">Incorporated State: Delaware </w:t>
      </w:r>
    </w:p>
    <w:p>
      <w:pPr>
        <w:pStyle w:val="TextBody"/>
        <w:bidi w:val="0"/>
        <w:jc w:val="left"/>
        <w:rPr>
          <w:rFonts w:ascii="Times New Roman" w:hAnsi="Times New Roman"/>
          <w:b/>
          <w:color w:val="000000"/>
          <w:sz w:val="20"/>
        </w:rPr>
      </w:pPr>
      <w:r>
        <w:rPr>
          <w:rFonts w:ascii="Times New Roman" w:hAnsi="Times New Roman"/>
          <w:b/>
          <w:color w:val="000000"/>
          <w:sz w:val="20"/>
        </w:rPr>
        <w:t>Crossings Software Solutions, LLC</w:t>
      </w:r>
    </w:p>
    <w:p>
      <w:pPr>
        <w:pStyle w:val="TextBody"/>
        <w:bidi w:val="0"/>
        <w:jc w:val="left"/>
        <w:rPr>
          <w:rFonts w:ascii="Times New Roman" w:hAnsi="Times New Roman"/>
          <w:color w:val="000000"/>
          <w:sz w:val="20"/>
        </w:rPr>
      </w:pPr>
      <w:r>
        <w:rPr>
          <w:rFonts w:ascii="Times New Roman" w:hAnsi="Times New Roman"/>
          <w:color w:val="000000"/>
          <w:sz w:val="20"/>
        </w:rPr>
        <w:t>Incorporated State: Delaware</w:t>
      </w:r>
    </w:p>
    <w:p>
      <w:pPr>
        <w:pStyle w:val="TextBody"/>
        <w:bidi w:val="0"/>
        <w:jc w:val="left"/>
        <w:rPr>
          <w:rFonts w:ascii="Times New Roman" w:hAnsi="Times New Roman"/>
          <w:b/>
          <w:color w:val="000000"/>
          <w:sz w:val="20"/>
        </w:rPr>
      </w:pPr>
      <w:r>
        <w:rPr>
          <w:rFonts w:ascii="Times New Roman" w:hAnsi="Times New Roman"/>
          <w:b/>
          <w:color w:val="000000"/>
          <w:sz w:val="20"/>
        </w:rPr>
        <w:t>Crossings Supply Chain Solutions, LLC</w:t>
      </w:r>
    </w:p>
    <w:p>
      <w:pPr>
        <w:pStyle w:val="TextBody"/>
        <w:bidi w:val="0"/>
        <w:jc w:val="left"/>
        <w:rPr>
          <w:rFonts w:ascii="Times New Roman" w:hAnsi="Times New Roman"/>
          <w:color w:val="000000"/>
          <w:sz w:val="20"/>
        </w:rPr>
      </w:pPr>
      <w:r>
        <w:rPr>
          <w:rFonts w:ascii="Times New Roman" w:hAnsi="Times New Roman"/>
          <w:color w:val="000000"/>
          <w:sz w:val="20"/>
        </w:rPr>
        <w:t xml:space="preserve">Incorporated State: Delaware </w:t>
      </w:r>
    </w:p>
    <w:p>
      <w:pPr>
        <w:pStyle w:val="TextBody"/>
        <w:bidi w:val="0"/>
        <w:jc w:val="left"/>
        <w:rPr>
          <w:rFonts w:ascii="Times New Roman" w:hAnsi="Times New Roman"/>
          <w:sz w:val="20"/>
        </w:rPr>
      </w:pPr>
      <w:r>
        <w:rPr>
          <w:rFonts w:ascii="Times New Roman" w:hAnsi="Times New Roman"/>
          <w:b/>
          <w:color w:val="000000"/>
          <w:sz w:val="20"/>
        </w:rPr>
        <w:t>Cumberland Hospital Partners, LLC</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Incorporated State: Delaware </w:t>
      </w:r>
    </w:p>
    <w:p>
      <w:pPr>
        <w:pStyle w:val="TextBody"/>
        <w:bidi w:val="0"/>
        <w:jc w:val="left"/>
        <w:rPr>
          <w:rFonts w:ascii="Times New Roman" w:hAnsi="Times New Roman"/>
          <w:sz w:val="20"/>
        </w:rPr>
      </w:pPr>
      <w:r>
        <w:rPr>
          <w:rFonts w:ascii="Times New Roman" w:hAnsi="Times New Roman"/>
          <w:b/>
          <w:color w:val="000000"/>
          <w:sz w:val="20"/>
        </w:rPr>
        <w:t>Cumberland Hospital, LLC</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Incorporated State: Delaware </w:t>
      </w:r>
    </w:p>
    <w:p>
      <w:pPr>
        <w:pStyle w:val="TextBody"/>
        <w:bidi w:val="0"/>
        <w:jc w:val="left"/>
        <w:rPr>
          <w:rFonts w:ascii="Times New Roman" w:hAnsi="Times New Roman"/>
          <w:color w:val="000000"/>
          <w:sz w:val="20"/>
        </w:rPr>
      </w:pPr>
      <w:r>
        <w:rPr>
          <w:rFonts w:ascii="Times New Roman" w:hAnsi="Times New Roman"/>
          <w:color w:val="000000"/>
          <w:sz w:val="20"/>
        </w:rPr>
        <w:t xml:space="preserve">Business Name: Cumberland Hospital </w:t>
      </w:r>
    </w:p>
    <w:p>
      <w:pPr>
        <w:pStyle w:val="TextBody"/>
        <w:bidi w:val="0"/>
        <w:jc w:val="left"/>
        <w:rPr>
          <w:rFonts w:ascii="Times New Roman" w:hAnsi="Times New Roman"/>
          <w:sz w:val="20"/>
        </w:rPr>
      </w:pPr>
      <w:r>
        <w:rPr>
          <w:rFonts w:ascii="Times New Roman" w:hAnsi="Times New Roman"/>
          <w:b/>
          <w:color w:val="000000"/>
          <w:sz w:val="20"/>
        </w:rPr>
        <w:t>Cygnet 2000 Limited</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Incorporated State: United Kingdom</w:t>
      </w:r>
    </w:p>
    <w:p>
      <w:pPr>
        <w:pStyle w:val="TextBody"/>
        <w:bidi w:val="0"/>
        <w:jc w:val="left"/>
        <w:rPr>
          <w:rFonts w:ascii="Times New Roman" w:hAnsi="Times New Roman"/>
          <w:b/>
          <w:color w:val="000000"/>
          <w:sz w:val="20"/>
        </w:rPr>
      </w:pPr>
      <w:r>
        <w:rPr>
          <w:rFonts w:ascii="Times New Roman" w:hAnsi="Times New Roman"/>
          <w:b/>
          <w:color w:val="000000"/>
          <w:sz w:val="20"/>
        </w:rPr>
        <w:t>Cygnet 2002 Limited</w:t>
      </w:r>
    </w:p>
    <w:p>
      <w:pPr>
        <w:pStyle w:val="TextBody"/>
        <w:bidi w:val="0"/>
        <w:jc w:val="left"/>
        <w:rPr>
          <w:rFonts w:ascii="Times New Roman" w:hAnsi="Times New Roman"/>
          <w:color w:val="000000"/>
          <w:sz w:val="20"/>
        </w:rPr>
      </w:pPr>
      <w:r>
        <w:rPr>
          <w:rFonts w:ascii="Times New Roman" w:hAnsi="Times New Roman"/>
          <w:color w:val="000000"/>
          <w:sz w:val="20"/>
        </w:rPr>
        <w:t>Incorporated State: United Kingdom</w:t>
      </w:r>
    </w:p>
    <w:p>
      <w:pPr>
        <w:pStyle w:val="TextBody"/>
        <w:bidi w:val="0"/>
        <w:jc w:val="left"/>
        <w:rPr>
          <w:rFonts w:ascii="Times New Roman" w:hAnsi="Times New Roman"/>
          <w:b/>
          <w:color w:val="000000"/>
          <w:sz w:val="20"/>
        </w:rPr>
      </w:pPr>
      <w:r>
        <w:rPr>
          <w:rFonts w:ascii="Times New Roman" w:hAnsi="Times New Roman"/>
          <w:b/>
          <w:color w:val="000000"/>
          <w:sz w:val="20"/>
        </w:rPr>
        <w:t>Cygnet Aspirations Developments Limited</w:t>
      </w:r>
    </w:p>
    <w:p>
      <w:pPr>
        <w:pStyle w:val="TextBody"/>
        <w:bidi w:val="0"/>
        <w:jc w:val="left"/>
        <w:rPr>
          <w:rFonts w:ascii="Times New Roman" w:hAnsi="Times New Roman"/>
          <w:color w:val="000000"/>
          <w:sz w:val="20"/>
        </w:rPr>
      </w:pPr>
      <w:r>
        <w:rPr>
          <w:rFonts w:ascii="Times New Roman" w:hAnsi="Times New Roman"/>
          <w:color w:val="000000"/>
          <w:sz w:val="20"/>
        </w:rPr>
        <w:t>Incorporated State: United Kingdom</w:t>
      </w:r>
    </w:p>
    <w:p>
      <w:pPr>
        <w:pStyle w:val="TextBody"/>
        <w:bidi w:val="0"/>
        <w:jc w:val="left"/>
        <w:rPr>
          <w:rFonts w:ascii="Times New Roman" w:hAnsi="Times New Roman"/>
          <w:b/>
          <w:color w:val="000000"/>
          <w:sz w:val="20"/>
        </w:rPr>
      </w:pPr>
      <w:r>
        <w:rPr>
          <w:rFonts w:ascii="Times New Roman" w:hAnsi="Times New Roman"/>
          <w:b/>
          <w:color w:val="000000"/>
          <w:sz w:val="20"/>
        </w:rPr>
        <w:t>Cygnet Behavioural Health Limited</w:t>
      </w:r>
    </w:p>
    <w:p>
      <w:pPr>
        <w:pStyle w:val="TextBody"/>
        <w:bidi w:val="0"/>
        <w:jc w:val="left"/>
        <w:rPr>
          <w:rFonts w:ascii="Times New Roman" w:hAnsi="Times New Roman"/>
          <w:color w:val="000000"/>
          <w:sz w:val="20"/>
        </w:rPr>
      </w:pPr>
      <w:r>
        <w:rPr>
          <w:rFonts w:ascii="Times New Roman" w:hAnsi="Times New Roman"/>
          <w:color w:val="000000"/>
          <w:sz w:val="20"/>
        </w:rPr>
        <w:t>Incorporated State: United Kingdom</w:t>
      </w:r>
    </w:p>
    <w:p>
      <w:pPr>
        <w:pStyle w:val="TextBody"/>
        <w:bidi w:val="0"/>
        <w:jc w:val="left"/>
        <w:rPr>
          <w:rFonts w:ascii="Times New Roman" w:hAnsi="Times New Roman"/>
          <w:color w:val="000000"/>
          <w:sz w:val="20"/>
        </w:rPr>
      </w:pPr>
      <w:r>
        <w:rPr>
          <w:rFonts w:ascii="Times New Roman" w:hAnsi="Times New Roman"/>
          <w:color w:val="000000"/>
          <w:sz w:val="20"/>
        </w:rPr>
        <w:t>Business Name: 1 Vincent Court, Woodcross &amp; Turls Hill, 15 The Sycamores, 4, 5, 7 The Sycamores, Adele Cottages, Cygnet Appletree, Cygnet Aspen Clinic, Cygnet Aspen House, Cygnet Brunel, Cygnet Churchill, Cygnet Delfryn House, Cygnet Delfryn Lodge, Cygnet Fountains, Cygnet Heathers, Cygnet Oaks, Cygnet Paddocks, Cygnet Raglan House, Cygnet Sedgley House, Cygnet Sedgley Lodge, Cygnet Sherwood House, Cygnet Hospital Sherwood, Cygnet St. Teilo House, Cygnet St. William’s, Cygnet Storthfield House, Cygnet Victoria House, Cygnet Pindar House, Cygnet Sherwood Lodge, Meadows Mews Cygnet Nield House, Ty Alarch, Cygnet Hospital Oldbury, Cygnet Hospital Wolverhampton, Malborn &amp; Teroan House and Rhyd Alyn.</w:t>
      </w:r>
    </w:p>
    <w:p>
      <w:pPr>
        <w:pStyle w:val="TextBody"/>
        <w:bidi w:val="0"/>
        <w:jc w:val="left"/>
        <w:rPr>
          <w:rFonts w:ascii="Times New Roman" w:hAnsi="Times New Roman"/>
          <w:b/>
          <w:color w:val="000000"/>
          <w:sz w:val="20"/>
        </w:rPr>
      </w:pPr>
      <w:r>
        <w:rPr>
          <w:rFonts w:ascii="Times New Roman" w:hAnsi="Times New Roman"/>
          <w:b/>
          <w:color w:val="000000"/>
          <w:sz w:val="20"/>
        </w:rPr>
        <w:t>Cygnet Care Services Limited</w:t>
      </w:r>
    </w:p>
    <w:p>
      <w:pPr>
        <w:pStyle w:val="TextBody"/>
        <w:bidi w:val="0"/>
        <w:jc w:val="left"/>
        <w:rPr>
          <w:rFonts w:ascii="Times New Roman" w:hAnsi="Times New Roman"/>
          <w:color w:val="000000"/>
          <w:sz w:val="20"/>
        </w:rPr>
      </w:pPr>
      <w:r>
        <w:rPr>
          <w:rFonts w:ascii="Times New Roman" w:hAnsi="Times New Roman"/>
          <w:color w:val="000000"/>
          <w:sz w:val="20"/>
        </w:rPr>
        <w:t>Incorporated State: United Kingdom</w:t>
      </w:r>
    </w:p>
    <w:p>
      <w:pPr>
        <w:pStyle w:val="TextBody"/>
        <w:bidi w:val="0"/>
        <w:jc w:val="left"/>
        <w:rPr>
          <w:rFonts w:ascii="Times New Roman" w:hAnsi="Times New Roman"/>
          <w:color w:val="000000"/>
          <w:sz w:val="20"/>
        </w:rPr>
      </w:pPr>
      <w:r>
        <w:rPr>
          <w:rFonts w:ascii="Times New Roman" w:hAnsi="Times New Roman"/>
          <w:color w:val="000000"/>
          <w:sz w:val="20"/>
        </w:rPr>
        <w:t>Business Name: Amberwood Lodge, Broughton House, Broughton Lodge, Nightingale, Devon Lodge, Elston House, Oakhurst Lodge, The Squirrels, Bryn Y Wawr, Clynsaer, No. 12 High Street, The Old Vicarage, Supported Living in Macclesfield (North West Supported Living), Supported Living in Preston (North West Supported Living), Supported Living in Warrington (North West Supported Living, Supported Living in Wigan Central (North West Supported Living) and Supported Living in Wigan South (North West Supported Living)</w:t>
      </w:r>
    </w:p>
    <w:p>
      <w:pPr>
        <w:pStyle w:val="TextBody"/>
        <w:bidi w:val="0"/>
        <w:jc w:val="left"/>
        <w:rPr>
          <w:rFonts w:ascii="Times New Roman" w:hAnsi="Times New Roman"/>
          <w:b/>
          <w:color w:val="000000"/>
          <w:sz w:val="20"/>
        </w:rPr>
      </w:pPr>
      <w:r>
        <w:rPr>
          <w:rFonts w:ascii="Times New Roman" w:hAnsi="Times New Roman"/>
          <w:b/>
          <w:color w:val="000000"/>
          <w:sz w:val="20"/>
        </w:rPr>
        <w:t>Cygnet Clifton Limited</w:t>
      </w:r>
    </w:p>
    <w:p>
      <w:pPr>
        <w:pStyle w:val="TextBody"/>
        <w:bidi w:val="0"/>
        <w:jc w:val="left"/>
        <w:rPr>
          <w:rFonts w:ascii="Times New Roman" w:hAnsi="Times New Roman"/>
          <w:color w:val="000000"/>
          <w:sz w:val="20"/>
        </w:rPr>
      </w:pPr>
      <w:r>
        <w:rPr>
          <w:rFonts w:ascii="Times New Roman" w:hAnsi="Times New Roman"/>
          <w:color w:val="000000"/>
          <w:sz w:val="20"/>
        </w:rPr>
        <w:t>Incorporated State: United Kingdom</w:t>
      </w:r>
    </w:p>
    <w:p>
      <w:pPr>
        <w:pStyle w:val="TextBody"/>
        <w:bidi w:val="0"/>
        <w:jc w:val="left"/>
        <w:rPr>
          <w:rFonts w:ascii="Times New Roman" w:hAnsi="Times New Roman"/>
          <w:color w:val="000000"/>
          <w:sz w:val="20"/>
        </w:rPr>
      </w:pPr>
      <w:r>
        <w:rPr>
          <w:rFonts w:ascii="Times New Roman" w:hAnsi="Times New Roman"/>
          <w:color w:val="000000"/>
          <w:sz w:val="20"/>
        </w:rPr>
        <w:t>Business Name: Cygnet Alders Clinic, Cygnet Acer Clinic, and Cygnet Hospital Clifton</w:t>
      </w:r>
    </w:p>
    <w:p>
      <w:pPr>
        <w:pStyle w:val="TextBody"/>
        <w:bidi w:val="0"/>
        <w:jc w:val="left"/>
        <w:rPr>
          <w:rFonts w:ascii="Times New Roman" w:hAnsi="Times New Roman"/>
          <w:b/>
          <w:color w:val="000000"/>
          <w:sz w:val="20"/>
        </w:rPr>
      </w:pPr>
      <w:r>
        <w:rPr>
          <w:rFonts w:ascii="Times New Roman" w:hAnsi="Times New Roman"/>
          <w:b/>
          <w:color w:val="000000"/>
          <w:sz w:val="20"/>
        </w:rPr>
        <w:t>Cygnet DHG Limited</w:t>
      </w:r>
    </w:p>
    <w:p>
      <w:pPr>
        <w:pStyle w:val="TextBody"/>
        <w:bidi w:val="0"/>
        <w:jc w:val="left"/>
        <w:rPr>
          <w:rFonts w:ascii="Times New Roman" w:hAnsi="Times New Roman"/>
          <w:color w:val="000000"/>
          <w:sz w:val="20"/>
        </w:rPr>
      </w:pPr>
      <w:r>
        <w:rPr>
          <w:rFonts w:ascii="Times New Roman" w:hAnsi="Times New Roman"/>
          <w:color w:val="000000"/>
          <w:sz w:val="20"/>
        </w:rPr>
        <w:t>Incorporated State: United Kingdom</w:t>
      </w:r>
    </w:p>
    <w:p>
      <w:pPr>
        <w:pStyle w:val="TextBody"/>
        <w:bidi w:val="0"/>
        <w:jc w:val="left"/>
        <w:rPr>
          <w:rFonts w:ascii="Times New Roman" w:hAnsi="Times New Roman"/>
          <w:b/>
          <w:color w:val="000000"/>
          <w:sz w:val="20"/>
        </w:rPr>
      </w:pPr>
      <w:r>
        <w:rPr>
          <w:rFonts w:ascii="Times New Roman" w:hAnsi="Times New Roman"/>
          <w:b/>
          <w:color w:val="000000"/>
          <w:sz w:val="20"/>
        </w:rPr>
        <w:t>Cygnet D Holdings Limited</w:t>
      </w:r>
    </w:p>
    <w:p>
      <w:pPr>
        <w:pStyle w:val="TextBody"/>
        <w:bidi w:val="0"/>
        <w:jc w:val="left"/>
        <w:rPr>
          <w:rFonts w:ascii="Times New Roman" w:hAnsi="Times New Roman"/>
          <w:color w:val="000000"/>
          <w:sz w:val="20"/>
        </w:rPr>
      </w:pPr>
      <w:r>
        <w:rPr>
          <w:rFonts w:ascii="Times New Roman" w:hAnsi="Times New Roman"/>
          <w:color w:val="000000"/>
          <w:sz w:val="20"/>
        </w:rPr>
        <w:t>Incorporated State: United Kingdom</w:t>
      </w:r>
    </w:p>
    <w:p>
      <w:pPr>
        <w:pStyle w:val="TextBody"/>
        <w:bidi w:val="0"/>
        <w:jc w:val="left"/>
        <w:rPr>
          <w:rFonts w:ascii="Times New Roman" w:hAnsi="Times New Roman"/>
          <w:b/>
          <w:color w:val="000000"/>
          <w:sz w:val="20"/>
        </w:rPr>
      </w:pPr>
      <w:r>
        <w:rPr>
          <w:rFonts w:ascii="Times New Roman" w:hAnsi="Times New Roman"/>
          <w:b/>
          <w:color w:val="000000"/>
          <w:sz w:val="20"/>
        </w:rPr>
        <w:t>Cygnet Health Care Limited</w:t>
      </w:r>
    </w:p>
    <w:p>
      <w:pPr>
        <w:pStyle w:val="TextBody"/>
        <w:bidi w:val="0"/>
        <w:jc w:val="left"/>
        <w:rPr>
          <w:rFonts w:ascii="Times New Roman" w:hAnsi="Times New Roman"/>
          <w:color w:val="000000"/>
          <w:sz w:val="20"/>
        </w:rPr>
      </w:pPr>
      <w:r>
        <w:rPr>
          <w:rFonts w:ascii="Times New Roman" w:hAnsi="Times New Roman"/>
          <w:color w:val="000000"/>
          <w:sz w:val="20"/>
        </w:rPr>
        <w:t>Incorporated State: United Kingdom</w:t>
      </w:r>
    </w:p>
    <w:p>
      <w:pPr>
        <w:pStyle w:val="TextBody"/>
        <w:bidi w:val="0"/>
        <w:jc w:val="left"/>
        <w:rPr>
          <w:rFonts w:ascii="Times New Roman" w:hAnsi="Times New Roman"/>
          <w:color w:val="000000"/>
          <w:sz w:val="20"/>
        </w:rPr>
      </w:pPr>
      <w:r>
        <w:rPr>
          <w:rFonts w:ascii="Times New Roman" w:hAnsi="Times New Roman"/>
          <w:color w:val="000000"/>
          <w:sz w:val="20"/>
        </w:rPr>
        <w:t xml:space="preserve">Business Name: Cygnet Hospital Beckton, Cygnet Hospital Bierley, Cygnet Hospital Derby, Cygnet Hospital Ealing, Cygnet Hospital Godden Green, Cygnet Hospital Harrogate, Cygnet Hospital Harrow, Cygnet Hospital Kewstoke, Cygnet Hospital Stevenage, Cygnet Hospital Wyke, Cygnet Lodge Brighouse, Cygnet Lodge Kenton, Cygnet Lodge Lewisham, Cygnet Hospital Blackheath, Tabley </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color w:val="000000"/>
          <w:sz w:val="20"/>
        </w:rPr>
      </w:pPr>
      <w:r>
        <w:rPr>
          <w:rFonts w:ascii="Times New Roman" w:hAnsi="Times New Roman"/>
          <w:color w:val="000000"/>
          <w:sz w:val="20"/>
        </w:rPr>
        <w:t xml:space="preserve">House Nursing Home, Tupwood Gate Nursing Home, Cygnet Hospital Taunton, Cygnet Joyce Parker Hospital and Cygnet Hospital Maidstone </w:t>
      </w:r>
    </w:p>
    <w:p>
      <w:pPr>
        <w:pStyle w:val="TextBody"/>
        <w:bidi w:val="0"/>
        <w:jc w:val="left"/>
        <w:rPr>
          <w:rFonts w:ascii="Times New Roman" w:hAnsi="Times New Roman"/>
          <w:b/>
          <w:color w:val="000000"/>
          <w:sz w:val="20"/>
        </w:rPr>
      </w:pPr>
      <w:r>
        <w:rPr>
          <w:rFonts w:ascii="Times New Roman" w:hAnsi="Times New Roman"/>
          <w:b/>
          <w:color w:val="000000"/>
          <w:sz w:val="20"/>
        </w:rPr>
        <w:t>Cygnet Health Developments Limited</w:t>
      </w:r>
    </w:p>
    <w:p>
      <w:pPr>
        <w:pStyle w:val="TextBody"/>
        <w:bidi w:val="0"/>
        <w:jc w:val="left"/>
        <w:rPr>
          <w:rFonts w:ascii="Times New Roman" w:hAnsi="Times New Roman"/>
          <w:color w:val="000000"/>
          <w:sz w:val="20"/>
        </w:rPr>
      </w:pPr>
      <w:r>
        <w:rPr>
          <w:rFonts w:ascii="Times New Roman" w:hAnsi="Times New Roman"/>
          <w:color w:val="000000"/>
          <w:sz w:val="20"/>
        </w:rPr>
        <w:t>Incorporated State: United Kingdom</w:t>
      </w:r>
    </w:p>
    <w:p>
      <w:pPr>
        <w:pStyle w:val="TextBody"/>
        <w:bidi w:val="0"/>
        <w:jc w:val="left"/>
        <w:rPr>
          <w:rFonts w:ascii="Times New Roman" w:hAnsi="Times New Roman"/>
          <w:b/>
          <w:color w:val="000000"/>
          <w:sz w:val="20"/>
        </w:rPr>
      </w:pPr>
      <w:r>
        <w:rPr>
          <w:rFonts w:ascii="Times New Roman" w:hAnsi="Times New Roman"/>
          <w:b/>
          <w:color w:val="000000"/>
          <w:sz w:val="20"/>
        </w:rPr>
        <w:t>Cygnet Health Properties Limited</w:t>
      </w:r>
    </w:p>
    <w:p>
      <w:pPr>
        <w:pStyle w:val="TextBody"/>
        <w:bidi w:val="0"/>
        <w:jc w:val="left"/>
        <w:rPr>
          <w:rFonts w:ascii="Times New Roman" w:hAnsi="Times New Roman"/>
          <w:color w:val="000000"/>
          <w:sz w:val="20"/>
        </w:rPr>
      </w:pPr>
      <w:r>
        <w:rPr>
          <w:rFonts w:ascii="Times New Roman" w:hAnsi="Times New Roman"/>
          <w:color w:val="000000"/>
          <w:sz w:val="20"/>
        </w:rPr>
        <w:t>Incorporated State: United Kingdom</w:t>
      </w:r>
    </w:p>
    <w:p>
      <w:pPr>
        <w:pStyle w:val="TextBody"/>
        <w:bidi w:val="0"/>
        <w:jc w:val="left"/>
        <w:rPr>
          <w:rFonts w:ascii="Times New Roman" w:hAnsi="Times New Roman"/>
          <w:b/>
          <w:color w:val="000000"/>
          <w:sz w:val="20"/>
        </w:rPr>
      </w:pPr>
      <w:r>
        <w:rPr>
          <w:rFonts w:ascii="Times New Roman" w:hAnsi="Times New Roman"/>
          <w:b/>
          <w:color w:val="000000"/>
          <w:sz w:val="20"/>
        </w:rPr>
        <w:t>Cygnet Health UK Limited</w:t>
      </w:r>
    </w:p>
    <w:p>
      <w:pPr>
        <w:pStyle w:val="TextBody"/>
        <w:bidi w:val="0"/>
        <w:jc w:val="left"/>
        <w:rPr>
          <w:rFonts w:ascii="Times New Roman" w:hAnsi="Times New Roman"/>
          <w:color w:val="000000"/>
          <w:sz w:val="20"/>
        </w:rPr>
      </w:pPr>
      <w:r>
        <w:rPr>
          <w:rFonts w:ascii="Times New Roman" w:hAnsi="Times New Roman"/>
          <w:color w:val="000000"/>
          <w:sz w:val="20"/>
        </w:rPr>
        <w:t>Incorporated State: United Kingdom</w:t>
      </w:r>
    </w:p>
    <w:p>
      <w:pPr>
        <w:pStyle w:val="TextBody"/>
        <w:bidi w:val="0"/>
        <w:jc w:val="left"/>
        <w:rPr>
          <w:rFonts w:ascii="Times New Roman" w:hAnsi="Times New Roman"/>
          <w:b/>
          <w:color w:val="000000"/>
          <w:sz w:val="20"/>
        </w:rPr>
      </w:pPr>
      <w:r>
        <w:rPr>
          <w:rFonts w:ascii="Times New Roman" w:hAnsi="Times New Roman"/>
          <w:b/>
          <w:color w:val="000000"/>
          <w:sz w:val="20"/>
        </w:rPr>
        <w:t>Cygnet Hospitals Holdings Limited</w:t>
      </w:r>
    </w:p>
    <w:p>
      <w:pPr>
        <w:pStyle w:val="TextBody"/>
        <w:bidi w:val="0"/>
        <w:jc w:val="left"/>
        <w:rPr>
          <w:rFonts w:ascii="Times New Roman" w:hAnsi="Times New Roman"/>
          <w:color w:val="000000"/>
          <w:sz w:val="20"/>
        </w:rPr>
      </w:pPr>
      <w:r>
        <w:rPr>
          <w:rFonts w:ascii="Times New Roman" w:hAnsi="Times New Roman"/>
          <w:color w:val="000000"/>
          <w:sz w:val="20"/>
        </w:rPr>
        <w:t>Incorporated State: United Kingdom</w:t>
      </w:r>
    </w:p>
    <w:p>
      <w:pPr>
        <w:pStyle w:val="TextBody"/>
        <w:bidi w:val="0"/>
        <w:jc w:val="left"/>
        <w:rPr>
          <w:rFonts w:ascii="Times New Roman" w:hAnsi="Times New Roman"/>
          <w:b/>
          <w:color w:val="000000"/>
          <w:sz w:val="20"/>
        </w:rPr>
      </w:pPr>
      <w:r>
        <w:rPr>
          <w:rFonts w:ascii="Times New Roman" w:hAnsi="Times New Roman"/>
          <w:b/>
          <w:color w:val="000000"/>
          <w:sz w:val="20"/>
        </w:rPr>
        <w:t>Cygnet Inter-Holdings Limited</w:t>
      </w:r>
    </w:p>
    <w:p>
      <w:pPr>
        <w:pStyle w:val="TextBody"/>
        <w:bidi w:val="0"/>
        <w:jc w:val="left"/>
        <w:rPr>
          <w:rFonts w:ascii="Times New Roman" w:hAnsi="Times New Roman"/>
          <w:color w:val="000000"/>
          <w:sz w:val="20"/>
        </w:rPr>
      </w:pPr>
      <w:r>
        <w:rPr>
          <w:rFonts w:ascii="Times New Roman" w:hAnsi="Times New Roman"/>
          <w:color w:val="000000"/>
          <w:sz w:val="20"/>
        </w:rPr>
        <w:t>Incorporated State: United Kingdom</w:t>
      </w:r>
    </w:p>
    <w:p>
      <w:pPr>
        <w:pStyle w:val="TextBody"/>
        <w:bidi w:val="0"/>
        <w:jc w:val="left"/>
        <w:rPr>
          <w:rFonts w:ascii="Times New Roman" w:hAnsi="Times New Roman"/>
          <w:b/>
          <w:color w:val="000000"/>
          <w:sz w:val="20"/>
        </w:rPr>
      </w:pPr>
      <w:r>
        <w:rPr>
          <w:rFonts w:ascii="Times New Roman" w:hAnsi="Times New Roman"/>
          <w:b/>
          <w:color w:val="000000"/>
          <w:sz w:val="20"/>
        </w:rPr>
        <w:t>Cygnet Learning Disabilities Limited</w:t>
      </w:r>
    </w:p>
    <w:p>
      <w:pPr>
        <w:pStyle w:val="TextBody"/>
        <w:bidi w:val="0"/>
        <w:jc w:val="left"/>
        <w:rPr>
          <w:rFonts w:ascii="Times New Roman" w:hAnsi="Times New Roman"/>
          <w:color w:val="000000"/>
          <w:sz w:val="20"/>
        </w:rPr>
      </w:pPr>
      <w:r>
        <w:rPr>
          <w:rFonts w:ascii="Times New Roman" w:hAnsi="Times New Roman"/>
          <w:color w:val="000000"/>
          <w:sz w:val="20"/>
        </w:rPr>
        <w:t>Incorporated State: United Kingdom</w:t>
      </w:r>
    </w:p>
    <w:p>
      <w:pPr>
        <w:pStyle w:val="TextBody"/>
        <w:bidi w:val="0"/>
        <w:jc w:val="left"/>
        <w:rPr>
          <w:rFonts w:ascii="Times New Roman" w:hAnsi="Times New Roman"/>
          <w:color w:val="000000"/>
          <w:sz w:val="20"/>
        </w:rPr>
      </w:pPr>
      <w:r>
        <w:rPr>
          <w:rFonts w:ascii="Times New Roman" w:hAnsi="Times New Roman"/>
          <w:color w:val="000000"/>
          <w:sz w:val="20"/>
        </w:rPr>
        <w:t xml:space="preserve">Business Name: Cygnet Colchester </w:t>
      </w:r>
    </w:p>
    <w:p>
      <w:pPr>
        <w:pStyle w:val="TextBody"/>
        <w:bidi w:val="0"/>
        <w:jc w:val="left"/>
        <w:rPr>
          <w:rFonts w:ascii="Times New Roman" w:hAnsi="Times New Roman"/>
          <w:b/>
          <w:color w:val="000000"/>
          <w:sz w:val="20"/>
        </w:rPr>
      </w:pPr>
      <w:r>
        <w:rPr>
          <w:rFonts w:ascii="Times New Roman" w:hAnsi="Times New Roman"/>
          <w:b/>
          <w:color w:val="000000"/>
          <w:sz w:val="20"/>
        </w:rPr>
        <w:t>Cygnet Learning Disabilities Midlands Limited</w:t>
      </w:r>
    </w:p>
    <w:p>
      <w:pPr>
        <w:pStyle w:val="TextBody"/>
        <w:bidi w:val="0"/>
        <w:jc w:val="left"/>
        <w:rPr>
          <w:rFonts w:ascii="Times New Roman" w:hAnsi="Times New Roman"/>
          <w:color w:val="000000"/>
          <w:sz w:val="20"/>
        </w:rPr>
      </w:pPr>
      <w:r>
        <w:rPr>
          <w:rFonts w:ascii="Times New Roman" w:hAnsi="Times New Roman"/>
          <w:color w:val="000000"/>
          <w:sz w:val="20"/>
        </w:rPr>
        <w:t>Incorporated State: United Kingdom</w:t>
      </w:r>
    </w:p>
    <w:p>
      <w:pPr>
        <w:pStyle w:val="TextBody"/>
        <w:bidi w:val="0"/>
        <w:jc w:val="left"/>
        <w:rPr>
          <w:rFonts w:ascii="Times New Roman" w:hAnsi="Times New Roman"/>
          <w:color w:val="000000"/>
          <w:sz w:val="20"/>
        </w:rPr>
      </w:pPr>
      <w:r>
        <w:rPr>
          <w:rFonts w:ascii="Times New Roman" w:hAnsi="Times New Roman"/>
          <w:color w:val="000000"/>
          <w:sz w:val="20"/>
        </w:rPr>
        <w:t>Business Name: Beeches, Birches, Cygnet Cedars, Conifers, Cygnet Elms, Cygnet Grange, Cygnet Lodge, Cygnet Manor, Pines, Cygnet Views, Fairways, The Fields, Gables, Gledholt, Long Eaton Day Services, Sheffield Day Services, Chaseways, Marion House, Glyn House, Morgan House, Cherry Tree House, Gledholt Mews, Hansa Lodge, Walkern Lodge and Shear Meadow</w:t>
      </w:r>
    </w:p>
    <w:p>
      <w:pPr>
        <w:pStyle w:val="TextBody"/>
        <w:bidi w:val="0"/>
        <w:jc w:val="left"/>
        <w:rPr>
          <w:rFonts w:ascii="Times New Roman" w:hAnsi="Times New Roman"/>
          <w:b/>
          <w:color w:val="000000"/>
          <w:sz w:val="20"/>
        </w:rPr>
      </w:pPr>
      <w:r>
        <w:rPr>
          <w:rFonts w:ascii="Times New Roman" w:hAnsi="Times New Roman"/>
          <w:b/>
          <w:color w:val="000000"/>
          <w:sz w:val="20"/>
        </w:rPr>
        <w:t>Cygnet NW Limited</w:t>
      </w:r>
    </w:p>
    <w:p>
      <w:pPr>
        <w:pStyle w:val="TextBody"/>
        <w:bidi w:val="0"/>
        <w:jc w:val="left"/>
        <w:rPr>
          <w:rFonts w:ascii="Times New Roman" w:hAnsi="Times New Roman"/>
          <w:color w:val="000000"/>
          <w:sz w:val="20"/>
        </w:rPr>
      </w:pPr>
      <w:r>
        <w:rPr>
          <w:rFonts w:ascii="Times New Roman" w:hAnsi="Times New Roman"/>
          <w:color w:val="000000"/>
          <w:sz w:val="20"/>
        </w:rPr>
        <w:t>Incorporated State: United Kingdom</w:t>
      </w:r>
    </w:p>
    <w:p>
      <w:pPr>
        <w:pStyle w:val="TextBody"/>
        <w:bidi w:val="0"/>
        <w:jc w:val="left"/>
        <w:rPr>
          <w:rFonts w:ascii="Times New Roman" w:hAnsi="Times New Roman"/>
          <w:color w:val="000000"/>
          <w:sz w:val="20"/>
        </w:rPr>
      </w:pPr>
      <w:r>
        <w:rPr>
          <w:rFonts w:ascii="Times New Roman" w:hAnsi="Times New Roman"/>
          <w:color w:val="000000"/>
          <w:sz w:val="20"/>
        </w:rPr>
        <w:t>Business Name: Cygnet Hospital Bury, Cygnet Hospital Sheffield and Cygnet Lodge Salford</w:t>
      </w:r>
    </w:p>
    <w:p>
      <w:pPr>
        <w:pStyle w:val="TextBody"/>
        <w:bidi w:val="0"/>
        <w:jc w:val="left"/>
        <w:rPr>
          <w:rFonts w:ascii="Times New Roman" w:hAnsi="Times New Roman"/>
          <w:b/>
          <w:color w:val="000000"/>
          <w:sz w:val="20"/>
        </w:rPr>
      </w:pPr>
      <w:r>
        <w:rPr>
          <w:rFonts w:ascii="Times New Roman" w:hAnsi="Times New Roman"/>
          <w:b/>
          <w:color w:val="000000"/>
          <w:sz w:val="20"/>
        </w:rPr>
        <w:t>Cygnet Propco HoldCo II Limited</w:t>
      </w:r>
    </w:p>
    <w:p>
      <w:pPr>
        <w:pStyle w:val="TextBody"/>
        <w:bidi w:val="0"/>
        <w:jc w:val="left"/>
        <w:rPr>
          <w:rFonts w:ascii="Times New Roman" w:hAnsi="Times New Roman"/>
          <w:color w:val="000000"/>
          <w:sz w:val="20"/>
        </w:rPr>
      </w:pPr>
      <w:r>
        <w:rPr>
          <w:rFonts w:ascii="Times New Roman" w:hAnsi="Times New Roman"/>
          <w:color w:val="000000"/>
          <w:sz w:val="20"/>
        </w:rPr>
        <w:t>Incorporated State: United Kingdom</w:t>
      </w:r>
    </w:p>
    <w:p>
      <w:pPr>
        <w:pStyle w:val="TextBody"/>
        <w:bidi w:val="0"/>
        <w:jc w:val="left"/>
        <w:rPr>
          <w:rFonts w:ascii="Times New Roman" w:hAnsi="Times New Roman"/>
          <w:b/>
          <w:color w:val="000000"/>
          <w:sz w:val="20"/>
        </w:rPr>
      </w:pPr>
      <w:r>
        <w:rPr>
          <w:rFonts w:ascii="Times New Roman" w:hAnsi="Times New Roman"/>
          <w:b/>
          <w:color w:val="000000"/>
          <w:sz w:val="20"/>
        </w:rPr>
        <w:t>Cygnet Propco Holdco Limited</w:t>
      </w:r>
    </w:p>
    <w:p>
      <w:pPr>
        <w:pStyle w:val="TextBody"/>
        <w:bidi w:val="0"/>
        <w:jc w:val="left"/>
        <w:rPr>
          <w:rFonts w:ascii="Times New Roman" w:hAnsi="Times New Roman"/>
          <w:color w:val="000000"/>
          <w:sz w:val="20"/>
        </w:rPr>
      </w:pPr>
      <w:r>
        <w:rPr>
          <w:rFonts w:ascii="Times New Roman" w:hAnsi="Times New Roman"/>
          <w:color w:val="000000"/>
          <w:sz w:val="20"/>
        </w:rPr>
        <w:t>Incorporated State: United Kingdom</w:t>
      </w:r>
    </w:p>
    <w:p>
      <w:pPr>
        <w:pStyle w:val="TextBody"/>
        <w:bidi w:val="0"/>
        <w:jc w:val="left"/>
        <w:rPr>
          <w:rFonts w:ascii="Times New Roman" w:hAnsi="Times New Roman"/>
          <w:b/>
          <w:color w:val="000000"/>
          <w:sz w:val="20"/>
        </w:rPr>
      </w:pPr>
      <w:r>
        <w:rPr>
          <w:rFonts w:ascii="Times New Roman" w:hAnsi="Times New Roman"/>
          <w:b/>
          <w:color w:val="000000"/>
          <w:sz w:val="20"/>
        </w:rPr>
        <w:t>Cygnet Propco II Limited</w:t>
      </w:r>
    </w:p>
    <w:p>
      <w:pPr>
        <w:pStyle w:val="TextBody"/>
        <w:bidi w:val="0"/>
        <w:jc w:val="left"/>
        <w:rPr>
          <w:rFonts w:ascii="Times New Roman" w:hAnsi="Times New Roman"/>
          <w:color w:val="000000"/>
          <w:sz w:val="20"/>
        </w:rPr>
      </w:pPr>
      <w:r>
        <w:rPr>
          <w:rFonts w:ascii="Times New Roman" w:hAnsi="Times New Roman"/>
          <w:color w:val="000000"/>
          <w:sz w:val="20"/>
        </w:rPr>
        <w:t>Incorporated State: United Kingdom</w:t>
      </w:r>
    </w:p>
    <w:p>
      <w:pPr>
        <w:pStyle w:val="TextBody"/>
        <w:bidi w:val="0"/>
        <w:jc w:val="left"/>
        <w:rPr>
          <w:rFonts w:ascii="Times New Roman" w:hAnsi="Times New Roman"/>
          <w:b/>
          <w:color w:val="000000"/>
          <w:sz w:val="20"/>
        </w:rPr>
      </w:pPr>
      <w:r>
        <w:rPr>
          <w:rFonts w:ascii="Times New Roman" w:hAnsi="Times New Roman"/>
          <w:b/>
          <w:color w:val="000000"/>
          <w:sz w:val="20"/>
        </w:rPr>
        <w:t>Cygnet Propco Limited</w:t>
      </w:r>
    </w:p>
    <w:p>
      <w:pPr>
        <w:pStyle w:val="TextBody"/>
        <w:bidi w:val="0"/>
        <w:jc w:val="left"/>
        <w:rPr>
          <w:rFonts w:ascii="Times New Roman" w:hAnsi="Times New Roman"/>
          <w:color w:val="000000"/>
          <w:sz w:val="20"/>
        </w:rPr>
      </w:pPr>
      <w:r>
        <w:rPr>
          <w:rFonts w:ascii="Times New Roman" w:hAnsi="Times New Roman"/>
          <w:color w:val="000000"/>
          <w:sz w:val="20"/>
        </w:rPr>
        <w:t>Incorporated State: United Kingdom</w:t>
      </w:r>
    </w:p>
    <w:p>
      <w:pPr>
        <w:pStyle w:val="TextBody"/>
        <w:bidi w:val="0"/>
        <w:jc w:val="left"/>
        <w:rPr>
          <w:rFonts w:ascii="Times New Roman" w:hAnsi="Times New Roman"/>
          <w:sz w:val="20"/>
        </w:rPr>
      </w:pPr>
      <w:r>
        <w:rPr>
          <w:rFonts w:ascii="Times New Roman" w:hAnsi="Times New Roman"/>
          <w:b/>
          <w:color w:val="000000"/>
          <w:sz w:val="20"/>
        </w:rPr>
        <w:t>Cygnet Supported Living Limited</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Incorporated State: United Kingdom</w:t>
      </w:r>
    </w:p>
    <w:p>
      <w:pPr>
        <w:pStyle w:val="TextBody"/>
        <w:bidi w:val="0"/>
        <w:jc w:val="left"/>
        <w:rPr>
          <w:rFonts w:ascii="Times New Roman" w:hAnsi="Times New Roman"/>
          <w:b/>
          <w:color w:val="000000"/>
          <w:sz w:val="20"/>
        </w:rPr>
      </w:pPr>
      <w:r>
        <w:rPr>
          <w:rFonts w:ascii="Times New Roman" w:hAnsi="Times New Roman"/>
          <w:b/>
          <w:color w:val="000000"/>
          <w:sz w:val="20"/>
        </w:rPr>
        <w:t>Cygnet Surrey Limited</w:t>
      </w:r>
    </w:p>
    <w:p>
      <w:pPr>
        <w:pStyle w:val="TextBody"/>
        <w:bidi w:val="0"/>
        <w:jc w:val="left"/>
        <w:rPr>
          <w:rFonts w:ascii="Times New Roman" w:hAnsi="Times New Roman"/>
          <w:color w:val="000000"/>
          <w:sz w:val="20"/>
        </w:rPr>
      </w:pPr>
      <w:r>
        <w:rPr>
          <w:rFonts w:ascii="Times New Roman" w:hAnsi="Times New Roman"/>
          <w:color w:val="000000"/>
          <w:sz w:val="20"/>
        </w:rPr>
        <w:t>Incorporated State: United Kingdom</w:t>
      </w:r>
    </w:p>
    <w:p>
      <w:pPr>
        <w:pStyle w:val="TextBody"/>
        <w:bidi w:val="0"/>
        <w:jc w:val="left"/>
        <w:rPr>
          <w:rFonts w:ascii="Times New Roman" w:hAnsi="Times New Roman"/>
          <w:color w:val="000000"/>
          <w:sz w:val="20"/>
        </w:rPr>
      </w:pPr>
      <w:r>
        <w:rPr>
          <w:rFonts w:ascii="Times New Roman" w:hAnsi="Times New Roman"/>
          <w:color w:val="000000"/>
          <w:sz w:val="20"/>
        </w:rPr>
        <w:t>Business Name: Cygnet Hospital Woking, Cygnet Lodge Woking</w:t>
      </w:r>
    </w:p>
    <w:p>
      <w:pPr>
        <w:pStyle w:val="TextBody"/>
        <w:bidi w:val="0"/>
        <w:jc w:val="left"/>
        <w:rPr>
          <w:rFonts w:ascii="Times New Roman" w:hAnsi="Times New Roman"/>
          <w:b/>
          <w:color w:val="000000"/>
          <w:sz w:val="20"/>
        </w:rPr>
      </w:pPr>
      <w:r>
        <w:rPr>
          <w:rFonts w:ascii="Times New Roman" w:hAnsi="Times New Roman"/>
          <w:b/>
          <w:color w:val="000000"/>
          <w:sz w:val="20"/>
        </w:rPr>
        <w:t>Cygnet (DH) Limited</w:t>
      </w:r>
    </w:p>
    <w:p>
      <w:pPr>
        <w:pStyle w:val="TextBody"/>
        <w:bidi w:val="0"/>
        <w:jc w:val="left"/>
        <w:rPr>
          <w:rFonts w:ascii="Times New Roman" w:hAnsi="Times New Roman"/>
          <w:color w:val="000000"/>
          <w:sz w:val="20"/>
        </w:rPr>
      </w:pPr>
      <w:r>
        <w:rPr>
          <w:rFonts w:ascii="Times New Roman" w:hAnsi="Times New Roman"/>
          <w:color w:val="000000"/>
          <w:sz w:val="20"/>
        </w:rPr>
        <w:t>Incorporated State: United Kingdom</w:t>
      </w:r>
    </w:p>
    <w:p>
      <w:pPr>
        <w:pStyle w:val="TextBody"/>
        <w:bidi w:val="0"/>
        <w:jc w:val="left"/>
        <w:rPr>
          <w:rFonts w:ascii="Times New Roman" w:hAnsi="Times New Roman"/>
          <w:color w:val="000000"/>
          <w:sz w:val="20"/>
        </w:rPr>
      </w:pPr>
      <w:r>
        <w:rPr>
          <w:rFonts w:ascii="Times New Roman" w:hAnsi="Times New Roman"/>
          <w:color w:val="000000"/>
          <w:sz w:val="20"/>
        </w:rPr>
        <w:t xml:space="preserve">Business Name: Cygnet Wast Hills, Ellen Mhor, Ranaich House, Thistle House, Trinity House, Trinity Lodge, Cygnet Wallace Hospital, Lindsay House, Hope House, Hollyhurst, Thornfield Grange, Oaklands, River View, Toller Road, Willow House, Cygnet Hospital Hexham, Cygnet Newham House, Supported Living in Birmingham (Unit D, Hunters Row Centre), Supported Living in Darlington (Hollyhurst) and Supported Living in Wembourne and South Staffordshire (Unit D, Hunters Row Centre) </w:t>
      </w:r>
    </w:p>
    <w:p>
      <w:pPr>
        <w:pStyle w:val="TextBody"/>
        <w:bidi w:val="0"/>
        <w:jc w:val="left"/>
        <w:rPr>
          <w:rFonts w:ascii="Times New Roman" w:hAnsi="Times New Roman"/>
          <w:b/>
          <w:color w:val="000000"/>
          <w:sz w:val="20"/>
        </w:rPr>
      </w:pPr>
      <w:r>
        <w:rPr>
          <w:rFonts w:ascii="Times New Roman" w:hAnsi="Times New Roman"/>
          <w:b/>
          <w:color w:val="000000"/>
          <w:sz w:val="20"/>
        </w:rPr>
        <w:t>Cygnet (DM) LLP</w:t>
      </w:r>
    </w:p>
    <w:p>
      <w:pPr>
        <w:pStyle w:val="TextBody"/>
        <w:bidi w:val="0"/>
        <w:jc w:val="left"/>
        <w:rPr>
          <w:rFonts w:ascii="Times New Roman" w:hAnsi="Times New Roman"/>
          <w:color w:val="000000"/>
          <w:sz w:val="20"/>
        </w:rPr>
      </w:pPr>
      <w:r>
        <w:rPr>
          <w:rFonts w:ascii="Times New Roman" w:hAnsi="Times New Roman"/>
          <w:color w:val="000000"/>
          <w:sz w:val="20"/>
        </w:rPr>
        <w:t>Incorporated State: United Kingdom</w:t>
      </w:r>
    </w:p>
    <w:p>
      <w:pPr>
        <w:pStyle w:val="TextBody"/>
        <w:bidi w:val="0"/>
        <w:jc w:val="left"/>
        <w:rPr>
          <w:rFonts w:ascii="Times New Roman" w:hAnsi="Times New Roman"/>
          <w:b/>
          <w:color w:val="000000"/>
          <w:sz w:val="20"/>
        </w:rPr>
      </w:pPr>
      <w:r>
        <w:rPr>
          <w:rFonts w:ascii="Times New Roman" w:hAnsi="Times New Roman"/>
          <w:b/>
          <w:color w:val="000000"/>
          <w:sz w:val="20"/>
        </w:rPr>
        <w:t>Cygnet (OE) Limited</w:t>
      </w:r>
    </w:p>
    <w:p>
      <w:pPr>
        <w:pStyle w:val="TextBody"/>
        <w:bidi w:val="0"/>
        <w:jc w:val="left"/>
        <w:rPr>
          <w:rFonts w:ascii="Times New Roman" w:hAnsi="Times New Roman"/>
          <w:color w:val="000000"/>
          <w:sz w:val="20"/>
        </w:rPr>
      </w:pPr>
      <w:r>
        <w:rPr>
          <w:rFonts w:ascii="Times New Roman" w:hAnsi="Times New Roman"/>
          <w:color w:val="000000"/>
          <w:sz w:val="20"/>
        </w:rPr>
        <w:t>Incorporated State: United Kingdom</w:t>
      </w:r>
    </w:p>
    <w:p>
      <w:pPr>
        <w:pStyle w:val="TextBody"/>
        <w:bidi w:val="0"/>
        <w:jc w:val="left"/>
        <w:rPr>
          <w:rFonts w:ascii="Times New Roman" w:hAnsi="Times New Roman"/>
          <w:color w:val="000000"/>
          <w:sz w:val="20"/>
        </w:rPr>
      </w:pPr>
      <w:r>
        <w:rPr>
          <w:rFonts w:ascii="Times New Roman" w:hAnsi="Times New Roman"/>
          <w:color w:val="000000"/>
          <w:sz w:val="20"/>
        </w:rPr>
        <w:t>Business Name: Cygnet Bostall House, Ducks Halt, The Orchards and Old Leigh House</w:t>
      </w:r>
    </w:p>
    <w:p>
      <w:pPr>
        <w:pStyle w:val="TextBody"/>
        <w:bidi w:val="0"/>
        <w:jc w:val="left"/>
        <w:rPr>
          <w:rFonts w:ascii="Times New Roman" w:hAnsi="Times New Roman"/>
          <w:sz w:val="20"/>
        </w:rPr>
      </w:pPr>
      <w:r>
        <w:rPr>
          <w:rFonts w:ascii="Times New Roman" w:hAnsi="Times New Roman"/>
          <w:b/>
          <w:color w:val="000000"/>
          <w:sz w:val="20"/>
        </w:rPr>
        <w:t>Cypress Creek Real Estate, L.P.</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Incorporated State: Texas </w:t>
      </w:r>
    </w:p>
    <w:p>
      <w:pPr>
        <w:pStyle w:val="TextBody"/>
        <w:bidi w:val="0"/>
        <w:jc w:val="left"/>
        <w:rPr>
          <w:rFonts w:ascii="Times New Roman" w:hAnsi="Times New Roman"/>
          <w:sz w:val="20"/>
        </w:rPr>
      </w:pPr>
      <w:r>
        <w:rPr>
          <w:rFonts w:ascii="Times New Roman" w:hAnsi="Times New Roman"/>
          <w:b/>
          <w:color w:val="000000"/>
          <w:sz w:val="20"/>
        </w:rPr>
        <w:t>Del Amo Hospital, Inc.</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Incorporated State: California </w:t>
      </w:r>
    </w:p>
    <w:p>
      <w:pPr>
        <w:pStyle w:val="TextBody"/>
        <w:bidi w:val="0"/>
        <w:jc w:val="left"/>
        <w:rPr>
          <w:rFonts w:ascii="Times New Roman" w:hAnsi="Times New Roman"/>
          <w:color w:val="000000"/>
          <w:sz w:val="20"/>
        </w:rPr>
      </w:pPr>
      <w:r>
        <w:rPr>
          <w:rFonts w:ascii="Times New Roman" w:hAnsi="Times New Roman"/>
          <w:color w:val="000000"/>
          <w:sz w:val="20"/>
        </w:rPr>
        <w:t xml:space="preserve">Business Name: Del Amo Behavioral Health System </w:t>
      </w:r>
    </w:p>
    <w:p>
      <w:pPr>
        <w:pStyle w:val="TextBody"/>
        <w:bidi w:val="0"/>
        <w:jc w:val="left"/>
        <w:rPr>
          <w:rFonts w:ascii="Times New Roman" w:hAnsi="Times New Roman"/>
          <w:b/>
          <w:color w:val="000000"/>
          <w:sz w:val="20"/>
        </w:rPr>
      </w:pPr>
      <w:r>
        <w:rPr>
          <w:rFonts w:ascii="Times New Roman" w:hAnsi="Times New Roman"/>
          <w:b/>
          <w:color w:val="000000"/>
          <w:sz w:val="20"/>
        </w:rPr>
        <w:t>DHP 2131 K ST, LLC</w:t>
      </w:r>
    </w:p>
    <w:p>
      <w:pPr>
        <w:pStyle w:val="TextBody"/>
        <w:bidi w:val="0"/>
        <w:jc w:val="left"/>
        <w:rPr>
          <w:rFonts w:ascii="Times New Roman" w:hAnsi="Times New Roman"/>
          <w:color w:val="000000"/>
          <w:sz w:val="20"/>
        </w:rPr>
      </w:pPr>
      <w:r>
        <w:rPr>
          <w:rFonts w:ascii="Times New Roman" w:hAnsi="Times New Roman"/>
          <w:color w:val="000000"/>
          <w:sz w:val="20"/>
        </w:rPr>
        <w:t xml:space="preserve">Incorporated State: Delaware </w:t>
      </w:r>
    </w:p>
    <w:p>
      <w:pPr>
        <w:pStyle w:val="TextBody"/>
        <w:bidi w:val="0"/>
        <w:jc w:val="left"/>
        <w:rPr>
          <w:rFonts w:ascii="Times New Roman" w:hAnsi="Times New Roman"/>
          <w:sz w:val="20"/>
        </w:rPr>
      </w:pPr>
      <w:r>
        <w:rPr>
          <w:rFonts w:ascii="Times New Roman" w:hAnsi="Times New Roman"/>
          <w:b/>
          <w:color w:val="000000"/>
          <w:sz w:val="20"/>
        </w:rPr>
        <w:t>Diamond Grove Center, LLC</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Incorporated State: Delaware </w:t>
      </w:r>
    </w:p>
    <w:p>
      <w:pPr>
        <w:pStyle w:val="TextBody"/>
        <w:bidi w:val="0"/>
        <w:jc w:val="left"/>
        <w:rPr>
          <w:rFonts w:ascii="Times New Roman" w:hAnsi="Times New Roman"/>
          <w:color w:val="000000"/>
          <w:sz w:val="20"/>
        </w:rPr>
      </w:pPr>
      <w:r>
        <w:rPr>
          <w:rFonts w:ascii="Times New Roman" w:hAnsi="Times New Roman"/>
          <w:color w:val="000000"/>
          <w:sz w:val="20"/>
        </w:rPr>
        <w:t xml:space="preserve">Business Name: Diamond Grove Center </w:t>
      </w:r>
    </w:p>
    <w:p>
      <w:pPr>
        <w:pStyle w:val="TextBody"/>
        <w:bidi w:val="0"/>
        <w:jc w:val="left"/>
        <w:rPr>
          <w:rFonts w:ascii="Times New Roman" w:hAnsi="Times New Roman"/>
          <w:sz w:val="20"/>
        </w:rPr>
      </w:pPr>
      <w:r>
        <w:rPr>
          <w:rFonts w:ascii="Times New Roman" w:hAnsi="Times New Roman"/>
          <w:b/>
          <w:color w:val="000000"/>
          <w:sz w:val="20"/>
        </w:rPr>
        <w:t>District Hospital Partners Receivables, L.L.C</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Incorporated State: Delaware </w:t>
      </w:r>
    </w:p>
    <w:p>
      <w:pPr>
        <w:pStyle w:val="TextBody"/>
        <w:bidi w:val="0"/>
        <w:jc w:val="left"/>
        <w:rPr>
          <w:rFonts w:ascii="Times New Roman" w:hAnsi="Times New Roman"/>
          <w:sz w:val="20"/>
        </w:rPr>
      </w:pPr>
      <w:r>
        <w:rPr>
          <w:rFonts w:ascii="Times New Roman" w:hAnsi="Times New Roman"/>
          <w:b/>
          <w:color w:val="000000"/>
          <w:sz w:val="20"/>
        </w:rPr>
        <w:t>District Hospital Partners, L.P.</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Incorporated State: District of Columbia </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color w:val="000000"/>
          <w:sz w:val="20"/>
        </w:rPr>
      </w:pPr>
      <w:r>
        <w:rPr>
          <w:rFonts w:ascii="Times New Roman" w:hAnsi="Times New Roman"/>
          <w:color w:val="000000"/>
          <w:sz w:val="20"/>
        </w:rPr>
        <w:t xml:space="preserve">Business Name: The George Washington University Hospital </w:t>
      </w:r>
    </w:p>
    <w:p>
      <w:pPr>
        <w:pStyle w:val="TextBody"/>
        <w:bidi w:val="0"/>
        <w:jc w:val="left"/>
        <w:rPr>
          <w:rFonts w:ascii="Times New Roman" w:hAnsi="Times New Roman"/>
          <w:b/>
          <w:color w:val="000000"/>
          <w:sz w:val="20"/>
        </w:rPr>
      </w:pPr>
      <w:r>
        <w:rPr>
          <w:rFonts w:ascii="Times New Roman" w:hAnsi="Times New Roman"/>
          <w:b/>
          <w:color w:val="000000"/>
          <w:sz w:val="20"/>
        </w:rPr>
        <w:t>DOCACO Gulf Coast, LLC</w:t>
      </w:r>
    </w:p>
    <w:p>
      <w:pPr>
        <w:pStyle w:val="TextBody"/>
        <w:bidi w:val="0"/>
        <w:jc w:val="left"/>
        <w:rPr>
          <w:rFonts w:ascii="Times New Roman" w:hAnsi="Times New Roman"/>
          <w:color w:val="000000"/>
          <w:sz w:val="20"/>
        </w:rPr>
      </w:pPr>
      <w:r>
        <w:rPr>
          <w:rFonts w:ascii="Times New Roman" w:hAnsi="Times New Roman"/>
          <w:color w:val="000000"/>
          <w:sz w:val="20"/>
        </w:rPr>
        <w:t>Incorporated State: Florida</w:t>
      </w:r>
    </w:p>
    <w:p>
      <w:pPr>
        <w:pStyle w:val="TextBody"/>
        <w:bidi w:val="0"/>
        <w:jc w:val="left"/>
        <w:rPr>
          <w:rFonts w:ascii="Times New Roman" w:hAnsi="Times New Roman"/>
          <w:sz w:val="20"/>
        </w:rPr>
      </w:pPr>
      <w:r>
        <w:rPr>
          <w:rFonts w:ascii="Times New Roman" w:hAnsi="Times New Roman"/>
          <w:b/>
          <w:color w:val="000000"/>
          <w:sz w:val="20"/>
        </w:rPr>
        <w:t>Doctors’ Hospital of Shreveport, Inc.</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Incorporated State: Louisiana </w:t>
      </w:r>
    </w:p>
    <w:p>
      <w:pPr>
        <w:pStyle w:val="TextBody"/>
        <w:bidi w:val="0"/>
        <w:jc w:val="left"/>
        <w:rPr>
          <w:rFonts w:ascii="Times New Roman" w:hAnsi="Times New Roman"/>
          <w:sz w:val="20"/>
        </w:rPr>
      </w:pPr>
      <w:r>
        <w:rPr>
          <w:rFonts w:ascii="Times New Roman" w:hAnsi="Times New Roman"/>
          <w:b/>
          <w:color w:val="000000"/>
          <w:sz w:val="20"/>
        </w:rPr>
        <w:t>Drummers Lane Investors, LP</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Incorporated State: Pennsylvania </w:t>
      </w:r>
    </w:p>
    <w:p>
      <w:pPr>
        <w:pStyle w:val="TextBody"/>
        <w:bidi w:val="0"/>
        <w:jc w:val="left"/>
        <w:rPr>
          <w:rFonts w:ascii="Times New Roman" w:hAnsi="Times New Roman"/>
          <w:sz w:val="20"/>
        </w:rPr>
      </w:pPr>
      <w:r>
        <w:rPr>
          <w:rFonts w:ascii="Times New Roman" w:hAnsi="Times New Roman"/>
          <w:b/>
          <w:color w:val="000000"/>
          <w:sz w:val="20"/>
        </w:rPr>
        <w:t>Drummers Lane Sub, LP</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Incorporated State: Pennsylvania </w:t>
      </w:r>
    </w:p>
    <w:p>
      <w:pPr>
        <w:pStyle w:val="TextBody"/>
        <w:bidi w:val="0"/>
        <w:jc w:val="left"/>
        <w:rPr>
          <w:rFonts w:ascii="Times New Roman" w:hAnsi="Times New Roman"/>
          <w:b/>
          <w:color w:val="000000"/>
          <w:sz w:val="20"/>
        </w:rPr>
      </w:pPr>
      <w:r>
        <w:rPr>
          <w:rFonts w:ascii="Times New Roman" w:hAnsi="Times New Roman"/>
          <w:b/>
          <w:color w:val="000000"/>
          <w:sz w:val="20"/>
        </w:rPr>
        <w:t>DVH Hospital Alliance, LLC</w:t>
      </w:r>
    </w:p>
    <w:p>
      <w:pPr>
        <w:pStyle w:val="TextBody"/>
        <w:bidi w:val="0"/>
        <w:jc w:val="left"/>
        <w:rPr>
          <w:rFonts w:ascii="Times New Roman" w:hAnsi="Times New Roman"/>
          <w:color w:val="000000"/>
          <w:sz w:val="20"/>
        </w:rPr>
      </w:pPr>
      <w:r>
        <w:rPr>
          <w:rFonts w:ascii="Times New Roman" w:hAnsi="Times New Roman"/>
          <w:color w:val="000000"/>
          <w:sz w:val="20"/>
        </w:rPr>
        <w:t>Incorporated State: Delaware</w:t>
      </w:r>
    </w:p>
    <w:p>
      <w:pPr>
        <w:pStyle w:val="TextBody"/>
        <w:bidi w:val="0"/>
        <w:jc w:val="left"/>
        <w:rPr>
          <w:rFonts w:ascii="Times New Roman" w:hAnsi="Times New Roman"/>
          <w:color w:val="000000"/>
          <w:sz w:val="20"/>
        </w:rPr>
      </w:pPr>
      <w:r>
        <w:rPr>
          <w:rFonts w:ascii="Times New Roman" w:hAnsi="Times New Roman"/>
          <w:color w:val="000000"/>
          <w:sz w:val="20"/>
        </w:rPr>
        <w:t>Business Name: Desert View Hospital</w:t>
      </w:r>
    </w:p>
    <w:p>
      <w:pPr>
        <w:pStyle w:val="TextBody"/>
        <w:bidi w:val="0"/>
        <w:jc w:val="left"/>
        <w:rPr>
          <w:rFonts w:ascii="Times New Roman" w:hAnsi="Times New Roman"/>
          <w:b/>
          <w:color w:val="000000"/>
          <w:sz w:val="20"/>
        </w:rPr>
      </w:pPr>
      <w:r>
        <w:rPr>
          <w:rFonts w:ascii="Times New Roman" w:hAnsi="Times New Roman"/>
          <w:b/>
          <w:color w:val="000000"/>
          <w:sz w:val="20"/>
        </w:rPr>
        <w:t>Eastern Pennsylvania Physician Alliance, LLC</w:t>
      </w:r>
    </w:p>
    <w:p>
      <w:pPr>
        <w:pStyle w:val="TextBody"/>
        <w:bidi w:val="0"/>
        <w:jc w:val="left"/>
        <w:rPr>
          <w:rFonts w:ascii="Times New Roman" w:hAnsi="Times New Roman"/>
          <w:color w:val="000000"/>
          <w:sz w:val="20"/>
        </w:rPr>
      </w:pPr>
      <w:r>
        <w:rPr>
          <w:rFonts w:ascii="Times New Roman" w:hAnsi="Times New Roman"/>
          <w:color w:val="000000"/>
          <w:sz w:val="20"/>
        </w:rPr>
        <w:t>Incorporated State: Pennsylvania</w:t>
      </w:r>
    </w:p>
    <w:p>
      <w:pPr>
        <w:pStyle w:val="TextBody"/>
        <w:bidi w:val="0"/>
        <w:jc w:val="left"/>
        <w:rPr>
          <w:rFonts w:ascii="Times New Roman" w:hAnsi="Times New Roman"/>
          <w:sz w:val="20"/>
        </w:rPr>
      </w:pPr>
      <w:r>
        <w:rPr>
          <w:rFonts w:ascii="Times New Roman" w:hAnsi="Times New Roman"/>
          <w:b/>
          <w:color w:val="000000"/>
          <w:sz w:val="20"/>
        </w:rPr>
        <w:t>Edinburg Ambulatory Surgical Center, Inc.</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Incorporated State: Texas </w:t>
      </w:r>
    </w:p>
    <w:p>
      <w:pPr>
        <w:pStyle w:val="TextBody"/>
        <w:bidi w:val="0"/>
        <w:jc w:val="left"/>
        <w:rPr>
          <w:rFonts w:ascii="Times New Roman" w:hAnsi="Times New Roman"/>
          <w:sz w:val="20"/>
        </w:rPr>
      </w:pPr>
      <w:r>
        <w:rPr>
          <w:rFonts w:ascii="Times New Roman" w:hAnsi="Times New Roman"/>
          <w:b/>
          <w:color w:val="000000"/>
          <w:sz w:val="20"/>
        </w:rPr>
        <w:t>Edinburg Holdings, Inc.</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Incorporated State: Delaware </w:t>
      </w:r>
    </w:p>
    <w:p>
      <w:pPr>
        <w:pStyle w:val="TextBody"/>
        <w:bidi w:val="0"/>
        <w:jc w:val="left"/>
        <w:rPr>
          <w:rFonts w:ascii="Times New Roman" w:hAnsi="Times New Roman"/>
          <w:sz w:val="20"/>
        </w:rPr>
      </w:pPr>
      <w:r>
        <w:rPr>
          <w:rFonts w:ascii="Times New Roman" w:hAnsi="Times New Roman"/>
          <w:b/>
          <w:color w:val="000000"/>
          <w:sz w:val="20"/>
        </w:rPr>
        <w:t>Edinburg MOB Properties, LLC</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Incorporated State: Texas </w:t>
      </w:r>
    </w:p>
    <w:p>
      <w:pPr>
        <w:pStyle w:val="TextBody"/>
        <w:bidi w:val="0"/>
        <w:jc w:val="left"/>
        <w:rPr>
          <w:rFonts w:ascii="Times New Roman" w:hAnsi="Times New Roman"/>
          <w:sz w:val="20"/>
        </w:rPr>
      </w:pPr>
      <w:r>
        <w:rPr>
          <w:rFonts w:ascii="Times New Roman" w:hAnsi="Times New Roman"/>
          <w:b/>
          <w:color w:val="000000"/>
          <w:sz w:val="20"/>
        </w:rPr>
        <w:t>Edinburg Surgery Center, L.P.</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Incorporated State: Delaware </w:t>
      </w:r>
    </w:p>
    <w:p>
      <w:pPr>
        <w:pStyle w:val="TextBody"/>
        <w:bidi w:val="0"/>
        <w:jc w:val="left"/>
        <w:rPr>
          <w:rFonts w:ascii="Times New Roman" w:hAnsi="Times New Roman"/>
          <w:b/>
          <w:color w:val="000000"/>
          <w:sz w:val="20"/>
        </w:rPr>
      </w:pPr>
      <w:r>
        <w:rPr>
          <w:rFonts w:ascii="Times New Roman" w:hAnsi="Times New Roman"/>
          <w:b/>
          <w:color w:val="000000"/>
          <w:sz w:val="20"/>
        </w:rPr>
        <w:t>EM Alliance, LLC</w:t>
      </w:r>
    </w:p>
    <w:p>
      <w:pPr>
        <w:pStyle w:val="TextBody"/>
        <w:bidi w:val="0"/>
        <w:jc w:val="left"/>
        <w:rPr>
          <w:rFonts w:ascii="Times New Roman" w:hAnsi="Times New Roman"/>
          <w:color w:val="000000"/>
          <w:sz w:val="20"/>
        </w:rPr>
      </w:pPr>
      <w:r>
        <w:rPr>
          <w:rFonts w:ascii="Times New Roman" w:hAnsi="Times New Roman"/>
          <w:color w:val="000000"/>
          <w:sz w:val="20"/>
        </w:rPr>
        <w:t>Incorporated State: Florida</w:t>
      </w:r>
    </w:p>
    <w:p>
      <w:pPr>
        <w:pStyle w:val="TextBody"/>
        <w:bidi w:val="0"/>
        <w:jc w:val="left"/>
        <w:rPr>
          <w:rFonts w:ascii="Times New Roman" w:hAnsi="Times New Roman"/>
          <w:sz w:val="20"/>
        </w:rPr>
      </w:pPr>
      <w:r>
        <w:rPr>
          <w:rFonts w:ascii="Times New Roman" w:hAnsi="Times New Roman"/>
          <w:b/>
          <w:color w:val="000000"/>
          <w:sz w:val="20"/>
        </w:rPr>
        <w:t>Emerald Coast Behavioral Hospital, LLC</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Incorporated State: Delaware </w:t>
      </w:r>
    </w:p>
    <w:p>
      <w:pPr>
        <w:pStyle w:val="TextBody"/>
        <w:bidi w:val="0"/>
        <w:jc w:val="left"/>
        <w:rPr>
          <w:rFonts w:ascii="Times New Roman" w:hAnsi="Times New Roman"/>
          <w:color w:val="000000"/>
          <w:sz w:val="20"/>
        </w:rPr>
      </w:pPr>
      <w:r>
        <w:rPr>
          <w:rFonts w:ascii="Times New Roman" w:hAnsi="Times New Roman"/>
          <w:color w:val="000000"/>
          <w:sz w:val="20"/>
        </w:rPr>
        <w:t xml:space="preserve">Business Name: Emerald Coast Behavioral Hospital </w:t>
      </w:r>
    </w:p>
    <w:p>
      <w:pPr>
        <w:pStyle w:val="TextBody"/>
        <w:bidi w:val="0"/>
        <w:jc w:val="left"/>
        <w:rPr>
          <w:rFonts w:ascii="Times New Roman" w:hAnsi="Times New Roman"/>
          <w:b/>
          <w:color w:val="000000"/>
          <w:sz w:val="20"/>
        </w:rPr>
      </w:pPr>
      <w:r>
        <w:rPr>
          <w:rFonts w:ascii="Times New Roman" w:hAnsi="Times New Roman"/>
          <w:b/>
          <w:color w:val="000000"/>
          <w:sz w:val="20"/>
        </w:rPr>
        <w:t>Emotional Connect, LLC</w:t>
      </w:r>
    </w:p>
    <w:p>
      <w:pPr>
        <w:pStyle w:val="TextBody"/>
        <w:bidi w:val="0"/>
        <w:jc w:val="left"/>
        <w:rPr>
          <w:rFonts w:ascii="Times New Roman" w:hAnsi="Times New Roman"/>
          <w:color w:val="000000"/>
          <w:sz w:val="20"/>
        </w:rPr>
      </w:pPr>
      <w:r>
        <w:rPr>
          <w:rFonts w:ascii="Times New Roman" w:hAnsi="Times New Roman"/>
          <w:color w:val="000000"/>
          <w:sz w:val="20"/>
        </w:rPr>
        <w:t>Incorporated State: Puerto Rico</w:t>
      </w:r>
    </w:p>
    <w:p>
      <w:pPr>
        <w:pStyle w:val="TextBody"/>
        <w:bidi w:val="0"/>
        <w:jc w:val="left"/>
        <w:rPr>
          <w:rFonts w:ascii="Times New Roman" w:hAnsi="Times New Roman"/>
          <w:b/>
          <w:color w:val="000000"/>
          <w:sz w:val="20"/>
        </w:rPr>
      </w:pPr>
      <w:r>
        <w:rPr>
          <w:rFonts w:ascii="Times New Roman" w:hAnsi="Times New Roman"/>
          <w:b/>
          <w:color w:val="000000"/>
          <w:sz w:val="20"/>
        </w:rPr>
        <w:t>Everglades Holdings, LLC</w:t>
      </w:r>
    </w:p>
    <w:p>
      <w:pPr>
        <w:pStyle w:val="TextBody"/>
        <w:bidi w:val="0"/>
        <w:jc w:val="left"/>
        <w:rPr>
          <w:rFonts w:ascii="Times New Roman" w:hAnsi="Times New Roman"/>
          <w:color w:val="000000"/>
          <w:sz w:val="20"/>
        </w:rPr>
      </w:pPr>
      <w:r>
        <w:rPr>
          <w:rFonts w:ascii="Times New Roman" w:hAnsi="Times New Roman"/>
          <w:color w:val="000000"/>
          <w:sz w:val="20"/>
        </w:rPr>
        <w:t xml:space="preserve">Incorporated State: Delaware </w:t>
      </w:r>
    </w:p>
    <w:p>
      <w:pPr>
        <w:pStyle w:val="TextBody"/>
        <w:bidi w:val="0"/>
        <w:jc w:val="left"/>
        <w:rPr>
          <w:rFonts w:ascii="Times New Roman" w:hAnsi="Times New Roman"/>
          <w:b/>
          <w:color w:val="000000"/>
          <w:sz w:val="20"/>
        </w:rPr>
      </w:pPr>
      <w:r>
        <w:rPr>
          <w:rFonts w:ascii="Times New Roman" w:hAnsi="Times New Roman"/>
          <w:b/>
          <w:color w:val="000000"/>
          <w:sz w:val="20"/>
        </w:rPr>
        <w:t>Everycorner Limited</w:t>
      </w:r>
    </w:p>
    <w:p>
      <w:pPr>
        <w:pStyle w:val="TextBody"/>
        <w:bidi w:val="0"/>
        <w:jc w:val="left"/>
        <w:rPr>
          <w:rFonts w:ascii="Times New Roman" w:hAnsi="Times New Roman"/>
          <w:color w:val="000000"/>
          <w:sz w:val="20"/>
        </w:rPr>
      </w:pPr>
      <w:r>
        <w:rPr>
          <w:rFonts w:ascii="Times New Roman" w:hAnsi="Times New Roman"/>
          <w:color w:val="000000"/>
          <w:sz w:val="20"/>
        </w:rPr>
        <w:t>Incorporated State: United Kingdom</w:t>
      </w:r>
    </w:p>
    <w:p>
      <w:pPr>
        <w:pStyle w:val="TextBody"/>
        <w:bidi w:val="0"/>
        <w:jc w:val="left"/>
        <w:rPr>
          <w:rFonts w:ascii="Times New Roman" w:hAnsi="Times New Roman"/>
          <w:b/>
          <w:color w:val="000000"/>
          <w:sz w:val="20"/>
        </w:rPr>
      </w:pPr>
      <w:r>
        <w:rPr>
          <w:rFonts w:ascii="Times New Roman" w:hAnsi="Times New Roman"/>
          <w:b/>
          <w:color w:val="000000"/>
          <w:sz w:val="20"/>
        </w:rPr>
        <w:t>Fannin Management Services, LLC</w:t>
      </w:r>
    </w:p>
    <w:p>
      <w:pPr>
        <w:pStyle w:val="TextBody"/>
        <w:bidi w:val="0"/>
        <w:jc w:val="left"/>
        <w:rPr>
          <w:rFonts w:ascii="Times New Roman" w:hAnsi="Times New Roman"/>
          <w:color w:val="000000"/>
          <w:sz w:val="20"/>
        </w:rPr>
      </w:pPr>
      <w:r>
        <w:rPr>
          <w:rFonts w:ascii="Times New Roman" w:hAnsi="Times New Roman"/>
          <w:color w:val="000000"/>
          <w:sz w:val="20"/>
        </w:rPr>
        <w:t>Incorporated State: Texas</w:t>
      </w:r>
    </w:p>
    <w:p>
      <w:pPr>
        <w:pStyle w:val="TextBody"/>
        <w:bidi w:val="0"/>
        <w:jc w:val="left"/>
        <w:rPr>
          <w:rFonts w:ascii="Times New Roman" w:hAnsi="Times New Roman"/>
          <w:sz w:val="20"/>
        </w:rPr>
      </w:pPr>
      <w:r>
        <w:rPr>
          <w:rFonts w:ascii="Times New Roman" w:hAnsi="Times New Roman"/>
          <w:b/>
          <w:color w:val="000000"/>
          <w:sz w:val="20"/>
        </w:rPr>
        <w:t>FHCHS of Puerto Rico, Inc.</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Incorporated State: Puerto Rico </w:t>
      </w:r>
    </w:p>
    <w:p>
      <w:pPr>
        <w:pStyle w:val="TextBody"/>
        <w:bidi w:val="0"/>
        <w:jc w:val="left"/>
        <w:rPr>
          <w:rFonts w:ascii="Times New Roman" w:hAnsi="Times New Roman"/>
          <w:sz w:val="20"/>
        </w:rPr>
      </w:pPr>
      <w:r>
        <w:rPr>
          <w:rFonts w:ascii="Times New Roman" w:hAnsi="Times New Roman"/>
          <w:b/>
          <w:color w:val="000000"/>
          <w:sz w:val="20"/>
        </w:rPr>
        <w:t>First Hospital Corporation of Nashville</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Incorporated State: Virginia </w:t>
      </w:r>
    </w:p>
    <w:p>
      <w:pPr>
        <w:pStyle w:val="TextBody"/>
        <w:bidi w:val="0"/>
        <w:jc w:val="left"/>
        <w:rPr>
          <w:rFonts w:ascii="Times New Roman" w:hAnsi="Times New Roman"/>
          <w:sz w:val="20"/>
        </w:rPr>
      </w:pPr>
      <w:r>
        <w:rPr>
          <w:rFonts w:ascii="Times New Roman" w:hAnsi="Times New Roman"/>
          <w:b/>
          <w:color w:val="000000"/>
          <w:sz w:val="20"/>
        </w:rPr>
        <w:t>First Hospital Corporation of Virginia Beach</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Incorporated State: Virginia </w:t>
      </w:r>
    </w:p>
    <w:p>
      <w:pPr>
        <w:pStyle w:val="TextBody"/>
        <w:bidi w:val="0"/>
        <w:jc w:val="left"/>
        <w:rPr>
          <w:rFonts w:ascii="Times New Roman" w:hAnsi="Times New Roman"/>
          <w:color w:val="000000"/>
          <w:sz w:val="20"/>
        </w:rPr>
      </w:pPr>
      <w:r>
        <w:rPr>
          <w:rFonts w:ascii="Times New Roman" w:hAnsi="Times New Roman"/>
          <w:color w:val="000000"/>
          <w:sz w:val="20"/>
        </w:rPr>
        <w:t xml:space="preserve">Business Name: Virginia Beach Psychiatric Center </w:t>
      </w:r>
    </w:p>
    <w:p>
      <w:pPr>
        <w:pStyle w:val="TextBody"/>
        <w:bidi w:val="0"/>
        <w:jc w:val="left"/>
        <w:rPr>
          <w:rFonts w:ascii="Times New Roman" w:hAnsi="Times New Roman"/>
          <w:sz w:val="20"/>
        </w:rPr>
      </w:pPr>
      <w:r>
        <w:rPr>
          <w:rFonts w:ascii="Times New Roman" w:hAnsi="Times New Roman"/>
          <w:b/>
          <w:color w:val="000000"/>
          <w:sz w:val="20"/>
        </w:rPr>
        <w:t>First Hospital Panamericano, Inc.</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Incorporated State: Puerto Rico </w:t>
      </w:r>
    </w:p>
    <w:p>
      <w:pPr>
        <w:pStyle w:val="TextBody"/>
        <w:bidi w:val="0"/>
        <w:jc w:val="left"/>
        <w:rPr>
          <w:rFonts w:ascii="Times New Roman" w:hAnsi="Times New Roman"/>
          <w:color w:val="000000"/>
          <w:sz w:val="20"/>
        </w:rPr>
      </w:pPr>
      <w:r>
        <w:rPr>
          <w:rFonts w:ascii="Times New Roman" w:hAnsi="Times New Roman"/>
          <w:color w:val="000000"/>
          <w:sz w:val="20"/>
        </w:rPr>
        <w:t>Business Name: First Hospital Panamericano Cidra, First Hospital Panamericano Ponce and First Hospital Panamericano San Juan</w:t>
      </w:r>
    </w:p>
    <w:p>
      <w:pPr>
        <w:pStyle w:val="TextBody"/>
        <w:bidi w:val="0"/>
        <w:jc w:val="left"/>
        <w:rPr>
          <w:rFonts w:ascii="Times New Roman" w:hAnsi="Times New Roman"/>
          <w:b/>
          <w:color w:val="000000"/>
          <w:sz w:val="20"/>
        </w:rPr>
      </w:pPr>
      <w:r>
        <w:rPr>
          <w:rFonts w:ascii="Times New Roman" w:hAnsi="Times New Roman"/>
          <w:b/>
          <w:color w:val="000000"/>
          <w:sz w:val="20"/>
        </w:rPr>
        <w:t>Florida Outpatient Services, LLC</w:t>
      </w:r>
    </w:p>
    <w:p>
      <w:pPr>
        <w:pStyle w:val="TextBody"/>
        <w:bidi w:val="0"/>
        <w:jc w:val="left"/>
        <w:rPr>
          <w:rFonts w:ascii="Times New Roman" w:hAnsi="Times New Roman"/>
          <w:color w:val="000000"/>
          <w:sz w:val="20"/>
        </w:rPr>
      </w:pPr>
      <w:r>
        <w:rPr>
          <w:rFonts w:ascii="Times New Roman" w:hAnsi="Times New Roman"/>
          <w:color w:val="000000"/>
          <w:sz w:val="20"/>
        </w:rPr>
        <w:t>Incorporated State: Florida</w:t>
      </w:r>
    </w:p>
    <w:p>
      <w:pPr>
        <w:pStyle w:val="TextBody"/>
        <w:bidi w:val="0"/>
        <w:jc w:val="left"/>
        <w:rPr>
          <w:rFonts w:ascii="Times New Roman" w:hAnsi="Times New Roman"/>
          <w:b/>
          <w:color w:val="000000"/>
          <w:sz w:val="20"/>
        </w:rPr>
      </w:pPr>
      <w:r>
        <w:rPr>
          <w:rFonts w:ascii="Times New Roman" w:hAnsi="Times New Roman"/>
          <w:b/>
          <w:color w:val="000000"/>
          <w:sz w:val="20"/>
        </w:rPr>
        <w:t>Foggy Bottom Hospital Physicians, LLC</w:t>
      </w:r>
    </w:p>
    <w:p>
      <w:pPr>
        <w:pStyle w:val="TextBody"/>
        <w:bidi w:val="0"/>
        <w:jc w:val="left"/>
        <w:rPr>
          <w:rFonts w:ascii="Times New Roman" w:hAnsi="Times New Roman"/>
          <w:color w:val="000000"/>
          <w:sz w:val="20"/>
        </w:rPr>
      </w:pPr>
      <w:r>
        <w:rPr>
          <w:rFonts w:ascii="Times New Roman" w:hAnsi="Times New Roman"/>
          <w:color w:val="000000"/>
          <w:sz w:val="20"/>
        </w:rPr>
        <w:t>Incorporated State: Delaware</w:t>
      </w:r>
    </w:p>
    <w:p>
      <w:pPr>
        <w:pStyle w:val="TextBody"/>
        <w:bidi w:val="0"/>
        <w:jc w:val="left"/>
        <w:rPr>
          <w:rFonts w:ascii="Times New Roman" w:hAnsi="Times New Roman"/>
          <w:b/>
          <w:color w:val="000000"/>
          <w:sz w:val="20"/>
        </w:rPr>
      </w:pPr>
      <w:r>
        <w:rPr>
          <w:rFonts w:ascii="Times New Roman" w:hAnsi="Times New Roman"/>
          <w:b/>
          <w:color w:val="000000"/>
          <w:sz w:val="20"/>
        </w:rPr>
        <w:t>Foggy Bottom Physicians Group, Inc.</w:t>
      </w:r>
    </w:p>
    <w:p>
      <w:pPr>
        <w:pStyle w:val="TextBody"/>
        <w:bidi w:val="0"/>
        <w:jc w:val="left"/>
        <w:rPr>
          <w:rFonts w:ascii="Times New Roman" w:hAnsi="Times New Roman"/>
          <w:color w:val="000000"/>
          <w:sz w:val="20"/>
        </w:rPr>
      </w:pPr>
      <w:r>
        <w:rPr>
          <w:rFonts w:ascii="Times New Roman" w:hAnsi="Times New Roman"/>
          <w:color w:val="000000"/>
          <w:sz w:val="20"/>
        </w:rPr>
        <w:t>Incorporated State: District of Columbia</w:t>
      </w:r>
    </w:p>
    <w:p>
      <w:pPr>
        <w:pStyle w:val="TextBody"/>
        <w:bidi w:val="0"/>
        <w:jc w:val="left"/>
        <w:rPr>
          <w:rFonts w:ascii="Times New Roman" w:hAnsi="Times New Roman"/>
          <w:b/>
          <w:color w:val="000000"/>
          <w:sz w:val="20"/>
        </w:rPr>
      </w:pPr>
      <w:r>
        <w:rPr>
          <w:rFonts w:ascii="Times New Roman" w:hAnsi="Times New Roman"/>
          <w:b/>
          <w:color w:val="000000"/>
          <w:sz w:val="20"/>
        </w:rPr>
        <w:t>Foggy Bottom Primary Care Physicians, LLC</w:t>
      </w:r>
    </w:p>
    <w:p>
      <w:pPr>
        <w:pStyle w:val="TextBody"/>
        <w:bidi w:val="0"/>
        <w:jc w:val="left"/>
        <w:rPr>
          <w:rFonts w:ascii="Times New Roman" w:hAnsi="Times New Roman"/>
          <w:color w:val="000000"/>
          <w:sz w:val="20"/>
        </w:rPr>
      </w:pPr>
      <w:r>
        <w:rPr>
          <w:rFonts w:ascii="Times New Roman" w:hAnsi="Times New Roman"/>
          <w:color w:val="000000"/>
          <w:sz w:val="20"/>
        </w:rPr>
        <w:t>Incorporated State: Delaware</w:t>
      </w:r>
    </w:p>
    <w:p>
      <w:pPr>
        <w:pStyle w:val="TextBody"/>
        <w:bidi w:val="0"/>
        <w:jc w:val="left"/>
        <w:rPr>
          <w:rFonts w:ascii="Times New Roman" w:hAnsi="Times New Roman"/>
          <w:b/>
          <w:color w:val="000000"/>
          <w:sz w:val="20"/>
        </w:rPr>
      </w:pPr>
      <w:r>
        <w:rPr>
          <w:rFonts w:ascii="Times New Roman" w:hAnsi="Times New Roman"/>
          <w:b/>
          <w:color w:val="000000"/>
          <w:sz w:val="20"/>
        </w:rPr>
        <w:t>Forest Hill Medical Properties, LLC</w:t>
      </w:r>
    </w:p>
    <w:p>
      <w:pPr>
        <w:pStyle w:val="TextBody"/>
        <w:bidi w:val="0"/>
        <w:jc w:val="left"/>
        <w:rPr>
          <w:rFonts w:ascii="Times New Roman" w:hAnsi="Times New Roman"/>
          <w:color w:val="000000"/>
          <w:sz w:val="20"/>
        </w:rPr>
      </w:pPr>
      <w:r>
        <w:rPr>
          <w:rFonts w:ascii="Times New Roman" w:hAnsi="Times New Roman"/>
          <w:color w:val="000000"/>
          <w:sz w:val="20"/>
        </w:rPr>
        <w:t xml:space="preserve">Incorporated State: Delaware </w:t>
      </w:r>
    </w:p>
    <w:p>
      <w:pPr>
        <w:pStyle w:val="TextBody"/>
        <w:bidi w:val="0"/>
        <w:jc w:val="left"/>
        <w:rPr>
          <w:rFonts w:ascii="Times New Roman" w:hAnsi="Times New Roman"/>
          <w:sz w:val="20"/>
        </w:rPr>
      </w:pPr>
      <w:r>
        <w:rPr>
          <w:rFonts w:ascii="Times New Roman" w:hAnsi="Times New Roman"/>
          <w:b/>
          <w:color w:val="000000"/>
          <w:sz w:val="20"/>
        </w:rPr>
        <w:t>Forest View Psychiatric Hospital, Inc.</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Incorporated State: Michigan </w:t>
      </w:r>
    </w:p>
    <w:p>
      <w:pPr>
        <w:pStyle w:val="TextBody"/>
        <w:bidi w:val="0"/>
        <w:jc w:val="left"/>
        <w:rPr>
          <w:rFonts w:ascii="Times New Roman" w:hAnsi="Times New Roman"/>
          <w:color w:val="000000"/>
          <w:sz w:val="20"/>
        </w:rPr>
      </w:pPr>
      <w:r>
        <w:rPr>
          <w:rFonts w:ascii="Times New Roman" w:hAnsi="Times New Roman"/>
          <w:color w:val="000000"/>
          <w:sz w:val="20"/>
        </w:rPr>
        <w:t xml:space="preserve">Business Name: Forest View Hospital </w:t>
      </w:r>
    </w:p>
    <w:p>
      <w:pPr>
        <w:pStyle w:val="TextBody"/>
        <w:bidi w:val="0"/>
        <w:jc w:val="left"/>
        <w:rPr>
          <w:rFonts w:ascii="Times New Roman" w:hAnsi="Times New Roman"/>
          <w:sz w:val="20"/>
        </w:rPr>
      </w:pPr>
      <w:r>
        <w:rPr>
          <w:rFonts w:ascii="Times New Roman" w:hAnsi="Times New Roman"/>
          <w:b/>
          <w:color w:val="000000"/>
          <w:sz w:val="20"/>
        </w:rPr>
        <w:t>Fort Duncan Medical Center, Inc.</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Incorporated State: Delaware </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sz w:val="20"/>
        </w:rPr>
      </w:pPr>
      <w:r>
        <w:rPr>
          <w:rFonts w:ascii="Times New Roman" w:hAnsi="Times New Roman"/>
          <w:b/>
          <w:color w:val="000000"/>
          <w:sz w:val="20"/>
        </w:rPr>
        <w:t>Fort Duncan Medical Center, L.P.</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Incorporated State: Delaware </w:t>
      </w:r>
    </w:p>
    <w:p>
      <w:pPr>
        <w:pStyle w:val="TextBody"/>
        <w:bidi w:val="0"/>
        <w:jc w:val="left"/>
        <w:rPr>
          <w:rFonts w:ascii="Times New Roman" w:hAnsi="Times New Roman"/>
          <w:color w:val="000000"/>
          <w:sz w:val="20"/>
        </w:rPr>
      </w:pPr>
      <w:r>
        <w:rPr>
          <w:rFonts w:ascii="Times New Roman" w:hAnsi="Times New Roman"/>
          <w:color w:val="000000"/>
          <w:sz w:val="20"/>
        </w:rPr>
        <w:t xml:space="preserve">Business Name: Fort Duncan Regional Medical Center </w:t>
      </w:r>
    </w:p>
    <w:p>
      <w:pPr>
        <w:pStyle w:val="TextBody"/>
        <w:bidi w:val="0"/>
        <w:jc w:val="left"/>
        <w:rPr>
          <w:rFonts w:ascii="Times New Roman" w:hAnsi="Times New Roman"/>
          <w:sz w:val="20"/>
        </w:rPr>
      </w:pPr>
      <w:r>
        <w:rPr>
          <w:rFonts w:ascii="Times New Roman" w:hAnsi="Times New Roman"/>
          <w:b/>
          <w:color w:val="000000"/>
          <w:sz w:val="20"/>
        </w:rPr>
        <w:t>Fort Duncan Medical Receivables, L.L.C</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Incorporated State: Delaware </w:t>
      </w:r>
    </w:p>
    <w:p>
      <w:pPr>
        <w:pStyle w:val="TextBody"/>
        <w:bidi w:val="0"/>
        <w:jc w:val="left"/>
        <w:rPr>
          <w:rFonts w:ascii="Times New Roman" w:hAnsi="Times New Roman"/>
          <w:sz w:val="20"/>
        </w:rPr>
      </w:pPr>
      <w:r>
        <w:rPr>
          <w:rFonts w:ascii="Times New Roman" w:hAnsi="Times New Roman"/>
          <w:b/>
          <w:color w:val="000000"/>
          <w:sz w:val="20"/>
        </w:rPr>
        <w:t>Fort Lauderdale Hospital, Inc.</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Incorporated State: Florida </w:t>
      </w:r>
    </w:p>
    <w:p>
      <w:pPr>
        <w:pStyle w:val="TextBody"/>
        <w:bidi w:val="0"/>
        <w:jc w:val="left"/>
        <w:rPr>
          <w:rFonts w:ascii="Times New Roman" w:hAnsi="Times New Roman"/>
          <w:color w:val="000000"/>
          <w:sz w:val="20"/>
        </w:rPr>
      </w:pPr>
      <w:r>
        <w:rPr>
          <w:rFonts w:ascii="Times New Roman" w:hAnsi="Times New Roman"/>
          <w:color w:val="000000"/>
          <w:sz w:val="20"/>
        </w:rPr>
        <w:t xml:space="preserve">Business Name: Fort Lauderdale Behavioral Health Center </w:t>
      </w:r>
    </w:p>
    <w:p>
      <w:pPr>
        <w:pStyle w:val="TextBody"/>
        <w:bidi w:val="0"/>
        <w:jc w:val="left"/>
        <w:rPr>
          <w:rFonts w:ascii="Times New Roman" w:hAnsi="Times New Roman"/>
          <w:b/>
          <w:color w:val="000000"/>
          <w:sz w:val="20"/>
        </w:rPr>
      </w:pPr>
      <w:r>
        <w:rPr>
          <w:rFonts w:ascii="Times New Roman" w:hAnsi="Times New Roman"/>
          <w:b/>
          <w:color w:val="000000"/>
          <w:sz w:val="20"/>
        </w:rPr>
        <w:t>Foundations Atlanta, LLC</w:t>
      </w:r>
    </w:p>
    <w:p>
      <w:pPr>
        <w:pStyle w:val="TextBody"/>
        <w:bidi w:val="0"/>
        <w:jc w:val="left"/>
        <w:rPr>
          <w:rFonts w:ascii="Times New Roman" w:hAnsi="Times New Roman"/>
          <w:color w:val="000000"/>
          <w:sz w:val="20"/>
        </w:rPr>
      </w:pPr>
      <w:r>
        <w:rPr>
          <w:rFonts w:ascii="Times New Roman" w:hAnsi="Times New Roman"/>
          <w:color w:val="000000"/>
          <w:sz w:val="20"/>
        </w:rPr>
        <w:t>Incorporated State: Delaware</w:t>
      </w:r>
    </w:p>
    <w:p>
      <w:pPr>
        <w:pStyle w:val="TextBody"/>
        <w:bidi w:val="0"/>
        <w:jc w:val="left"/>
        <w:rPr>
          <w:rFonts w:ascii="Times New Roman" w:hAnsi="Times New Roman"/>
          <w:b/>
          <w:color w:val="000000"/>
          <w:sz w:val="20"/>
        </w:rPr>
      </w:pPr>
      <w:r>
        <w:rPr>
          <w:rFonts w:ascii="Times New Roman" w:hAnsi="Times New Roman"/>
          <w:b/>
          <w:color w:val="000000"/>
          <w:sz w:val="20"/>
        </w:rPr>
        <w:t>Foundations Chicago, LLC</w:t>
      </w:r>
    </w:p>
    <w:p>
      <w:pPr>
        <w:pStyle w:val="TextBody"/>
        <w:bidi w:val="0"/>
        <w:jc w:val="left"/>
        <w:rPr>
          <w:rFonts w:ascii="Times New Roman" w:hAnsi="Times New Roman"/>
          <w:color w:val="000000"/>
          <w:sz w:val="20"/>
        </w:rPr>
      </w:pPr>
      <w:r>
        <w:rPr>
          <w:rFonts w:ascii="Times New Roman" w:hAnsi="Times New Roman"/>
          <w:color w:val="000000"/>
          <w:sz w:val="20"/>
        </w:rPr>
        <w:t>Incorporated State: Illinois</w:t>
      </w:r>
    </w:p>
    <w:p>
      <w:pPr>
        <w:pStyle w:val="TextBody"/>
        <w:bidi w:val="0"/>
        <w:jc w:val="left"/>
        <w:rPr>
          <w:rFonts w:ascii="Times New Roman" w:hAnsi="Times New Roman"/>
          <w:sz w:val="20"/>
        </w:rPr>
      </w:pPr>
      <w:r>
        <w:rPr>
          <w:rFonts w:ascii="Times New Roman" w:hAnsi="Times New Roman"/>
          <w:b/>
          <w:color w:val="000000"/>
          <w:sz w:val="20"/>
        </w:rPr>
        <w:t>Foundations Detroit, LLC</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Incorporated State: Michigan</w:t>
      </w:r>
    </w:p>
    <w:p>
      <w:pPr>
        <w:pStyle w:val="TextBody"/>
        <w:bidi w:val="0"/>
        <w:jc w:val="left"/>
        <w:rPr>
          <w:rFonts w:ascii="Times New Roman" w:hAnsi="Times New Roman"/>
          <w:color w:val="000000"/>
          <w:sz w:val="20"/>
        </w:rPr>
      </w:pPr>
      <w:r>
        <w:rPr>
          <w:rFonts w:ascii="Times New Roman" w:hAnsi="Times New Roman"/>
          <w:color w:val="000000"/>
          <w:sz w:val="20"/>
        </w:rPr>
        <w:t>Business Name: Skywood Outpatient</w:t>
      </w:r>
    </w:p>
    <w:p>
      <w:pPr>
        <w:pStyle w:val="TextBody"/>
        <w:bidi w:val="0"/>
        <w:jc w:val="left"/>
        <w:rPr>
          <w:rFonts w:ascii="Times New Roman" w:hAnsi="Times New Roman"/>
          <w:sz w:val="20"/>
        </w:rPr>
      </w:pPr>
      <w:r>
        <w:rPr>
          <w:rFonts w:ascii="Times New Roman" w:hAnsi="Times New Roman"/>
          <w:b/>
          <w:color w:val="000000"/>
          <w:sz w:val="20"/>
        </w:rPr>
        <w:t>Foundations Management, Inc.</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Incorporated State: Delaware</w:t>
      </w:r>
    </w:p>
    <w:p>
      <w:pPr>
        <w:pStyle w:val="TextBody"/>
        <w:bidi w:val="0"/>
        <w:jc w:val="left"/>
        <w:rPr>
          <w:rFonts w:ascii="Times New Roman" w:hAnsi="Times New Roman"/>
          <w:b/>
          <w:color w:val="000000"/>
          <w:sz w:val="20"/>
        </w:rPr>
      </w:pPr>
      <w:r>
        <w:rPr>
          <w:rFonts w:ascii="Times New Roman" w:hAnsi="Times New Roman"/>
          <w:b/>
          <w:color w:val="000000"/>
          <w:sz w:val="20"/>
        </w:rPr>
        <w:t>Foundations Recovery Network, LLC</w:t>
      </w:r>
    </w:p>
    <w:p>
      <w:pPr>
        <w:pStyle w:val="TextBody"/>
        <w:bidi w:val="0"/>
        <w:jc w:val="left"/>
        <w:rPr>
          <w:rFonts w:ascii="Times New Roman" w:hAnsi="Times New Roman"/>
          <w:color w:val="000000"/>
          <w:sz w:val="20"/>
        </w:rPr>
      </w:pPr>
      <w:r>
        <w:rPr>
          <w:rFonts w:ascii="Times New Roman" w:hAnsi="Times New Roman"/>
          <w:color w:val="000000"/>
          <w:sz w:val="20"/>
        </w:rPr>
        <w:t xml:space="preserve">Incorporated State: Tennessee </w:t>
      </w:r>
    </w:p>
    <w:p>
      <w:pPr>
        <w:pStyle w:val="TextBody"/>
        <w:bidi w:val="0"/>
        <w:jc w:val="left"/>
        <w:rPr>
          <w:rFonts w:ascii="Times New Roman" w:hAnsi="Times New Roman"/>
          <w:b/>
          <w:color w:val="000000"/>
          <w:sz w:val="20"/>
        </w:rPr>
      </w:pPr>
      <w:r>
        <w:rPr>
          <w:rFonts w:ascii="Times New Roman" w:hAnsi="Times New Roman"/>
          <w:b/>
          <w:color w:val="000000"/>
          <w:sz w:val="20"/>
        </w:rPr>
        <w:t>Foundations San Diego, LLC</w:t>
      </w:r>
    </w:p>
    <w:p>
      <w:pPr>
        <w:pStyle w:val="TextBody"/>
        <w:bidi w:val="0"/>
        <w:jc w:val="left"/>
        <w:rPr>
          <w:rFonts w:ascii="Times New Roman" w:hAnsi="Times New Roman"/>
          <w:color w:val="000000"/>
          <w:sz w:val="20"/>
        </w:rPr>
      </w:pPr>
      <w:r>
        <w:rPr>
          <w:rFonts w:ascii="Times New Roman" w:hAnsi="Times New Roman"/>
          <w:color w:val="000000"/>
          <w:sz w:val="20"/>
        </w:rPr>
        <w:t>Incorporated State: Delaware</w:t>
      </w:r>
    </w:p>
    <w:p>
      <w:pPr>
        <w:pStyle w:val="TextBody"/>
        <w:bidi w:val="0"/>
        <w:jc w:val="left"/>
        <w:rPr>
          <w:rFonts w:ascii="Times New Roman" w:hAnsi="Times New Roman"/>
          <w:b/>
          <w:color w:val="000000"/>
          <w:sz w:val="20"/>
        </w:rPr>
      </w:pPr>
      <w:r>
        <w:rPr>
          <w:rFonts w:ascii="Times New Roman" w:hAnsi="Times New Roman"/>
          <w:b/>
          <w:color w:val="000000"/>
          <w:sz w:val="20"/>
        </w:rPr>
        <w:t>Foundations Virginia, LLC</w:t>
      </w:r>
    </w:p>
    <w:p>
      <w:pPr>
        <w:pStyle w:val="TextBody"/>
        <w:bidi w:val="0"/>
        <w:jc w:val="left"/>
        <w:rPr>
          <w:rFonts w:ascii="Times New Roman" w:hAnsi="Times New Roman"/>
          <w:color w:val="000000"/>
          <w:sz w:val="20"/>
        </w:rPr>
      </w:pPr>
      <w:r>
        <w:rPr>
          <w:rFonts w:ascii="Times New Roman" w:hAnsi="Times New Roman"/>
          <w:color w:val="000000"/>
          <w:sz w:val="20"/>
        </w:rPr>
        <w:t>Incorporated State: Delaware</w:t>
      </w:r>
    </w:p>
    <w:p>
      <w:pPr>
        <w:pStyle w:val="TextBody"/>
        <w:bidi w:val="0"/>
        <w:jc w:val="left"/>
        <w:rPr>
          <w:rFonts w:ascii="Times New Roman" w:hAnsi="Times New Roman"/>
          <w:sz w:val="20"/>
        </w:rPr>
      </w:pPr>
      <w:r>
        <w:rPr>
          <w:rFonts w:ascii="Times New Roman" w:hAnsi="Times New Roman"/>
          <w:b/>
          <w:color w:val="000000"/>
          <w:sz w:val="20"/>
        </w:rPr>
        <w:t>Friends Behavioral Health System, L.P.</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Incorporated State: Pennsylvania </w:t>
      </w:r>
    </w:p>
    <w:p>
      <w:pPr>
        <w:pStyle w:val="TextBody"/>
        <w:bidi w:val="0"/>
        <w:jc w:val="left"/>
        <w:rPr>
          <w:rFonts w:ascii="Times New Roman" w:hAnsi="Times New Roman"/>
          <w:color w:val="000000"/>
          <w:sz w:val="20"/>
        </w:rPr>
      </w:pPr>
      <w:r>
        <w:rPr>
          <w:rFonts w:ascii="Times New Roman" w:hAnsi="Times New Roman"/>
          <w:color w:val="000000"/>
          <w:sz w:val="20"/>
        </w:rPr>
        <w:t xml:space="preserve">Business Name: Friends Hospital </w:t>
      </w:r>
    </w:p>
    <w:p>
      <w:pPr>
        <w:pStyle w:val="TextBody"/>
        <w:bidi w:val="0"/>
        <w:jc w:val="left"/>
        <w:rPr>
          <w:rFonts w:ascii="Times New Roman" w:hAnsi="Times New Roman"/>
          <w:sz w:val="20"/>
        </w:rPr>
      </w:pPr>
      <w:r>
        <w:rPr>
          <w:rFonts w:ascii="Times New Roman" w:hAnsi="Times New Roman"/>
          <w:b/>
          <w:color w:val="000000"/>
          <w:sz w:val="20"/>
        </w:rPr>
        <w:t>Friends GP, LLC</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Incorporated State: Pennsylvania </w:t>
      </w:r>
    </w:p>
    <w:p>
      <w:pPr>
        <w:pStyle w:val="TextBody"/>
        <w:bidi w:val="0"/>
        <w:jc w:val="left"/>
        <w:rPr>
          <w:rFonts w:ascii="Times New Roman" w:hAnsi="Times New Roman"/>
          <w:b/>
          <w:color w:val="000000"/>
          <w:sz w:val="20"/>
        </w:rPr>
      </w:pPr>
      <w:r>
        <w:rPr>
          <w:rFonts w:ascii="Times New Roman" w:hAnsi="Times New Roman"/>
          <w:b/>
          <w:color w:val="000000"/>
          <w:sz w:val="20"/>
        </w:rPr>
        <w:t>FRN Lake County, LLC</w:t>
      </w:r>
    </w:p>
    <w:p>
      <w:pPr>
        <w:pStyle w:val="TextBody"/>
        <w:bidi w:val="0"/>
        <w:jc w:val="left"/>
        <w:rPr>
          <w:rFonts w:ascii="Times New Roman" w:hAnsi="Times New Roman"/>
          <w:color w:val="000000"/>
          <w:sz w:val="20"/>
        </w:rPr>
      </w:pPr>
      <w:r>
        <w:rPr>
          <w:rFonts w:ascii="Times New Roman" w:hAnsi="Times New Roman"/>
          <w:color w:val="000000"/>
          <w:sz w:val="20"/>
        </w:rPr>
        <w:t>Incorporated State: Florida</w:t>
      </w:r>
    </w:p>
    <w:p>
      <w:pPr>
        <w:pStyle w:val="TextBody"/>
        <w:bidi w:val="0"/>
        <w:jc w:val="left"/>
        <w:rPr>
          <w:rFonts w:ascii="Times New Roman" w:hAnsi="Times New Roman"/>
          <w:b/>
          <w:color w:val="000000"/>
          <w:sz w:val="20"/>
        </w:rPr>
      </w:pPr>
      <w:r>
        <w:rPr>
          <w:rFonts w:ascii="Times New Roman" w:hAnsi="Times New Roman"/>
          <w:b/>
          <w:color w:val="000000"/>
          <w:sz w:val="20"/>
        </w:rPr>
        <w:t>FRN Nashville, LLC</w:t>
      </w:r>
    </w:p>
    <w:p>
      <w:pPr>
        <w:pStyle w:val="TextBody"/>
        <w:bidi w:val="0"/>
        <w:jc w:val="left"/>
        <w:rPr>
          <w:rFonts w:ascii="Times New Roman" w:hAnsi="Times New Roman"/>
          <w:color w:val="000000"/>
          <w:sz w:val="20"/>
        </w:rPr>
      </w:pPr>
      <w:r>
        <w:rPr>
          <w:rFonts w:ascii="Times New Roman" w:hAnsi="Times New Roman"/>
          <w:color w:val="000000"/>
          <w:sz w:val="20"/>
        </w:rPr>
        <w:t>Incorporated State: Delaware</w:t>
      </w:r>
    </w:p>
    <w:p>
      <w:pPr>
        <w:pStyle w:val="TextBody"/>
        <w:bidi w:val="0"/>
        <w:jc w:val="left"/>
        <w:rPr>
          <w:rFonts w:ascii="Times New Roman" w:hAnsi="Times New Roman"/>
          <w:b/>
          <w:color w:val="000000"/>
          <w:sz w:val="20"/>
        </w:rPr>
      </w:pPr>
      <w:r>
        <w:rPr>
          <w:rFonts w:ascii="Times New Roman" w:hAnsi="Times New Roman"/>
          <w:b/>
          <w:color w:val="000000"/>
          <w:sz w:val="20"/>
        </w:rPr>
        <w:t>FRN Outpatient, LLC</w:t>
      </w:r>
    </w:p>
    <w:p>
      <w:pPr>
        <w:pStyle w:val="TextBody"/>
        <w:bidi w:val="0"/>
        <w:jc w:val="left"/>
        <w:rPr>
          <w:rFonts w:ascii="Times New Roman" w:hAnsi="Times New Roman"/>
          <w:color w:val="000000"/>
          <w:sz w:val="20"/>
        </w:rPr>
      </w:pPr>
      <w:r>
        <w:rPr>
          <w:rFonts w:ascii="Times New Roman" w:hAnsi="Times New Roman"/>
          <w:color w:val="000000"/>
          <w:sz w:val="20"/>
        </w:rPr>
        <w:t>Incorporated State: Delaware</w:t>
      </w:r>
    </w:p>
    <w:p>
      <w:pPr>
        <w:pStyle w:val="TextBody"/>
        <w:bidi w:val="0"/>
        <w:jc w:val="left"/>
        <w:rPr>
          <w:rFonts w:ascii="Times New Roman" w:hAnsi="Times New Roman"/>
          <w:b/>
          <w:color w:val="000000"/>
          <w:sz w:val="20"/>
        </w:rPr>
      </w:pPr>
      <w:r>
        <w:rPr>
          <w:rFonts w:ascii="Times New Roman" w:hAnsi="Times New Roman"/>
          <w:b/>
          <w:color w:val="000000"/>
          <w:sz w:val="20"/>
        </w:rPr>
        <w:t>FRN San Francisco, LLC</w:t>
      </w:r>
    </w:p>
    <w:p>
      <w:pPr>
        <w:pStyle w:val="TextBody"/>
        <w:bidi w:val="0"/>
        <w:jc w:val="left"/>
        <w:rPr>
          <w:rFonts w:ascii="Times New Roman" w:hAnsi="Times New Roman"/>
          <w:color w:val="000000"/>
          <w:sz w:val="20"/>
        </w:rPr>
      </w:pPr>
      <w:r>
        <w:rPr>
          <w:rFonts w:ascii="Times New Roman" w:hAnsi="Times New Roman"/>
          <w:color w:val="000000"/>
          <w:sz w:val="20"/>
        </w:rPr>
        <w:t>Incorporated State: Delaware</w:t>
      </w:r>
    </w:p>
    <w:p>
      <w:pPr>
        <w:pStyle w:val="TextBody"/>
        <w:bidi w:val="0"/>
        <w:jc w:val="left"/>
        <w:rPr>
          <w:rFonts w:ascii="Times New Roman" w:hAnsi="Times New Roman"/>
          <w:color w:val="000000"/>
          <w:sz w:val="20"/>
        </w:rPr>
      </w:pPr>
      <w:r>
        <w:rPr>
          <w:rFonts w:ascii="Times New Roman" w:hAnsi="Times New Roman"/>
          <w:color w:val="000000"/>
          <w:sz w:val="20"/>
        </w:rPr>
        <w:t xml:space="preserve">Business Name: Foundations San Francisco </w:t>
      </w:r>
    </w:p>
    <w:p>
      <w:pPr>
        <w:pStyle w:val="TextBody"/>
        <w:bidi w:val="0"/>
        <w:jc w:val="left"/>
        <w:rPr>
          <w:rFonts w:ascii="Times New Roman" w:hAnsi="Times New Roman"/>
          <w:b/>
          <w:color w:val="000000"/>
          <w:sz w:val="20"/>
        </w:rPr>
      </w:pPr>
      <w:r>
        <w:rPr>
          <w:rFonts w:ascii="Times New Roman" w:hAnsi="Times New Roman"/>
          <w:b/>
          <w:color w:val="000000"/>
          <w:sz w:val="20"/>
        </w:rPr>
        <w:t>FRN Washington, LLC</w:t>
      </w:r>
    </w:p>
    <w:p>
      <w:pPr>
        <w:pStyle w:val="TextBody"/>
        <w:bidi w:val="0"/>
        <w:jc w:val="left"/>
        <w:rPr>
          <w:rFonts w:ascii="Times New Roman" w:hAnsi="Times New Roman"/>
          <w:color w:val="000000"/>
          <w:sz w:val="20"/>
        </w:rPr>
      </w:pPr>
      <w:r>
        <w:rPr>
          <w:rFonts w:ascii="Times New Roman" w:hAnsi="Times New Roman"/>
          <w:color w:val="000000"/>
          <w:sz w:val="20"/>
        </w:rPr>
        <w:t>Incorporated State: Washington</w:t>
      </w:r>
    </w:p>
    <w:p>
      <w:pPr>
        <w:pStyle w:val="TextBody"/>
        <w:bidi w:val="0"/>
        <w:jc w:val="left"/>
        <w:rPr>
          <w:rFonts w:ascii="Times New Roman" w:hAnsi="Times New Roman"/>
          <w:sz w:val="20"/>
        </w:rPr>
      </w:pPr>
      <w:r>
        <w:rPr>
          <w:rFonts w:ascii="Times New Roman" w:hAnsi="Times New Roman"/>
          <w:b/>
          <w:color w:val="000000"/>
          <w:sz w:val="20"/>
        </w:rPr>
        <w:t>FRN, Inc.</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Incorporated State: Delaware</w:t>
      </w:r>
    </w:p>
    <w:p>
      <w:pPr>
        <w:pStyle w:val="TextBody"/>
        <w:bidi w:val="0"/>
        <w:jc w:val="left"/>
        <w:rPr>
          <w:rFonts w:ascii="Times New Roman" w:hAnsi="Times New Roman"/>
          <w:sz w:val="20"/>
        </w:rPr>
      </w:pPr>
      <w:r>
        <w:rPr>
          <w:rFonts w:ascii="Times New Roman" w:hAnsi="Times New Roman"/>
          <w:b/>
          <w:color w:val="000000"/>
          <w:sz w:val="20"/>
        </w:rPr>
        <w:t>Frontline Behavioral Health, Inc.</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Incorporated State: Delaware </w:t>
      </w:r>
    </w:p>
    <w:p>
      <w:pPr>
        <w:pStyle w:val="TextBody"/>
        <w:bidi w:val="0"/>
        <w:jc w:val="left"/>
        <w:rPr>
          <w:rFonts w:ascii="Times New Roman" w:hAnsi="Times New Roman"/>
          <w:sz w:val="20"/>
        </w:rPr>
      </w:pPr>
      <w:r>
        <w:rPr>
          <w:rFonts w:ascii="Times New Roman" w:hAnsi="Times New Roman"/>
          <w:b/>
          <w:color w:val="000000"/>
          <w:sz w:val="20"/>
        </w:rPr>
        <w:t>Frontline Children’s Hospital, L.L.C.</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Incorporated State: Delaware </w:t>
      </w:r>
    </w:p>
    <w:p>
      <w:pPr>
        <w:pStyle w:val="TextBody"/>
        <w:bidi w:val="0"/>
        <w:jc w:val="left"/>
        <w:rPr>
          <w:rFonts w:ascii="Times New Roman" w:hAnsi="Times New Roman"/>
          <w:sz w:val="20"/>
        </w:rPr>
      </w:pPr>
      <w:r>
        <w:rPr>
          <w:rFonts w:ascii="Times New Roman" w:hAnsi="Times New Roman"/>
          <w:b/>
          <w:color w:val="000000"/>
          <w:sz w:val="20"/>
        </w:rPr>
        <w:t>Frontline Hospital, LLC</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Incorporated State: Delaware </w:t>
      </w:r>
    </w:p>
    <w:p>
      <w:pPr>
        <w:pStyle w:val="TextBody"/>
        <w:bidi w:val="0"/>
        <w:jc w:val="left"/>
        <w:rPr>
          <w:rFonts w:ascii="Times New Roman" w:hAnsi="Times New Roman"/>
          <w:color w:val="000000"/>
          <w:sz w:val="20"/>
        </w:rPr>
      </w:pPr>
      <w:r>
        <w:rPr>
          <w:rFonts w:ascii="Times New Roman" w:hAnsi="Times New Roman"/>
          <w:color w:val="000000"/>
          <w:sz w:val="20"/>
        </w:rPr>
        <w:t>Business Name: North Star Hospital, Chris Kyle Patriot’s Hospital and North Star Bragaw</w:t>
      </w:r>
    </w:p>
    <w:p>
      <w:pPr>
        <w:pStyle w:val="TextBody"/>
        <w:bidi w:val="0"/>
        <w:jc w:val="left"/>
        <w:rPr>
          <w:rFonts w:ascii="Times New Roman" w:hAnsi="Times New Roman"/>
          <w:sz w:val="20"/>
        </w:rPr>
      </w:pPr>
      <w:r>
        <w:rPr>
          <w:rFonts w:ascii="Times New Roman" w:hAnsi="Times New Roman"/>
          <w:b/>
          <w:color w:val="000000"/>
          <w:sz w:val="20"/>
        </w:rPr>
        <w:t>Frontline Residential Treatment Center, LLC</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Incorporated State: Delaware </w:t>
      </w:r>
    </w:p>
    <w:p>
      <w:pPr>
        <w:pStyle w:val="TextBody"/>
        <w:bidi w:val="0"/>
        <w:jc w:val="left"/>
        <w:rPr>
          <w:rFonts w:ascii="Times New Roman" w:hAnsi="Times New Roman"/>
          <w:color w:val="000000"/>
          <w:sz w:val="20"/>
        </w:rPr>
      </w:pPr>
      <w:r>
        <w:rPr>
          <w:rFonts w:ascii="Times New Roman" w:hAnsi="Times New Roman"/>
          <w:color w:val="000000"/>
          <w:sz w:val="20"/>
        </w:rPr>
        <w:t xml:space="preserve">Business Name: DeBarr Residential Treatment Center and Palmer Residential Treatment Center </w:t>
      </w:r>
    </w:p>
    <w:p>
      <w:pPr>
        <w:pStyle w:val="TextBody"/>
        <w:bidi w:val="0"/>
        <w:jc w:val="left"/>
        <w:rPr>
          <w:rFonts w:ascii="Times New Roman" w:hAnsi="Times New Roman"/>
          <w:sz w:val="20"/>
        </w:rPr>
      </w:pPr>
      <w:r>
        <w:rPr>
          <w:rFonts w:ascii="Times New Roman" w:hAnsi="Times New Roman"/>
          <w:b/>
          <w:color w:val="000000"/>
          <w:sz w:val="20"/>
        </w:rPr>
        <w:t>Garfield Park Hospital, LLC</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Incorporated State: Illinois </w:t>
      </w:r>
    </w:p>
    <w:p>
      <w:pPr>
        <w:pStyle w:val="TextBody"/>
        <w:bidi w:val="0"/>
        <w:jc w:val="left"/>
        <w:rPr>
          <w:rFonts w:ascii="Times New Roman" w:hAnsi="Times New Roman"/>
          <w:color w:val="000000"/>
          <w:sz w:val="20"/>
        </w:rPr>
      </w:pPr>
      <w:r>
        <w:rPr>
          <w:rFonts w:ascii="Times New Roman" w:hAnsi="Times New Roman"/>
          <w:color w:val="000000"/>
          <w:sz w:val="20"/>
        </w:rPr>
        <w:t>Business Name: Garfield Park Behavioral Hospital</w:t>
      </w:r>
    </w:p>
    <w:p>
      <w:pPr>
        <w:pStyle w:val="TextBody"/>
        <w:bidi w:val="0"/>
        <w:jc w:val="left"/>
        <w:rPr>
          <w:rFonts w:ascii="Times New Roman" w:hAnsi="Times New Roman"/>
          <w:sz w:val="20"/>
        </w:rPr>
      </w:pPr>
      <w:r>
        <w:rPr>
          <w:rFonts w:ascii="Times New Roman" w:hAnsi="Times New Roman"/>
          <w:b/>
          <w:color w:val="000000"/>
          <w:sz w:val="20"/>
        </w:rPr>
        <w:t>Gateway-Phase IV Commercial Property Owners Association, Inc.</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Incorporated State: Texas</w:t>
      </w:r>
    </w:p>
    <w:p>
      <w:pPr>
        <w:pStyle w:val="TextBody"/>
        <w:bidi w:val="0"/>
        <w:jc w:val="left"/>
        <w:rPr>
          <w:rFonts w:ascii="Times New Roman" w:hAnsi="Times New Roman"/>
          <w:b/>
          <w:color w:val="000000"/>
          <w:sz w:val="20"/>
        </w:rPr>
      </w:pPr>
      <w:r>
        <w:rPr>
          <w:rFonts w:ascii="Times New Roman" w:hAnsi="Times New Roman"/>
          <w:b/>
          <w:color w:val="000000"/>
          <w:sz w:val="20"/>
        </w:rPr>
        <w:t>GBO NNHS ASC, JV, LLC</w:t>
      </w:r>
    </w:p>
    <w:p>
      <w:pPr>
        <w:pStyle w:val="TextBody"/>
        <w:bidi w:val="0"/>
        <w:jc w:val="left"/>
        <w:rPr>
          <w:rFonts w:ascii="Times New Roman" w:hAnsi="Times New Roman"/>
          <w:color w:val="000000"/>
          <w:sz w:val="20"/>
        </w:rPr>
      </w:pPr>
      <w:r>
        <w:rPr>
          <w:rFonts w:ascii="Times New Roman" w:hAnsi="Times New Roman"/>
          <w:color w:val="000000"/>
          <w:sz w:val="20"/>
        </w:rPr>
        <w:t>Incorporated State: Nevada</w:t>
      </w:r>
    </w:p>
    <w:p>
      <w:pPr>
        <w:pStyle w:val="TextBody"/>
        <w:bidi w:val="0"/>
        <w:jc w:val="left"/>
        <w:rPr>
          <w:rFonts w:ascii="Times New Roman" w:hAnsi="Times New Roman"/>
          <w:color w:val="000000"/>
          <w:sz w:val="20"/>
        </w:rPr>
      </w:pPr>
      <w:r>
        <w:rPr>
          <w:rFonts w:ascii="Times New Roman" w:hAnsi="Times New Roman"/>
          <w:color w:val="000000"/>
          <w:sz w:val="20"/>
        </w:rPr>
        <w:t>Business Name: Great Basin Surgery Center</w:t>
      </w:r>
    </w:p>
    <w:p>
      <w:pPr>
        <w:pStyle w:val="TextBody"/>
        <w:bidi w:val="0"/>
        <w:jc w:val="left"/>
        <w:rPr>
          <w:rFonts w:ascii="Times New Roman" w:hAnsi="Times New Roman"/>
          <w:b/>
          <w:color w:val="000000"/>
          <w:sz w:val="20"/>
        </w:rPr>
      </w:pPr>
      <w:r>
        <w:rPr>
          <w:rFonts w:ascii="Times New Roman" w:hAnsi="Times New Roman"/>
          <w:b/>
          <w:color w:val="000000"/>
          <w:sz w:val="20"/>
        </w:rPr>
        <w:t>Georgia Behavioral Health Urgent Care Center, LLC</w:t>
      </w:r>
    </w:p>
    <w:p>
      <w:pPr>
        <w:pStyle w:val="TextBody"/>
        <w:bidi w:val="0"/>
        <w:jc w:val="left"/>
        <w:rPr>
          <w:rFonts w:ascii="Times New Roman" w:hAnsi="Times New Roman"/>
          <w:color w:val="000000"/>
          <w:sz w:val="20"/>
        </w:rPr>
      </w:pPr>
      <w:r>
        <w:rPr>
          <w:rFonts w:ascii="Times New Roman" w:hAnsi="Times New Roman"/>
          <w:color w:val="000000"/>
          <w:sz w:val="20"/>
        </w:rPr>
        <w:t>Incorporated State: Georgia</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sz w:val="20"/>
        </w:rPr>
      </w:pPr>
      <w:r>
        <w:rPr>
          <w:rFonts w:ascii="Times New Roman" w:hAnsi="Times New Roman"/>
          <w:b/>
          <w:color w:val="000000"/>
          <w:sz w:val="20"/>
        </w:rPr>
        <w:t>Glen Oaks Hospital, Inc.</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Incorporated State: Texas </w:t>
      </w:r>
    </w:p>
    <w:p>
      <w:pPr>
        <w:pStyle w:val="TextBody"/>
        <w:bidi w:val="0"/>
        <w:jc w:val="left"/>
        <w:rPr>
          <w:rFonts w:ascii="Times New Roman" w:hAnsi="Times New Roman"/>
          <w:color w:val="000000"/>
          <w:sz w:val="20"/>
        </w:rPr>
      </w:pPr>
      <w:r>
        <w:rPr>
          <w:rFonts w:ascii="Times New Roman" w:hAnsi="Times New Roman"/>
          <w:color w:val="000000"/>
          <w:sz w:val="20"/>
        </w:rPr>
        <w:t xml:space="preserve">Business Name: Glen Oaks Hospital </w:t>
      </w:r>
    </w:p>
    <w:p>
      <w:pPr>
        <w:pStyle w:val="TextBody"/>
        <w:bidi w:val="0"/>
        <w:jc w:val="left"/>
        <w:rPr>
          <w:rFonts w:ascii="Times New Roman" w:hAnsi="Times New Roman"/>
          <w:b/>
          <w:color w:val="000000"/>
          <w:sz w:val="20"/>
        </w:rPr>
      </w:pPr>
      <w:r>
        <w:rPr>
          <w:rFonts w:ascii="Times New Roman" w:hAnsi="Times New Roman"/>
          <w:b/>
          <w:color w:val="000000"/>
          <w:sz w:val="20"/>
        </w:rPr>
        <w:t>Golden Hill Terrace, LLC</w:t>
      </w:r>
    </w:p>
    <w:p>
      <w:pPr>
        <w:pStyle w:val="TextBody"/>
        <w:bidi w:val="0"/>
        <w:jc w:val="left"/>
        <w:rPr>
          <w:rFonts w:ascii="Times New Roman" w:hAnsi="Times New Roman"/>
          <w:color w:val="000000"/>
          <w:sz w:val="20"/>
        </w:rPr>
      </w:pPr>
      <w:r>
        <w:rPr>
          <w:rFonts w:ascii="Times New Roman" w:hAnsi="Times New Roman"/>
          <w:color w:val="000000"/>
          <w:sz w:val="20"/>
        </w:rPr>
        <w:t>Incorporated State; Delaware</w:t>
      </w:r>
    </w:p>
    <w:p>
      <w:pPr>
        <w:pStyle w:val="TextBody"/>
        <w:bidi w:val="0"/>
        <w:jc w:val="left"/>
        <w:rPr>
          <w:rFonts w:ascii="Times New Roman" w:hAnsi="Times New Roman"/>
          <w:sz w:val="20"/>
        </w:rPr>
      </w:pPr>
      <w:r>
        <w:rPr>
          <w:rFonts w:ascii="Times New Roman" w:hAnsi="Times New Roman"/>
          <w:b/>
          <w:color w:val="000000"/>
          <w:sz w:val="20"/>
        </w:rPr>
        <w:t>Great Plains Hospital, Inc.</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Incorporated State: Missouri </w:t>
      </w:r>
    </w:p>
    <w:p>
      <w:pPr>
        <w:pStyle w:val="TextBody"/>
        <w:bidi w:val="0"/>
        <w:jc w:val="left"/>
        <w:rPr>
          <w:rFonts w:ascii="Times New Roman" w:hAnsi="Times New Roman"/>
          <w:color w:val="000000"/>
          <w:sz w:val="20"/>
        </w:rPr>
      </w:pPr>
      <w:r>
        <w:rPr>
          <w:rFonts w:ascii="Times New Roman" w:hAnsi="Times New Roman"/>
          <w:color w:val="000000"/>
          <w:sz w:val="20"/>
        </w:rPr>
        <w:t xml:space="preserve">Business Name: Heartland Behavioral Health Services </w:t>
      </w:r>
    </w:p>
    <w:p>
      <w:pPr>
        <w:pStyle w:val="TextBody"/>
        <w:bidi w:val="0"/>
        <w:jc w:val="left"/>
        <w:rPr>
          <w:rFonts w:ascii="Times New Roman" w:hAnsi="Times New Roman"/>
          <w:sz w:val="20"/>
        </w:rPr>
      </w:pPr>
      <w:r>
        <w:rPr>
          <w:rFonts w:ascii="Times New Roman" w:hAnsi="Times New Roman"/>
          <w:b/>
          <w:color w:val="000000"/>
          <w:sz w:val="20"/>
        </w:rPr>
        <w:t>Gulf Coast Treatment Center, Inc.</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Incorporated State: Florida </w:t>
      </w:r>
    </w:p>
    <w:p>
      <w:pPr>
        <w:pStyle w:val="TextBody"/>
        <w:bidi w:val="0"/>
        <w:jc w:val="left"/>
        <w:rPr>
          <w:rFonts w:ascii="Times New Roman" w:hAnsi="Times New Roman"/>
          <w:color w:val="000000"/>
          <w:sz w:val="20"/>
        </w:rPr>
      </w:pPr>
      <w:r>
        <w:rPr>
          <w:rFonts w:ascii="Times New Roman" w:hAnsi="Times New Roman"/>
          <w:color w:val="000000"/>
          <w:sz w:val="20"/>
        </w:rPr>
        <w:t xml:space="preserve">Business Name: Gulf Coast Treatment Center and Okaloosa Youth Academy </w:t>
      </w:r>
    </w:p>
    <w:p>
      <w:pPr>
        <w:pStyle w:val="TextBody"/>
        <w:bidi w:val="0"/>
        <w:jc w:val="left"/>
        <w:rPr>
          <w:rFonts w:ascii="Times New Roman" w:hAnsi="Times New Roman"/>
          <w:sz w:val="20"/>
        </w:rPr>
      </w:pPr>
      <w:r>
        <w:rPr>
          <w:rFonts w:ascii="Times New Roman" w:hAnsi="Times New Roman"/>
          <w:b/>
          <w:color w:val="000000"/>
          <w:sz w:val="20"/>
        </w:rPr>
        <w:t>Gulph Mills Associates, LLC</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Incorporated State: Pennsylvania </w:t>
      </w:r>
    </w:p>
    <w:p>
      <w:pPr>
        <w:pStyle w:val="TextBody"/>
        <w:bidi w:val="0"/>
        <w:jc w:val="left"/>
        <w:rPr>
          <w:rFonts w:ascii="Times New Roman" w:hAnsi="Times New Roman"/>
          <w:sz w:val="20"/>
        </w:rPr>
      </w:pPr>
      <w:r>
        <w:rPr>
          <w:rFonts w:ascii="Times New Roman" w:hAnsi="Times New Roman"/>
          <w:b/>
          <w:color w:val="000000"/>
          <w:sz w:val="20"/>
        </w:rPr>
        <w:t>H.C. Corporation</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Incorporated State: Alabama </w:t>
      </w:r>
    </w:p>
    <w:p>
      <w:pPr>
        <w:pStyle w:val="TextBody"/>
        <w:bidi w:val="0"/>
        <w:jc w:val="left"/>
        <w:rPr>
          <w:rFonts w:ascii="Times New Roman" w:hAnsi="Times New Roman"/>
          <w:sz w:val="20"/>
        </w:rPr>
      </w:pPr>
      <w:r>
        <w:rPr>
          <w:rFonts w:ascii="Times New Roman" w:hAnsi="Times New Roman"/>
          <w:b/>
          <w:color w:val="000000"/>
          <w:sz w:val="20"/>
        </w:rPr>
        <w:t>H.C. Partnership</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Incorporated State: Alabama </w:t>
      </w:r>
    </w:p>
    <w:p>
      <w:pPr>
        <w:pStyle w:val="TextBody"/>
        <w:bidi w:val="0"/>
        <w:jc w:val="left"/>
        <w:rPr>
          <w:rFonts w:ascii="Times New Roman" w:hAnsi="Times New Roman"/>
          <w:color w:val="000000"/>
          <w:sz w:val="20"/>
        </w:rPr>
      </w:pPr>
      <w:r>
        <w:rPr>
          <w:rFonts w:ascii="Times New Roman" w:hAnsi="Times New Roman"/>
          <w:color w:val="000000"/>
          <w:sz w:val="20"/>
        </w:rPr>
        <w:t xml:space="preserve">Business Name: Hill Crest Behavioral Health Services </w:t>
      </w:r>
    </w:p>
    <w:p>
      <w:pPr>
        <w:pStyle w:val="TextBody"/>
        <w:bidi w:val="0"/>
        <w:jc w:val="left"/>
        <w:rPr>
          <w:rFonts w:ascii="Times New Roman" w:hAnsi="Times New Roman"/>
          <w:sz w:val="20"/>
        </w:rPr>
      </w:pPr>
      <w:r>
        <w:rPr>
          <w:rFonts w:ascii="Times New Roman" w:hAnsi="Times New Roman"/>
          <w:b/>
          <w:color w:val="000000"/>
          <w:sz w:val="20"/>
        </w:rPr>
        <w:t>Harbor Point Behavioral Health Center, Inc.</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Incorporated State: Virginia </w:t>
      </w:r>
    </w:p>
    <w:p>
      <w:pPr>
        <w:pStyle w:val="TextBody"/>
        <w:bidi w:val="0"/>
        <w:jc w:val="left"/>
        <w:rPr>
          <w:rFonts w:ascii="Times New Roman" w:hAnsi="Times New Roman"/>
          <w:color w:val="000000"/>
          <w:sz w:val="20"/>
        </w:rPr>
      </w:pPr>
      <w:r>
        <w:rPr>
          <w:rFonts w:ascii="Times New Roman" w:hAnsi="Times New Roman"/>
          <w:color w:val="000000"/>
          <w:sz w:val="20"/>
        </w:rPr>
        <w:t xml:space="preserve">Business Name: Harbor Point Behavioral Health Center and Kempsville Center for Behavioral Health </w:t>
      </w:r>
    </w:p>
    <w:p>
      <w:pPr>
        <w:pStyle w:val="TextBody"/>
        <w:bidi w:val="0"/>
        <w:jc w:val="left"/>
        <w:rPr>
          <w:rFonts w:ascii="Times New Roman" w:hAnsi="Times New Roman"/>
          <w:sz w:val="20"/>
        </w:rPr>
      </w:pPr>
      <w:r>
        <w:rPr>
          <w:rFonts w:ascii="Times New Roman" w:hAnsi="Times New Roman"/>
          <w:b/>
          <w:color w:val="000000"/>
          <w:sz w:val="20"/>
        </w:rPr>
        <w:t>Havenwyck Hospital Inc.</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Incorporated State: Michigan </w:t>
      </w:r>
    </w:p>
    <w:p>
      <w:pPr>
        <w:pStyle w:val="TextBody"/>
        <w:bidi w:val="0"/>
        <w:jc w:val="left"/>
        <w:rPr>
          <w:rFonts w:ascii="Times New Roman" w:hAnsi="Times New Roman"/>
          <w:color w:val="000000"/>
          <w:sz w:val="20"/>
        </w:rPr>
      </w:pPr>
      <w:r>
        <w:rPr>
          <w:rFonts w:ascii="Times New Roman" w:hAnsi="Times New Roman"/>
          <w:color w:val="000000"/>
          <w:sz w:val="20"/>
        </w:rPr>
        <w:t xml:space="preserve">Business Name: Havenwyck Hospital and Cedar Creek Hospital </w:t>
      </w:r>
    </w:p>
    <w:p>
      <w:pPr>
        <w:pStyle w:val="TextBody"/>
        <w:bidi w:val="0"/>
        <w:jc w:val="left"/>
        <w:rPr>
          <w:rFonts w:ascii="Times New Roman" w:hAnsi="Times New Roman"/>
          <w:b/>
          <w:color w:val="000000"/>
          <w:sz w:val="20"/>
        </w:rPr>
      </w:pPr>
      <w:r>
        <w:rPr>
          <w:rFonts w:ascii="Times New Roman" w:hAnsi="Times New Roman"/>
          <w:b/>
          <w:color w:val="000000"/>
          <w:sz w:val="20"/>
        </w:rPr>
        <w:t>Health Alliance ACO, LLC</w:t>
      </w:r>
    </w:p>
    <w:p>
      <w:pPr>
        <w:pStyle w:val="TextBody"/>
        <w:bidi w:val="0"/>
        <w:jc w:val="left"/>
        <w:rPr>
          <w:rFonts w:ascii="Times New Roman" w:hAnsi="Times New Roman"/>
          <w:color w:val="000000"/>
          <w:sz w:val="20"/>
        </w:rPr>
      </w:pPr>
      <w:r>
        <w:rPr>
          <w:rFonts w:ascii="Times New Roman" w:hAnsi="Times New Roman"/>
          <w:color w:val="000000"/>
          <w:sz w:val="20"/>
        </w:rPr>
        <w:t>Incorporated State: Florida</w:t>
      </w:r>
    </w:p>
    <w:p>
      <w:pPr>
        <w:pStyle w:val="TextBody"/>
        <w:bidi w:val="0"/>
        <w:jc w:val="left"/>
        <w:rPr>
          <w:rFonts w:ascii="Times New Roman" w:hAnsi="Times New Roman"/>
          <w:b/>
          <w:color w:val="000000"/>
          <w:sz w:val="20"/>
        </w:rPr>
      </w:pPr>
      <w:r>
        <w:rPr>
          <w:rFonts w:ascii="Times New Roman" w:hAnsi="Times New Roman"/>
          <w:b/>
          <w:color w:val="000000"/>
          <w:sz w:val="20"/>
        </w:rPr>
        <w:t>HealthGPT, LLC</w:t>
      </w:r>
    </w:p>
    <w:p>
      <w:pPr>
        <w:pStyle w:val="TextBody"/>
        <w:bidi w:val="0"/>
        <w:jc w:val="left"/>
        <w:rPr>
          <w:rFonts w:ascii="Times New Roman" w:hAnsi="Times New Roman"/>
          <w:color w:val="000000"/>
          <w:sz w:val="20"/>
        </w:rPr>
      </w:pPr>
      <w:r>
        <w:rPr>
          <w:rFonts w:ascii="Times New Roman" w:hAnsi="Times New Roman"/>
          <w:color w:val="000000"/>
          <w:sz w:val="20"/>
        </w:rPr>
        <w:t>Incorporated State: Delaware</w:t>
      </w:r>
    </w:p>
    <w:p>
      <w:pPr>
        <w:pStyle w:val="TextBody"/>
        <w:bidi w:val="0"/>
        <w:jc w:val="left"/>
        <w:rPr>
          <w:rFonts w:ascii="Times New Roman" w:hAnsi="Times New Roman"/>
          <w:sz w:val="20"/>
        </w:rPr>
      </w:pPr>
      <w:r>
        <w:rPr>
          <w:rFonts w:ascii="Times New Roman" w:hAnsi="Times New Roman"/>
          <w:b/>
          <w:color w:val="000000"/>
          <w:sz w:val="20"/>
        </w:rPr>
        <w:t>Heart Clinic, P.L.L.C.</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Incorporated State: Texas </w:t>
      </w:r>
    </w:p>
    <w:p>
      <w:pPr>
        <w:pStyle w:val="TextBody"/>
        <w:bidi w:val="0"/>
        <w:jc w:val="left"/>
        <w:rPr>
          <w:rFonts w:ascii="Times New Roman" w:hAnsi="Times New Roman"/>
          <w:b/>
          <w:color w:val="000000"/>
          <w:sz w:val="20"/>
        </w:rPr>
      </w:pPr>
      <w:r>
        <w:rPr>
          <w:rFonts w:ascii="Times New Roman" w:hAnsi="Times New Roman"/>
          <w:b/>
          <w:color w:val="000000"/>
          <w:sz w:val="20"/>
        </w:rPr>
        <w:t>Heritage Oaks Patient Enrichment Center, Inc.</w:t>
      </w:r>
    </w:p>
    <w:p>
      <w:pPr>
        <w:pStyle w:val="TextBody"/>
        <w:bidi w:val="0"/>
        <w:jc w:val="left"/>
        <w:rPr>
          <w:rFonts w:ascii="Times New Roman" w:hAnsi="Times New Roman"/>
          <w:color w:val="000000"/>
          <w:sz w:val="20"/>
        </w:rPr>
      </w:pPr>
      <w:r>
        <w:rPr>
          <w:rFonts w:ascii="Times New Roman" w:hAnsi="Times New Roman"/>
          <w:color w:val="000000"/>
          <w:sz w:val="20"/>
        </w:rPr>
        <w:t>Incorporated State: California</w:t>
      </w:r>
    </w:p>
    <w:p>
      <w:pPr>
        <w:pStyle w:val="TextBody"/>
        <w:bidi w:val="0"/>
        <w:jc w:val="left"/>
        <w:rPr>
          <w:rFonts w:ascii="Times New Roman" w:hAnsi="Times New Roman"/>
          <w:color w:val="000000"/>
          <w:sz w:val="20"/>
        </w:rPr>
      </w:pPr>
      <w:r>
        <w:rPr>
          <w:rFonts w:ascii="Times New Roman" w:hAnsi="Times New Roman"/>
          <w:color w:val="000000"/>
          <w:sz w:val="20"/>
        </w:rPr>
        <w:t>Business Name: Heritage Oaks Patient Enrichment Center</w:t>
      </w:r>
    </w:p>
    <w:p>
      <w:pPr>
        <w:pStyle w:val="TextBody"/>
        <w:bidi w:val="0"/>
        <w:jc w:val="left"/>
        <w:rPr>
          <w:rFonts w:ascii="Times New Roman" w:hAnsi="Times New Roman"/>
          <w:sz w:val="20"/>
        </w:rPr>
      </w:pPr>
      <w:r>
        <w:rPr>
          <w:rFonts w:ascii="Times New Roman" w:hAnsi="Times New Roman"/>
          <w:b/>
          <w:color w:val="000000"/>
          <w:sz w:val="20"/>
        </w:rPr>
        <w:t>HHC Augusta, Inc.</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Incorporated State: Georgia </w:t>
      </w:r>
    </w:p>
    <w:p>
      <w:pPr>
        <w:pStyle w:val="TextBody"/>
        <w:bidi w:val="0"/>
        <w:jc w:val="left"/>
        <w:rPr>
          <w:rFonts w:ascii="Times New Roman" w:hAnsi="Times New Roman"/>
          <w:color w:val="000000"/>
          <w:sz w:val="20"/>
        </w:rPr>
      </w:pPr>
      <w:r>
        <w:rPr>
          <w:rFonts w:ascii="Times New Roman" w:hAnsi="Times New Roman"/>
          <w:color w:val="000000"/>
          <w:sz w:val="20"/>
        </w:rPr>
        <w:t xml:space="preserve">Business Name: Lighthouse Care Center of Augusta </w:t>
      </w:r>
    </w:p>
    <w:p>
      <w:pPr>
        <w:pStyle w:val="TextBody"/>
        <w:bidi w:val="0"/>
        <w:jc w:val="left"/>
        <w:rPr>
          <w:rFonts w:ascii="Times New Roman" w:hAnsi="Times New Roman"/>
          <w:b/>
          <w:color w:val="000000"/>
          <w:sz w:val="20"/>
        </w:rPr>
      </w:pPr>
      <w:r>
        <w:rPr>
          <w:rFonts w:ascii="Times New Roman" w:hAnsi="Times New Roman"/>
          <w:b/>
          <w:color w:val="000000"/>
          <w:sz w:val="20"/>
        </w:rPr>
        <w:t>HHC Berkeley, Inc.</w:t>
      </w:r>
    </w:p>
    <w:p>
      <w:pPr>
        <w:pStyle w:val="TextBody"/>
        <w:bidi w:val="0"/>
        <w:jc w:val="left"/>
        <w:rPr>
          <w:rFonts w:ascii="Times New Roman" w:hAnsi="Times New Roman"/>
          <w:color w:val="000000"/>
          <w:sz w:val="20"/>
        </w:rPr>
      </w:pPr>
      <w:r>
        <w:rPr>
          <w:rFonts w:ascii="Times New Roman" w:hAnsi="Times New Roman"/>
          <w:color w:val="000000"/>
          <w:sz w:val="20"/>
        </w:rPr>
        <w:t xml:space="preserve">Incorporated State: South Carolina </w:t>
      </w:r>
    </w:p>
    <w:p>
      <w:pPr>
        <w:pStyle w:val="TextBody"/>
        <w:bidi w:val="0"/>
        <w:jc w:val="left"/>
        <w:rPr>
          <w:rFonts w:ascii="Times New Roman" w:hAnsi="Times New Roman"/>
          <w:b/>
          <w:color w:val="000000"/>
          <w:sz w:val="20"/>
        </w:rPr>
      </w:pPr>
      <w:r>
        <w:rPr>
          <w:rFonts w:ascii="Times New Roman" w:hAnsi="Times New Roman"/>
          <w:b/>
          <w:color w:val="000000"/>
          <w:sz w:val="20"/>
        </w:rPr>
        <w:t>HHC Delaware, Inc.</w:t>
      </w:r>
    </w:p>
    <w:p>
      <w:pPr>
        <w:pStyle w:val="TextBody"/>
        <w:bidi w:val="0"/>
        <w:jc w:val="left"/>
        <w:rPr>
          <w:rFonts w:ascii="Times New Roman" w:hAnsi="Times New Roman"/>
          <w:color w:val="000000"/>
          <w:sz w:val="20"/>
        </w:rPr>
      </w:pPr>
      <w:r>
        <w:rPr>
          <w:rFonts w:ascii="Times New Roman" w:hAnsi="Times New Roman"/>
          <w:color w:val="000000"/>
          <w:sz w:val="20"/>
        </w:rPr>
        <w:t xml:space="preserve">Incorporated State: Delaware </w:t>
      </w:r>
    </w:p>
    <w:p>
      <w:pPr>
        <w:pStyle w:val="TextBody"/>
        <w:bidi w:val="0"/>
        <w:jc w:val="left"/>
        <w:rPr>
          <w:rFonts w:ascii="Times New Roman" w:hAnsi="Times New Roman"/>
          <w:sz w:val="20"/>
        </w:rPr>
      </w:pPr>
      <w:r>
        <w:rPr>
          <w:rFonts w:ascii="Times New Roman" w:hAnsi="Times New Roman"/>
          <w:b/>
          <w:color w:val="000000"/>
          <w:sz w:val="20"/>
        </w:rPr>
        <w:t>HHC Indiana, Inc.</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Incorporated State: Indiana </w:t>
      </w:r>
    </w:p>
    <w:p>
      <w:pPr>
        <w:pStyle w:val="TextBody"/>
        <w:bidi w:val="0"/>
        <w:jc w:val="left"/>
        <w:rPr>
          <w:rFonts w:ascii="Times New Roman" w:hAnsi="Times New Roman"/>
          <w:color w:val="000000"/>
          <w:sz w:val="20"/>
        </w:rPr>
      </w:pPr>
      <w:r>
        <w:rPr>
          <w:rFonts w:ascii="Times New Roman" w:hAnsi="Times New Roman"/>
          <w:color w:val="000000"/>
          <w:sz w:val="20"/>
        </w:rPr>
        <w:t xml:space="preserve">Business Name: Michiana Behavioral Health </w:t>
      </w:r>
    </w:p>
    <w:p>
      <w:pPr>
        <w:pStyle w:val="TextBody"/>
        <w:bidi w:val="0"/>
        <w:jc w:val="left"/>
        <w:rPr>
          <w:rFonts w:ascii="Times New Roman" w:hAnsi="Times New Roman"/>
          <w:sz w:val="20"/>
        </w:rPr>
      </w:pPr>
      <w:r>
        <w:rPr>
          <w:rFonts w:ascii="Times New Roman" w:hAnsi="Times New Roman"/>
          <w:b/>
          <w:color w:val="000000"/>
          <w:sz w:val="20"/>
        </w:rPr>
        <w:t>HHC Kingwood Investment, LLC</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Incorporated State: Delaware </w:t>
      </w:r>
    </w:p>
    <w:p>
      <w:pPr>
        <w:pStyle w:val="TextBody"/>
        <w:bidi w:val="0"/>
        <w:jc w:val="left"/>
        <w:rPr>
          <w:rFonts w:ascii="Times New Roman" w:hAnsi="Times New Roman"/>
          <w:sz w:val="20"/>
        </w:rPr>
      </w:pPr>
      <w:r>
        <w:rPr>
          <w:rFonts w:ascii="Times New Roman" w:hAnsi="Times New Roman"/>
          <w:b/>
          <w:color w:val="000000"/>
          <w:sz w:val="20"/>
        </w:rPr>
        <w:t>HHC Oconee, Inc.</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Incorporated State: South Carolina </w:t>
      </w:r>
    </w:p>
    <w:p>
      <w:pPr>
        <w:pStyle w:val="TextBody"/>
        <w:bidi w:val="0"/>
        <w:jc w:val="left"/>
        <w:rPr>
          <w:rFonts w:ascii="Times New Roman" w:hAnsi="Times New Roman"/>
          <w:sz w:val="20"/>
        </w:rPr>
      </w:pPr>
      <w:r>
        <w:rPr>
          <w:rFonts w:ascii="Times New Roman" w:hAnsi="Times New Roman"/>
          <w:b/>
          <w:color w:val="000000"/>
          <w:sz w:val="20"/>
        </w:rPr>
        <w:t>HHC Ohio, Inc.</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Incorporated State: Ohio </w:t>
      </w:r>
    </w:p>
    <w:p>
      <w:pPr>
        <w:pStyle w:val="TextBody"/>
        <w:bidi w:val="0"/>
        <w:jc w:val="left"/>
        <w:rPr>
          <w:rFonts w:ascii="Times New Roman" w:hAnsi="Times New Roman"/>
          <w:color w:val="000000"/>
          <w:sz w:val="20"/>
        </w:rPr>
      </w:pPr>
      <w:r>
        <w:rPr>
          <w:rFonts w:ascii="Times New Roman" w:hAnsi="Times New Roman"/>
          <w:color w:val="000000"/>
          <w:sz w:val="20"/>
        </w:rPr>
        <w:t xml:space="preserve">Business Name: Windsor Laurelwood Center for Behavioral Medicine </w:t>
      </w:r>
    </w:p>
    <w:p>
      <w:pPr>
        <w:pStyle w:val="TextBody"/>
        <w:bidi w:val="0"/>
        <w:jc w:val="left"/>
        <w:rPr>
          <w:rFonts w:ascii="Times New Roman" w:hAnsi="Times New Roman"/>
          <w:sz w:val="20"/>
        </w:rPr>
      </w:pPr>
      <w:r>
        <w:rPr>
          <w:rFonts w:ascii="Times New Roman" w:hAnsi="Times New Roman"/>
          <w:b/>
          <w:color w:val="000000"/>
          <w:sz w:val="20"/>
        </w:rPr>
        <w:t>HHC Pennsylvania, LLC</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Incorporated State: Delaware </w:t>
      </w:r>
    </w:p>
    <w:p>
      <w:pPr>
        <w:pStyle w:val="TextBody"/>
        <w:bidi w:val="0"/>
        <w:jc w:val="left"/>
        <w:rPr>
          <w:rFonts w:ascii="Times New Roman" w:hAnsi="Times New Roman"/>
          <w:sz w:val="20"/>
        </w:rPr>
      </w:pPr>
      <w:r>
        <w:rPr>
          <w:rFonts w:ascii="Times New Roman" w:hAnsi="Times New Roman"/>
          <w:b/>
          <w:color w:val="000000"/>
          <w:sz w:val="20"/>
        </w:rPr>
        <w:t>HHC Poplar Springs, LLC</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Incorporated State: Virginia </w:t>
      </w:r>
    </w:p>
    <w:p>
      <w:pPr>
        <w:pStyle w:val="TextBody"/>
        <w:bidi w:val="0"/>
        <w:jc w:val="left"/>
        <w:rPr>
          <w:rFonts w:ascii="Times New Roman" w:hAnsi="Times New Roman"/>
          <w:color w:val="000000"/>
          <w:sz w:val="20"/>
        </w:rPr>
      </w:pPr>
      <w:r>
        <w:rPr>
          <w:rFonts w:ascii="Times New Roman" w:hAnsi="Times New Roman"/>
          <w:color w:val="000000"/>
          <w:sz w:val="20"/>
        </w:rPr>
        <w:t xml:space="preserve">Business Name: Poplar Springs Hospital </w:t>
      </w:r>
    </w:p>
    <w:p>
      <w:pPr>
        <w:pStyle w:val="TextBody"/>
        <w:bidi w:val="0"/>
        <w:jc w:val="left"/>
        <w:rPr>
          <w:rFonts w:ascii="Times New Roman" w:hAnsi="Times New Roman"/>
          <w:sz w:val="20"/>
        </w:rPr>
      </w:pPr>
      <w:r>
        <w:rPr>
          <w:rFonts w:ascii="Times New Roman" w:hAnsi="Times New Roman"/>
          <w:b/>
          <w:color w:val="000000"/>
          <w:sz w:val="20"/>
        </w:rPr>
        <w:t>HHC River Park, Inc.</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Incorporated State: West Virginia </w:t>
      </w:r>
    </w:p>
    <w:p>
      <w:pPr>
        <w:pStyle w:val="TextBody"/>
        <w:bidi w:val="0"/>
        <w:jc w:val="left"/>
        <w:rPr>
          <w:rFonts w:ascii="Times New Roman" w:hAnsi="Times New Roman"/>
          <w:color w:val="000000"/>
          <w:sz w:val="20"/>
        </w:rPr>
      </w:pPr>
      <w:r>
        <w:rPr>
          <w:rFonts w:ascii="Times New Roman" w:hAnsi="Times New Roman"/>
          <w:color w:val="000000"/>
          <w:sz w:val="20"/>
        </w:rPr>
        <w:t xml:space="preserve">Business Name: River Park Hospital </w:t>
      </w:r>
    </w:p>
    <w:p>
      <w:pPr>
        <w:pStyle w:val="TextBody"/>
        <w:bidi w:val="0"/>
        <w:jc w:val="left"/>
        <w:rPr>
          <w:rFonts w:ascii="Times New Roman" w:hAnsi="Times New Roman"/>
          <w:sz w:val="20"/>
        </w:rPr>
      </w:pPr>
      <w:r>
        <w:rPr>
          <w:rFonts w:ascii="Times New Roman" w:hAnsi="Times New Roman"/>
          <w:b/>
          <w:color w:val="000000"/>
          <w:sz w:val="20"/>
        </w:rPr>
        <w:t>HHC South Carolina, Inc.</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Incorporated State: South Carolina </w:t>
      </w:r>
    </w:p>
    <w:p>
      <w:pPr>
        <w:pStyle w:val="TextBody"/>
        <w:bidi w:val="0"/>
        <w:jc w:val="left"/>
        <w:rPr>
          <w:rFonts w:ascii="Times New Roman" w:hAnsi="Times New Roman"/>
          <w:color w:val="000000"/>
          <w:sz w:val="20"/>
        </w:rPr>
      </w:pPr>
      <w:r>
        <w:rPr>
          <w:rFonts w:ascii="Times New Roman" w:hAnsi="Times New Roman"/>
          <w:color w:val="000000"/>
          <w:sz w:val="20"/>
        </w:rPr>
        <w:t xml:space="preserve">Business Name: Lighthouse Behavioral Health Hospital </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sz w:val="20"/>
        </w:rPr>
      </w:pPr>
      <w:r>
        <w:rPr>
          <w:rFonts w:ascii="Times New Roman" w:hAnsi="Times New Roman"/>
          <w:b/>
          <w:color w:val="000000"/>
          <w:sz w:val="20"/>
        </w:rPr>
        <w:t>HHC St. Simons, Inc.</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Incorporated State: Georgia </w:t>
      </w:r>
    </w:p>
    <w:p>
      <w:pPr>
        <w:pStyle w:val="TextBody"/>
        <w:bidi w:val="0"/>
        <w:jc w:val="left"/>
        <w:rPr>
          <w:rFonts w:ascii="Times New Roman" w:hAnsi="Times New Roman"/>
          <w:color w:val="000000"/>
          <w:sz w:val="20"/>
        </w:rPr>
      </w:pPr>
      <w:r>
        <w:rPr>
          <w:rFonts w:ascii="Times New Roman" w:hAnsi="Times New Roman"/>
          <w:color w:val="000000"/>
          <w:sz w:val="20"/>
        </w:rPr>
        <w:t xml:space="preserve">Business Name: Saint Simons By-The-Sea </w:t>
      </w:r>
    </w:p>
    <w:p>
      <w:pPr>
        <w:pStyle w:val="TextBody"/>
        <w:bidi w:val="0"/>
        <w:jc w:val="left"/>
        <w:rPr>
          <w:rFonts w:ascii="Times New Roman" w:hAnsi="Times New Roman"/>
          <w:sz w:val="20"/>
        </w:rPr>
      </w:pPr>
      <w:r>
        <w:rPr>
          <w:rFonts w:ascii="Times New Roman" w:hAnsi="Times New Roman"/>
          <w:b/>
          <w:color w:val="000000"/>
          <w:sz w:val="20"/>
        </w:rPr>
        <w:t>Hickory Trail Hospital, L.P.</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Incorporated State: Delaware </w:t>
      </w:r>
    </w:p>
    <w:p>
      <w:pPr>
        <w:pStyle w:val="TextBody"/>
        <w:bidi w:val="0"/>
        <w:jc w:val="left"/>
        <w:rPr>
          <w:rFonts w:ascii="Times New Roman" w:hAnsi="Times New Roman"/>
          <w:color w:val="000000"/>
          <w:sz w:val="20"/>
        </w:rPr>
      </w:pPr>
      <w:r>
        <w:rPr>
          <w:rFonts w:ascii="Times New Roman" w:hAnsi="Times New Roman"/>
          <w:color w:val="000000"/>
          <w:sz w:val="20"/>
        </w:rPr>
        <w:t xml:space="preserve">Business Name: Hickory Trail Hospital </w:t>
      </w:r>
    </w:p>
    <w:p>
      <w:pPr>
        <w:pStyle w:val="TextBody"/>
        <w:bidi w:val="0"/>
        <w:jc w:val="left"/>
        <w:rPr>
          <w:rFonts w:ascii="Times New Roman" w:hAnsi="Times New Roman"/>
          <w:sz w:val="20"/>
        </w:rPr>
      </w:pPr>
      <w:r>
        <w:rPr>
          <w:rFonts w:ascii="Times New Roman" w:hAnsi="Times New Roman"/>
          <w:b/>
          <w:color w:val="000000"/>
          <w:sz w:val="20"/>
        </w:rPr>
        <w:t>Hidalgo County Clinical Services, Inc.</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Incorporated State: Texas </w:t>
      </w:r>
    </w:p>
    <w:p>
      <w:pPr>
        <w:pStyle w:val="TextBody"/>
        <w:bidi w:val="0"/>
        <w:jc w:val="left"/>
        <w:rPr>
          <w:rFonts w:ascii="Times New Roman" w:hAnsi="Times New Roman"/>
          <w:sz w:val="20"/>
        </w:rPr>
      </w:pPr>
      <w:r>
        <w:rPr>
          <w:rFonts w:ascii="Times New Roman" w:hAnsi="Times New Roman"/>
          <w:b/>
          <w:color w:val="000000"/>
          <w:sz w:val="20"/>
        </w:rPr>
        <w:t>High Plains Behavioral Health, L.P.</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Incorporated State: Delaware </w:t>
      </w:r>
    </w:p>
    <w:p>
      <w:pPr>
        <w:pStyle w:val="TextBody"/>
        <w:bidi w:val="0"/>
        <w:jc w:val="left"/>
        <w:rPr>
          <w:rFonts w:ascii="Times New Roman" w:hAnsi="Times New Roman"/>
          <w:sz w:val="20"/>
        </w:rPr>
      </w:pPr>
      <w:r>
        <w:rPr>
          <w:rFonts w:ascii="Times New Roman" w:hAnsi="Times New Roman"/>
          <w:b/>
          <w:color w:val="000000"/>
          <w:sz w:val="20"/>
        </w:rPr>
        <w:t>Holly Hill Hospital, LLC</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Incorporated State: Tennessee </w:t>
      </w:r>
    </w:p>
    <w:p>
      <w:pPr>
        <w:pStyle w:val="TextBody"/>
        <w:bidi w:val="0"/>
        <w:jc w:val="left"/>
        <w:rPr>
          <w:rFonts w:ascii="Times New Roman" w:hAnsi="Times New Roman"/>
          <w:color w:val="000000"/>
          <w:sz w:val="20"/>
        </w:rPr>
      </w:pPr>
      <w:r>
        <w:rPr>
          <w:rFonts w:ascii="Times New Roman" w:hAnsi="Times New Roman"/>
          <w:color w:val="000000"/>
          <w:sz w:val="20"/>
        </w:rPr>
        <w:t xml:space="preserve">Business Name: Holly Hill Hospital </w:t>
      </w:r>
    </w:p>
    <w:p>
      <w:pPr>
        <w:pStyle w:val="TextBody"/>
        <w:bidi w:val="0"/>
        <w:jc w:val="left"/>
        <w:rPr>
          <w:rFonts w:ascii="Times New Roman" w:hAnsi="Times New Roman"/>
          <w:sz w:val="20"/>
        </w:rPr>
      </w:pPr>
      <w:r>
        <w:rPr>
          <w:rFonts w:ascii="Times New Roman" w:hAnsi="Times New Roman"/>
          <w:b/>
          <w:color w:val="000000"/>
          <w:sz w:val="20"/>
        </w:rPr>
        <w:t>Holly Hill Real Estate, LLC</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Incorporated State: North Carolina </w:t>
      </w:r>
    </w:p>
    <w:p>
      <w:pPr>
        <w:pStyle w:val="TextBody"/>
        <w:bidi w:val="0"/>
        <w:jc w:val="left"/>
        <w:rPr>
          <w:rFonts w:ascii="Times New Roman" w:hAnsi="Times New Roman"/>
          <w:sz w:val="20"/>
        </w:rPr>
      </w:pPr>
      <w:r>
        <w:rPr>
          <w:rFonts w:ascii="Times New Roman" w:hAnsi="Times New Roman"/>
          <w:b/>
          <w:color w:val="000000"/>
          <w:sz w:val="20"/>
        </w:rPr>
        <w:t>HOPE Crisis Stabilization Unit</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Incorporated State: California</w:t>
      </w:r>
    </w:p>
    <w:p>
      <w:pPr>
        <w:pStyle w:val="TextBody"/>
        <w:bidi w:val="0"/>
        <w:jc w:val="left"/>
        <w:rPr>
          <w:rFonts w:ascii="Times New Roman" w:hAnsi="Times New Roman"/>
          <w:sz w:val="20"/>
        </w:rPr>
      </w:pPr>
      <w:r>
        <w:rPr>
          <w:rFonts w:ascii="Times New Roman" w:hAnsi="Times New Roman"/>
          <w:b/>
          <w:color w:val="000000"/>
          <w:sz w:val="20"/>
        </w:rPr>
        <w:t>Horizon Health Austin, Inc.</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Incorporated State: Texas </w:t>
      </w:r>
    </w:p>
    <w:p>
      <w:pPr>
        <w:pStyle w:val="TextBody"/>
        <w:bidi w:val="0"/>
        <w:jc w:val="left"/>
        <w:rPr>
          <w:rFonts w:ascii="Times New Roman" w:hAnsi="Times New Roman"/>
          <w:sz w:val="20"/>
        </w:rPr>
      </w:pPr>
      <w:r>
        <w:rPr>
          <w:rFonts w:ascii="Times New Roman" w:hAnsi="Times New Roman"/>
          <w:b/>
          <w:color w:val="000000"/>
          <w:sz w:val="20"/>
        </w:rPr>
        <w:t>Horizon Health Corporation</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Incorporated State: Delaware </w:t>
      </w:r>
    </w:p>
    <w:p>
      <w:pPr>
        <w:pStyle w:val="TextBody"/>
        <w:bidi w:val="0"/>
        <w:jc w:val="left"/>
        <w:rPr>
          <w:rFonts w:ascii="Times New Roman" w:hAnsi="Times New Roman"/>
          <w:sz w:val="20"/>
        </w:rPr>
      </w:pPr>
      <w:r>
        <w:rPr>
          <w:rFonts w:ascii="Times New Roman" w:hAnsi="Times New Roman"/>
          <w:b/>
          <w:color w:val="000000"/>
          <w:sz w:val="20"/>
        </w:rPr>
        <w:t>Horizon Health Hospital Services, LLC</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Incorporated State: Delaware </w:t>
      </w:r>
    </w:p>
    <w:p>
      <w:pPr>
        <w:pStyle w:val="TextBody"/>
        <w:bidi w:val="0"/>
        <w:jc w:val="left"/>
        <w:rPr>
          <w:rFonts w:ascii="Times New Roman" w:hAnsi="Times New Roman"/>
          <w:sz w:val="20"/>
        </w:rPr>
      </w:pPr>
      <w:r>
        <w:rPr>
          <w:rFonts w:ascii="Times New Roman" w:hAnsi="Times New Roman"/>
          <w:b/>
          <w:color w:val="000000"/>
          <w:sz w:val="20"/>
        </w:rPr>
        <w:t>Horizon Health Physical Rehabilitation Services, LLC</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Incorporated State: Delaware </w:t>
      </w:r>
    </w:p>
    <w:p>
      <w:pPr>
        <w:pStyle w:val="TextBody"/>
        <w:bidi w:val="0"/>
        <w:jc w:val="left"/>
        <w:rPr>
          <w:rFonts w:ascii="Times New Roman" w:hAnsi="Times New Roman"/>
          <w:sz w:val="20"/>
        </w:rPr>
      </w:pPr>
      <w:r>
        <w:rPr>
          <w:rFonts w:ascii="Times New Roman" w:hAnsi="Times New Roman"/>
          <w:b/>
          <w:color w:val="000000"/>
          <w:sz w:val="20"/>
        </w:rPr>
        <w:t>Horizon Mental Health Management, LLC</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Incorporated State: Texas </w:t>
      </w:r>
    </w:p>
    <w:p>
      <w:pPr>
        <w:pStyle w:val="TextBody"/>
        <w:bidi w:val="0"/>
        <w:jc w:val="left"/>
        <w:rPr>
          <w:rFonts w:ascii="Times New Roman" w:hAnsi="Times New Roman"/>
          <w:sz w:val="20"/>
        </w:rPr>
      </w:pPr>
      <w:r>
        <w:rPr>
          <w:rFonts w:ascii="Times New Roman" w:hAnsi="Times New Roman"/>
          <w:b/>
          <w:color w:val="000000"/>
          <w:sz w:val="20"/>
        </w:rPr>
        <w:t>HRI Clinics, Inc.</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Incorporated State: Massachusetts </w:t>
      </w:r>
    </w:p>
    <w:p>
      <w:pPr>
        <w:pStyle w:val="TextBody"/>
        <w:bidi w:val="0"/>
        <w:jc w:val="left"/>
        <w:rPr>
          <w:rFonts w:ascii="Times New Roman" w:hAnsi="Times New Roman"/>
          <w:color w:val="000000"/>
          <w:sz w:val="20"/>
        </w:rPr>
      </w:pPr>
      <w:r>
        <w:rPr>
          <w:rFonts w:ascii="Times New Roman" w:hAnsi="Times New Roman"/>
          <w:color w:val="000000"/>
          <w:sz w:val="20"/>
        </w:rPr>
        <w:t xml:space="preserve">Business Name: Arbour Counseling Services </w:t>
      </w:r>
    </w:p>
    <w:p>
      <w:pPr>
        <w:pStyle w:val="TextBody"/>
        <w:bidi w:val="0"/>
        <w:jc w:val="left"/>
        <w:rPr>
          <w:rFonts w:ascii="Times New Roman" w:hAnsi="Times New Roman"/>
          <w:b/>
          <w:color w:val="000000"/>
          <w:sz w:val="20"/>
        </w:rPr>
      </w:pPr>
      <w:r>
        <w:rPr>
          <w:rFonts w:ascii="Times New Roman" w:hAnsi="Times New Roman"/>
          <w:b/>
          <w:color w:val="000000"/>
          <w:sz w:val="20"/>
        </w:rPr>
        <w:t>HRI Hospital, Inc.</w:t>
      </w:r>
    </w:p>
    <w:p>
      <w:pPr>
        <w:pStyle w:val="TextBody"/>
        <w:bidi w:val="0"/>
        <w:jc w:val="left"/>
        <w:rPr>
          <w:rFonts w:ascii="Times New Roman" w:hAnsi="Times New Roman"/>
          <w:color w:val="000000"/>
          <w:sz w:val="20"/>
        </w:rPr>
      </w:pPr>
      <w:r>
        <w:rPr>
          <w:rFonts w:ascii="Times New Roman" w:hAnsi="Times New Roman"/>
          <w:color w:val="000000"/>
          <w:sz w:val="20"/>
        </w:rPr>
        <w:t xml:space="preserve">Incorporated State: Massachusetts </w:t>
      </w:r>
    </w:p>
    <w:p>
      <w:pPr>
        <w:pStyle w:val="TextBody"/>
        <w:bidi w:val="0"/>
        <w:jc w:val="left"/>
        <w:rPr>
          <w:rFonts w:ascii="Times New Roman" w:hAnsi="Times New Roman"/>
          <w:color w:val="000000"/>
          <w:sz w:val="20"/>
        </w:rPr>
      </w:pPr>
      <w:r>
        <w:rPr>
          <w:rFonts w:ascii="Times New Roman" w:hAnsi="Times New Roman"/>
          <w:color w:val="000000"/>
          <w:sz w:val="20"/>
        </w:rPr>
        <w:t xml:space="preserve">Business Name: HRI Hospital </w:t>
      </w:r>
    </w:p>
    <w:p>
      <w:pPr>
        <w:pStyle w:val="TextBody"/>
        <w:bidi w:val="0"/>
        <w:jc w:val="left"/>
        <w:rPr>
          <w:rFonts w:ascii="Times New Roman" w:hAnsi="Times New Roman"/>
          <w:sz w:val="20"/>
        </w:rPr>
      </w:pPr>
      <w:r>
        <w:rPr>
          <w:rFonts w:ascii="Times New Roman" w:hAnsi="Times New Roman"/>
          <w:b/>
          <w:color w:val="000000"/>
          <w:sz w:val="20"/>
        </w:rPr>
        <w:t>HSA Hill Crest Corporation</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Incorporated State: Alabama </w:t>
      </w:r>
    </w:p>
    <w:p>
      <w:pPr>
        <w:pStyle w:val="TextBody"/>
        <w:bidi w:val="0"/>
        <w:jc w:val="left"/>
        <w:rPr>
          <w:rFonts w:ascii="Times New Roman" w:hAnsi="Times New Roman"/>
          <w:b/>
          <w:color w:val="000000"/>
          <w:sz w:val="20"/>
        </w:rPr>
      </w:pPr>
      <w:r>
        <w:rPr>
          <w:rFonts w:ascii="Times New Roman" w:hAnsi="Times New Roman"/>
          <w:b/>
          <w:color w:val="000000"/>
          <w:sz w:val="20"/>
        </w:rPr>
        <w:t>Hughes Center, LLC</w:t>
      </w:r>
    </w:p>
    <w:p>
      <w:pPr>
        <w:pStyle w:val="TextBody"/>
        <w:bidi w:val="0"/>
        <w:jc w:val="left"/>
        <w:rPr>
          <w:rFonts w:ascii="Times New Roman" w:hAnsi="Times New Roman"/>
          <w:color w:val="000000"/>
          <w:sz w:val="20"/>
        </w:rPr>
      </w:pPr>
      <w:r>
        <w:rPr>
          <w:rFonts w:ascii="Times New Roman" w:hAnsi="Times New Roman"/>
          <w:color w:val="000000"/>
          <w:sz w:val="20"/>
        </w:rPr>
        <w:t xml:space="preserve">Incorporated State: Virginia </w:t>
      </w:r>
    </w:p>
    <w:p>
      <w:pPr>
        <w:pStyle w:val="TextBody"/>
        <w:bidi w:val="0"/>
        <w:jc w:val="left"/>
        <w:rPr>
          <w:rFonts w:ascii="Times New Roman" w:hAnsi="Times New Roman"/>
          <w:color w:val="000000"/>
          <w:sz w:val="20"/>
        </w:rPr>
      </w:pPr>
      <w:r>
        <w:rPr>
          <w:rFonts w:ascii="Times New Roman" w:hAnsi="Times New Roman"/>
          <w:color w:val="000000"/>
          <w:sz w:val="20"/>
        </w:rPr>
        <w:t xml:space="preserve">Business Name: The Hughes Center </w:t>
      </w:r>
    </w:p>
    <w:p>
      <w:pPr>
        <w:pStyle w:val="TextBody"/>
        <w:bidi w:val="0"/>
        <w:jc w:val="left"/>
        <w:rPr>
          <w:rFonts w:ascii="Times New Roman" w:hAnsi="Times New Roman"/>
          <w:sz w:val="20"/>
        </w:rPr>
      </w:pPr>
      <w:r>
        <w:rPr>
          <w:rFonts w:ascii="Times New Roman" w:hAnsi="Times New Roman"/>
          <w:b/>
          <w:color w:val="000000"/>
          <w:sz w:val="20"/>
        </w:rPr>
        <w:t>Independence Aiken, LLC</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Incorporated State: Delaware </w:t>
      </w:r>
    </w:p>
    <w:p>
      <w:pPr>
        <w:pStyle w:val="TextBody"/>
        <w:bidi w:val="0"/>
        <w:jc w:val="left"/>
        <w:rPr>
          <w:rFonts w:ascii="Times New Roman" w:hAnsi="Times New Roman"/>
          <w:sz w:val="20"/>
        </w:rPr>
      </w:pPr>
      <w:r>
        <w:rPr>
          <w:rFonts w:ascii="Times New Roman" w:hAnsi="Times New Roman"/>
          <w:b/>
          <w:color w:val="000000"/>
          <w:sz w:val="20"/>
        </w:rPr>
        <w:t>Independence Amarillo, LLC</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Incorporated State: Delaware </w:t>
      </w:r>
    </w:p>
    <w:p>
      <w:pPr>
        <w:pStyle w:val="TextBody"/>
        <w:bidi w:val="0"/>
        <w:jc w:val="left"/>
        <w:rPr>
          <w:rFonts w:ascii="Times New Roman" w:hAnsi="Times New Roman"/>
          <w:b/>
          <w:color w:val="000000"/>
          <w:sz w:val="20"/>
        </w:rPr>
      </w:pPr>
      <w:r>
        <w:rPr>
          <w:rFonts w:ascii="Times New Roman" w:hAnsi="Times New Roman"/>
          <w:b/>
          <w:color w:val="000000"/>
          <w:sz w:val="20"/>
        </w:rPr>
        <w:t>Independence Anesthesia, LLC</w:t>
      </w:r>
    </w:p>
    <w:p>
      <w:pPr>
        <w:pStyle w:val="TextBody"/>
        <w:bidi w:val="0"/>
        <w:jc w:val="left"/>
        <w:rPr>
          <w:rFonts w:ascii="Times New Roman" w:hAnsi="Times New Roman"/>
          <w:color w:val="000000"/>
          <w:sz w:val="20"/>
        </w:rPr>
      </w:pPr>
      <w:r>
        <w:rPr>
          <w:rFonts w:ascii="Times New Roman" w:hAnsi="Times New Roman"/>
          <w:color w:val="000000"/>
          <w:sz w:val="20"/>
        </w:rPr>
        <w:t>Incorporated State: Florida</w:t>
      </w:r>
    </w:p>
    <w:p>
      <w:pPr>
        <w:pStyle w:val="TextBody"/>
        <w:bidi w:val="0"/>
        <w:jc w:val="left"/>
        <w:rPr>
          <w:rFonts w:ascii="Times New Roman" w:hAnsi="Times New Roman"/>
          <w:b/>
          <w:color w:val="000000"/>
          <w:sz w:val="20"/>
        </w:rPr>
      </w:pPr>
      <w:r>
        <w:rPr>
          <w:rFonts w:ascii="Times New Roman" w:hAnsi="Times New Roman"/>
          <w:b/>
          <w:color w:val="000000"/>
          <w:sz w:val="20"/>
        </w:rPr>
        <w:t>Independence Anesthesia of South Carolina, LLC</w:t>
      </w:r>
    </w:p>
    <w:p>
      <w:pPr>
        <w:pStyle w:val="TextBody"/>
        <w:bidi w:val="0"/>
        <w:jc w:val="left"/>
        <w:rPr>
          <w:rFonts w:ascii="Times New Roman" w:hAnsi="Times New Roman"/>
          <w:color w:val="000000"/>
          <w:sz w:val="20"/>
        </w:rPr>
      </w:pPr>
      <w:r>
        <w:rPr>
          <w:rFonts w:ascii="Times New Roman" w:hAnsi="Times New Roman"/>
          <w:color w:val="000000"/>
          <w:sz w:val="20"/>
        </w:rPr>
        <w:t>Incorporated State: South Carolina</w:t>
      </w:r>
    </w:p>
    <w:p>
      <w:pPr>
        <w:pStyle w:val="TextBody"/>
        <w:bidi w:val="0"/>
        <w:jc w:val="left"/>
        <w:rPr>
          <w:rFonts w:ascii="Times New Roman" w:hAnsi="Times New Roman"/>
          <w:sz w:val="20"/>
        </w:rPr>
      </w:pPr>
      <w:r>
        <w:rPr>
          <w:rFonts w:ascii="Times New Roman" w:hAnsi="Times New Roman"/>
          <w:b/>
          <w:color w:val="000000"/>
          <w:sz w:val="20"/>
        </w:rPr>
        <w:t>Independence Denison, LLC</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Incorporated State: Delaware </w:t>
      </w:r>
    </w:p>
    <w:p>
      <w:pPr>
        <w:pStyle w:val="TextBody"/>
        <w:bidi w:val="0"/>
        <w:jc w:val="left"/>
        <w:rPr>
          <w:rFonts w:ascii="Times New Roman" w:hAnsi="Times New Roman"/>
          <w:sz w:val="20"/>
        </w:rPr>
      </w:pPr>
      <w:r>
        <w:rPr>
          <w:rFonts w:ascii="Times New Roman" w:hAnsi="Times New Roman"/>
          <w:b/>
          <w:color w:val="000000"/>
          <w:sz w:val="20"/>
        </w:rPr>
        <w:t>Independence Enid, LLC</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Incorporated State: Delaware </w:t>
      </w:r>
    </w:p>
    <w:p>
      <w:pPr>
        <w:pStyle w:val="TextBody"/>
        <w:bidi w:val="0"/>
        <w:jc w:val="left"/>
        <w:rPr>
          <w:rFonts w:ascii="Times New Roman" w:hAnsi="Times New Roman"/>
          <w:b/>
          <w:color w:val="000000"/>
          <w:sz w:val="20"/>
        </w:rPr>
      </w:pPr>
      <w:r>
        <w:rPr>
          <w:rFonts w:ascii="Times New Roman" w:hAnsi="Times New Roman"/>
          <w:b/>
          <w:color w:val="000000"/>
          <w:sz w:val="20"/>
        </w:rPr>
        <w:t>Independence Kaizen, LLC</w:t>
      </w:r>
    </w:p>
    <w:p>
      <w:pPr>
        <w:pStyle w:val="TextBody"/>
        <w:bidi w:val="0"/>
        <w:jc w:val="left"/>
        <w:rPr>
          <w:rFonts w:ascii="Times New Roman" w:hAnsi="Times New Roman"/>
          <w:color w:val="000000"/>
          <w:sz w:val="20"/>
        </w:rPr>
      </w:pPr>
      <w:r>
        <w:rPr>
          <w:rFonts w:ascii="Times New Roman" w:hAnsi="Times New Roman"/>
          <w:color w:val="000000"/>
          <w:sz w:val="20"/>
        </w:rPr>
        <w:t>Incorporated State: Delaware</w:t>
      </w:r>
    </w:p>
    <w:p>
      <w:pPr>
        <w:pStyle w:val="TextBody"/>
        <w:bidi w:val="0"/>
        <w:jc w:val="left"/>
        <w:rPr>
          <w:rFonts w:ascii="Times New Roman" w:hAnsi="Times New Roman"/>
          <w:sz w:val="20"/>
        </w:rPr>
      </w:pPr>
      <w:r>
        <w:rPr>
          <w:rFonts w:ascii="Times New Roman" w:hAnsi="Times New Roman"/>
          <w:b/>
          <w:color w:val="000000"/>
          <w:sz w:val="20"/>
        </w:rPr>
        <w:t>Independence Laredo, LLC</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Incorporated State: Delaware </w:t>
      </w:r>
    </w:p>
    <w:p>
      <w:pPr>
        <w:pStyle w:val="TextBody"/>
        <w:bidi w:val="0"/>
        <w:jc w:val="left"/>
        <w:rPr>
          <w:rFonts w:ascii="Times New Roman" w:hAnsi="Times New Roman"/>
          <w:sz w:val="20"/>
        </w:rPr>
      </w:pPr>
      <w:r>
        <w:rPr>
          <w:rFonts w:ascii="Times New Roman" w:hAnsi="Times New Roman"/>
          <w:b/>
          <w:color w:val="000000"/>
          <w:sz w:val="20"/>
        </w:rPr>
        <w:t>Independence Las Vegas, LLC</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Incorporated State: Delaware </w:t>
      </w:r>
    </w:p>
    <w:p>
      <w:pPr>
        <w:pStyle w:val="TextBody"/>
        <w:bidi w:val="0"/>
        <w:jc w:val="left"/>
        <w:rPr>
          <w:rFonts w:ascii="Times New Roman" w:hAnsi="Times New Roman"/>
          <w:sz w:val="20"/>
        </w:rPr>
      </w:pPr>
      <w:r>
        <w:rPr>
          <w:rFonts w:ascii="Times New Roman" w:hAnsi="Times New Roman"/>
          <w:b/>
          <w:color w:val="000000"/>
          <w:sz w:val="20"/>
        </w:rPr>
        <w:t>Independence Manatee, LLC</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Incorporated State: Delaware </w:t>
      </w:r>
    </w:p>
    <w:p>
      <w:pPr>
        <w:pStyle w:val="TextBody"/>
        <w:bidi w:val="0"/>
        <w:jc w:val="left"/>
        <w:rPr>
          <w:rFonts w:ascii="Times New Roman" w:hAnsi="Times New Roman"/>
          <w:sz w:val="20"/>
        </w:rPr>
      </w:pPr>
      <w:r>
        <w:rPr>
          <w:rFonts w:ascii="Times New Roman" w:hAnsi="Times New Roman"/>
          <w:b/>
          <w:color w:val="000000"/>
          <w:sz w:val="20"/>
        </w:rPr>
        <w:t>Independence McAllen, LLC</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Incorporated State: Delaware </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sz w:val="20"/>
        </w:rPr>
      </w:pPr>
      <w:r>
        <w:rPr>
          <w:rFonts w:ascii="Times New Roman" w:hAnsi="Times New Roman"/>
          <w:b/>
          <w:color w:val="000000"/>
          <w:sz w:val="20"/>
        </w:rPr>
        <w:t>Independence Physician Management, LLC</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Incorporated State: Delaware </w:t>
      </w:r>
    </w:p>
    <w:p>
      <w:pPr>
        <w:pStyle w:val="TextBody"/>
        <w:bidi w:val="0"/>
        <w:jc w:val="left"/>
        <w:rPr>
          <w:rFonts w:ascii="Times New Roman" w:hAnsi="Times New Roman"/>
          <w:b/>
          <w:color w:val="000000"/>
          <w:sz w:val="20"/>
        </w:rPr>
      </w:pPr>
      <w:r>
        <w:rPr>
          <w:rFonts w:ascii="Times New Roman" w:hAnsi="Times New Roman"/>
          <w:b/>
          <w:color w:val="000000"/>
          <w:sz w:val="20"/>
        </w:rPr>
        <w:t>Independence Shared Services, LLC</w:t>
      </w:r>
    </w:p>
    <w:p>
      <w:pPr>
        <w:pStyle w:val="TextBody"/>
        <w:bidi w:val="0"/>
        <w:jc w:val="left"/>
        <w:rPr>
          <w:rFonts w:ascii="Times New Roman" w:hAnsi="Times New Roman"/>
          <w:color w:val="000000"/>
          <w:sz w:val="20"/>
        </w:rPr>
      </w:pPr>
      <w:r>
        <w:rPr>
          <w:rFonts w:ascii="Times New Roman" w:hAnsi="Times New Roman"/>
          <w:color w:val="000000"/>
          <w:sz w:val="20"/>
        </w:rPr>
        <w:t>Incorporated State: Delaware</w:t>
      </w:r>
    </w:p>
    <w:p>
      <w:pPr>
        <w:pStyle w:val="TextBody"/>
        <w:bidi w:val="0"/>
        <w:jc w:val="left"/>
        <w:rPr>
          <w:rFonts w:ascii="Times New Roman" w:hAnsi="Times New Roman"/>
          <w:sz w:val="20"/>
        </w:rPr>
      </w:pPr>
      <w:r>
        <w:rPr>
          <w:rFonts w:ascii="Times New Roman" w:hAnsi="Times New Roman"/>
          <w:b/>
          <w:color w:val="000000"/>
          <w:sz w:val="20"/>
        </w:rPr>
        <w:t>Independence Southern California, LLC</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Incorporated State: Delaware </w:t>
      </w:r>
    </w:p>
    <w:p>
      <w:pPr>
        <w:pStyle w:val="TextBody"/>
        <w:bidi w:val="0"/>
        <w:jc w:val="left"/>
        <w:rPr>
          <w:rFonts w:ascii="Times New Roman" w:hAnsi="Times New Roman"/>
          <w:sz w:val="20"/>
        </w:rPr>
      </w:pPr>
      <w:r>
        <w:rPr>
          <w:rFonts w:ascii="Times New Roman" w:hAnsi="Times New Roman"/>
          <w:b/>
          <w:color w:val="000000"/>
          <w:sz w:val="20"/>
        </w:rPr>
        <w:t>Independence Sparks, LLC</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Incorporated State: Delaware </w:t>
      </w:r>
    </w:p>
    <w:p>
      <w:pPr>
        <w:pStyle w:val="TextBody"/>
        <w:bidi w:val="0"/>
        <w:jc w:val="left"/>
        <w:rPr>
          <w:rFonts w:ascii="Times New Roman" w:hAnsi="Times New Roman"/>
          <w:sz w:val="20"/>
        </w:rPr>
      </w:pPr>
      <w:r>
        <w:rPr>
          <w:rFonts w:ascii="Times New Roman" w:hAnsi="Times New Roman"/>
          <w:b/>
          <w:color w:val="000000"/>
          <w:sz w:val="20"/>
        </w:rPr>
        <w:t>Independence Wellington, LLC</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Incorporated State: Delaware </w:t>
      </w:r>
    </w:p>
    <w:p>
      <w:pPr>
        <w:pStyle w:val="TextBody"/>
        <w:bidi w:val="0"/>
        <w:jc w:val="left"/>
        <w:rPr>
          <w:rFonts w:ascii="Times New Roman" w:hAnsi="Times New Roman"/>
          <w:sz w:val="20"/>
        </w:rPr>
      </w:pPr>
      <w:r>
        <w:rPr>
          <w:rFonts w:ascii="Times New Roman" w:hAnsi="Times New Roman"/>
          <w:b/>
          <w:color w:val="000000"/>
          <w:sz w:val="20"/>
        </w:rPr>
        <w:t>Indiana Psychiatric Institutes, LLC</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Incorporated State: Delaware </w:t>
      </w:r>
    </w:p>
    <w:p>
      <w:pPr>
        <w:pStyle w:val="TextBody"/>
        <w:bidi w:val="0"/>
        <w:jc w:val="left"/>
        <w:rPr>
          <w:rFonts w:ascii="Times New Roman" w:hAnsi="Times New Roman"/>
          <w:sz w:val="20"/>
        </w:rPr>
      </w:pPr>
      <w:r>
        <w:rPr>
          <w:rFonts w:ascii="Times New Roman" w:hAnsi="Times New Roman"/>
          <w:b/>
          <w:color w:val="000000"/>
          <w:sz w:val="20"/>
        </w:rPr>
        <w:t>InfoScriber Corporation</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Incorporated State: Delaware </w:t>
      </w:r>
    </w:p>
    <w:p>
      <w:pPr>
        <w:pStyle w:val="TextBody"/>
        <w:bidi w:val="0"/>
        <w:jc w:val="left"/>
        <w:rPr>
          <w:rFonts w:ascii="Times New Roman" w:hAnsi="Times New Roman"/>
          <w:b/>
          <w:color w:val="000000"/>
          <w:sz w:val="20"/>
        </w:rPr>
      </w:pPr>
      <w:r>
        <w:rPr>
          <w:rFonts w:ascii="Times New Roman" w:hAnsi="Times New Roman"/>
          <w:b/>
          <w:color w:val="000000"/>
          <w:sz w:val="20"/>
        </w:rPr>
        <w:t>IPM Holding Sub, LLC</w:t>
      </w:r>
    </w:p>
    <w:p>
      <w:pPr>
        <w:pStyle w:val="TextBody"/>
        <w:bidi w:val="0"/>
        <w:jc w:val="left"/>
        <w:rPr>
          <w:rFonts w:ascii="Times New Roman" w:hAnsi="Times New Roman"/>
          <w:color w:val="000000"/>
          <w:sz w:val="20"/>
        </w:rPr>
      </w:pPr>
      <w:r>
        <w:rPr>
          <w:rFonts w:ascii="Times New Roman" w:hAnsi="Times New Roman"/>
          <w:color w:val="000000"/>
          <w:sz w:val="20"/>
        </w:rPr>
        <w:t>Incorporated State: Delaware</w:t>
      </w:r>
    </w:p>
    <w:p>
      <w:pPr>
        <w:pStyle w:val="TextBody"/>
        <w:bidi w:val="0"/>
        <w:jc w:val="left"/>
        <w:rPr>
          <w:rFonts w:ascii="Times New Roman" w:hAnsi="Times New Roman"/>
          <w:b/>
          <w:color w:val="000000"/>
          <w:sz w:val="20"/>
        </w:rPr>
      </w:pPr>
      <w:r>
        <w:rPr>
          <w:rFonts w:ascii="Times New Roman" w:hAnsi="Times New Roman"/>
          <w:b/>
          <w:color w:val="000000"/>
          <w:sz w:val="20"/>
        </w:rPr>
        <w:t>IPM SoCal Management, LLC</w:t>
      </w:r>
    </w:p>
    <w:p>
      <w:pPr>
        <w:pStyle w:val="TextBody"/>
        <w:bidi w:val="0"/>
        <w:jc w:val="left"/>
        <w:rPr>
          <w:rFonts w:ascii="Times New Roman" w:hAnsi="Times New Roman"/>
          <w:color w:val="000000"/>
          <w:sz w:val="20"/>
        </w:rPr>
      </w:pPr>
      <w:r>
        <w:rPr>
          <w:rFonts w:ascii="Times New Roman" w:hAnsi="Times New Roman"/>
          <w:color w:val="000000"/>
          <w:sz w:val="20"/>
        </w:rPr>
        <w:t>Incorporated State: Delaware</w:t>
      </w:r>
    </w:p>
    <w:p>
      <w:pPr>
        <w:pStyle w:val="TextBody"/>
        <w:bidi w:val="0"/>
        <w:jc w:val="left"/>
        <w:rPr>
          <w:rFonts w:ascii="Times New Roman" w:hAnsi="Times New Roman"/>
          <w:b/>
          <w:color w:val="000000"/>
          <w:sz w:val="20"/>
        </w:rPr>
      </w:pPr>
      <w:r>
        <w:rPr>
          <w:rFonts w:ascii="Times New Roman" w:hAnsi="Times New Roman"/>
          <w:b/>
          <w:color w:val="000000"/>
          <w:sz w:val="20"/>
        </w:rPr>
        <w:t>Isand Limited</w:t>
      </w:r>
    </w:p>
    <w:p>
      <w:pPr>
        <w:pStyle w:val="TextBody"/>
        <w:bidi w:val="0"/>
        <w:jc w:val="left"/>
        <w:rPr>
          <w:rFonts w:ascii="Times New Roman" w:hAnsi="Times New Roman"/>
          <w:color w:val="000000"/>
          <w:sz w:val="20"/>
        </w:rPr>
      </w:pPr>
      <w:r>
        <w:rPr>
          <w:rFonts w:ascii="Times New Roman" w:hAnsi="Times New Roman"/>
          <w:color w:val="000000"/>
          <w:sz w:val="20"/>
        </w:rPr>
        <w:t>Incorporated State: United Kingdom</w:t>
      </w:r>
    </w:p>
    <w:p>
      <w:pPr>
        <w:pStyle w:val="TextBody"/>
        <w:bidi w:val="0"/>
        <w:jc w:val="left"/>
        <w:rPr>
          <w:rFonts w:ascii="Times New Roman" w:hAnsi="Times New Roman"/>
          <w:color w:val="000000"/>
          <w:sz w:val="20"/>
        </w:rPr>
      </w:pPr>
      <w:r>
        <w:rPr>
          <w:rFonts w:ascii="Times New Roman" w:hAnsi="Times New Roman"/>
          <w:color w:val="000000"/>
          <w:sz w:val="20"/>
        </w:rPr>
        <w:t>Business Name: Beckly, Hawkstone, Langdale House, Outwood, Oxley Woodhouse andThornfield House and Supported Living in Leeds (Oxley Woodhouse)</w:t>
      </w:r>
    </w:p>
    <w:p>
      <w:pPr>
        <w:pStyle w:val="TextBody"/>
        <w:bidi w:val="0"/>
        <w:jc w:val="left"/>
        <w:rPr>
          <w:rFonts w:ascii="Times New Roman" w:hAnsi="Times New Roman"/>
          <w:b/>
          <w:color w:val="000000"/>
          <w:sz w:val="20"/>
        </w:rPr>
      </w:pPr>
      <w:r>
        <w:rPr>
          <w:rFonts w:ascii="Times New Roman" w:hAnsi="Times New Roman"/>
          <w:b/>
          <w:color w:val="000000"/>
          <w:sz w:val="20"/>
        </w:rPr>
        <w:t>Isand (Domiciliary Care) Limited</w:t>
      </w:r>
    </w:p>
    <w:p>
      <w:pPr>
        <w:pStyle w:val="TextBody"/>
        <w:bidi w:val="0"/>
        <w:jc w:val="left"/>
        <w:rPr>
          <w:rFonts w:ascii="Times New Roman" w:hAnsi="Times New Roman"/>
          <w:color w:val="000000"/>
          <w:sz w:val="20"/>
        </w:rPr>
      </w:pPr>
      <w:r>
        <w:rPr>
          <w:rFonts w:ascii="Times New Roman" w:hAnsi="Times New Roman"/>
          <w:color w:val="000000"/>
          <w:sz w:val="20"/>
        </w:rPr>
        <w:t>Incorporated State: United Kingdom</w:t>
      </w:r>
    </w:p>
    <w:p>
      <w:pPr>
        <w:pStyle w:val="TextBody"/>
        <w:bidi w:val="0"/>
        <w:jc w:val="left"/>
        <w:rPr>
          <w:rFonts w:ascii="Times New Roman" w:hAnsi="Times New Roman"/>
          <w:color w:val="000000"/>
          <w:sz w:val="20"/>
        </w:rPr>
      </w:pPr>
      <w:r>
        <w:rPr>
          <w:rFonts w:ascii="Times New Roman" w:hAnsi="Times New Roman"/>
          <w:color w:val="000000"/>
          <w:sz w:val="20"/>
        </w:rPr>
        <w:t xml:space="preserve">Business Name: Supported Living in Huddersfield (Ashfield), Supported Living in Huddersfield (Gledcliffe) and Langdale House </w:t>
      </w:r>
    </w:p>
    <w:p>
      <w:pPr>
        <w:pStyle w:val="TextBody"/>
        <w:bidi w:val="0"/>
        <w:jc w:val="left"/>
        <w:rPr>
          <w:rFonts w:ascii="Times New Roman" w:hAnsi="Times New Roman"/>
          <w:sz w:val="20"/>
        </w:rPr>
      </w:pPr>
      <w:r>
        <w:rPr>
          <w:rFonts w:ascii="Times New Roman" w:hAnsi="Times New Roman"/>
          <w:b/>
          <w:color w:val="000000"/>
          <w:sz w:val="20"/>
        </w:rPr>
        <w:t>Island 77, LLC</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Incorporated State: Delaware </w:t>
      </w:r>
    </w:p>
    <w:p>
      <w:pPr>
        <w:pStyle w:val="TextBody"/>
        <w:bidi w:val="0"/>
        <w:jc w:val="left"/>
        <w:rPr>
          <w:rFonts w:ascii="Times New Roman" w:hAnsi="Times New Roman"/>
          <w:sz w:val="20"/>
        </w:rPr>
      </w:pPr>
      <w:r>
        <w:rPr>
          <w:rFonts w:ascii="Times New Roman" w:hAnsi="Times New Roman"/>
          <w:b/>
          <w:color w:val="000000"/>
          <w:sz w:val="20"/>
        </w:rPr>
        <w:t>KEYS Group Holdings LLC</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Incorporated State: Delaware </w:t>
      </w:r>
    </w:p>
    <w:p>
      <w:pPr>
        <w:pStyle w:val="TextBody"/>
        <w:bidi w:val="0"/>
        <w:jc w:val="left"/>
        <w:rPr>
          <w:rFonts w:ascii="Times New Roman" w:hAnsi="Times New Roman"/>
          <w:sz w:val="20"/>
        </w:rPr>
      </w:pPr>
      <w:r>
        <w:rPr>
          <w:rFonts w:ascii="Times New Roman" w:hAnsi="Times New Roman"/>
          <w:b/>
          <w:color w:val="000000"/>
          <w:sz w:val="20"/>
        </w:rPr>
        <w:t>Keystone Charlotte LLC</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Incorporated State: North Carolina </w:t>
      </w:r>
    </w:p>
    <w:p>
      <w:pPr>
        <w:pStyle w:val="TextBody"/>
        <w:bidi w:val="0"/>
        <w:jc w:val="left"/>
        <w:rPr>
          <w:rFonts w:ascii="Times New Roman" w:hAnsi="Times New Roman"/>
          <w:sz w:val="20"/>
        </w:rPr>
      </w:pPr>
      <w:r>
        <w:rPr>
          <w:rFonts w:ascii="Times New Roman" w:hAnsi="Times New Roman"/>
          <w:b/>
          <w:color w:val="000000"/>
          <w:sz w:val="20"/>
        </w:rPr>
        <w:t>Keystone Continuum, LLC</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Incorporated State: Tennessee </w:t>
      </w:r>
    </w:p>
    <w:p>
      <w:pPr>
        <w:pStyle w:val="TextBody"/>
        <w:bidi w:val="0"/>
        <w:jc w:val="left"/>
        <w:rPr>
          <w:rFonts w:ascii="Times New Roman" w:hAnsi="Times New Roman"/>
          <w:color w:val="000000"/>
          <w:sz w:val="20"/>
        </w:rPr>
      </w:pPr>
      <w:r>
        <w:rPr>
          <w:rFonts w:ascii="Times New Roman" w:hAnsi="Times New Roman"/>
          <w:color w:val="000000"/>
          <w:sz w:val="20"/>
        </w:rPr>
        <w:t xml:space="preserve">Business Name: Mountain Youth Academy </w:t>
      </w:r>
    </w:p>
    <w:p>
      <w:pPr>
        <w:pStyle w:val="TextBody"/>
        <w:bidi w:val="0"/>
        <w:jc w:val="left"/>
        <w:rPr>
          <w:rFonts w:ascii="Times New Roman" w:hAnsi="Times New Roman"/>
          <w:sz w:val="20"/>
        </w:rPr>
      </w:pPr>
      <w:r>
        <w:rPr>
          <w:rFonts w:ascii="Times New Roman" w:hAnsi="Times New Roman"/>
          <w:b/>
          <w:color w:val="000000"/>
          <w:sz w:val="20"/>
        </w:rPr>
        <w:t>Keystone Education and Youth Services, LLC</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Incorporated State: Tennessee </w:t>
      </w:r>
    </w:p>
    <w:p>
      <w:pPr>
        <w:pStyle w:val="TextBody"/>
        <w:bidi w:val="0"/>
        <w:jc w:val="left"/>
        <w:rPr>
          <w:rFonts w:ascii="Times New Roman" w:hAnsi="Times New Roman"/>
          <w:sz w:val="20"/>
        </w:rPr>
      </w:pPr>
      <w:r>
        <w:rPr>
          <w:rFonts w:ascii="Times New Roman" w:hAnsi="Times New Roman"/>
          <w:b/>
          <w:color w:val="000000"/>
          <w:sz w:val="20"/>
        </w:rPr>
        <w:t>Keystone Marion, LLC</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Incorporated State: Virginia </w:t>
      </w:r>
    </w:p>
    <w:p>
      <w:pPr>
        <w:pStyle w:val="TextBody"/>
        <w:bidi w:val="0"/>
        <w:jc w:val="left"/>
        <w:rPr>
          <w:rFonts w:ascii="Times New Roman" w:hAnsi="Times New Roman"/>
          <w:sz w:val="20"/>
        </w:rPr>
      </w:pPr>
      <w:r>
        <w:rPr>
          <w:rFonts w:ascii="Times New Roman" w:hAnsi="Times New Roman"/>
          <w:b/>
          <w:color w:val="000000"/>
          <w:sz w:val="20"/>
        </w:rPr>
        <w:t>Keystone Memphis, LLC</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Incorporated State: Tennessee </w:t>
      </w:r>
    </w:p>
    <w:p>
      <w:pPr>
        <w:pStyle w:val="TextBody"/>
        <w:bidi w:val="0"/>
        <w:jc w:val="left"/>
        <w:rPr>
          <w:rFonts w:ascii="Times New Roman" w:hAnsi="Times New Roman"/>
          <w:color w:val="000000"/>
          <w:sz w:val="20"/>
        </w:rPr>
      </w:pPr>
      <w:r>
        <w:rPr>
          <w:rFonts w:ascii="Times New Roman" w:hAnsi="Times New Roman"/>
          <w:color w:val="000000"/>
          <w:sz w:val="20"/>
        </w:rPr>
        <w:t xml:space="preserve">Business Name: Compass Intervention Center and McDowell Center for Children </w:t>
      </w:r>
    </w:p>
    <w:p>
      <w:pPr>
        <w:pStyle w:val="TextBody"/>
        <w:bidi w:val="0"/>
        <w:jc w:val="left"/>
        <w:rPr>
          <w:rFonts w:ascii="Times New Roman" w:hAnsi="Times New Roman"/>
          <w:sz w:val="20"/>
        </w:rPr>
      </w:pPr>
      <w:r>
        <w:rPr>
          <w:rFonts w:ascii="Times New Roman" w:hAnsi="Times New Roman"/>
          <w:b/>
          <w:color w:val="000000"/>
          <w:sz w:val="20"/>
        </w:rPr>
        <w:t>Keystone Newport News, LLC</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Incorporated State: Virginia </w:t>
      </w:r>
    </w:p>
    <w:p>
      <w:pPr>
        <w:pStyle w:val="TextBody"/>
        <w:bidi w:val="0"/>
        <w:jc w:val="left"/>
        <w:rPr>
          <w:rFonts w:ascii="Times New Roman" w:hAnsi="Times New Roman"/>
          <w:color w:val="000000"/>
          <w:sz w:val="20"/>
        </w:rPr>
      </w:pPr>
      <w:r>
        <w:rPr>
          <w:rFonts w:ascii="Times New Roman" w:hAnsi="Times New Roman"/>
          <w:color w:val="000000"/>
          <w:sz w:val="20"/>
        </w:rPr>
        <w:t xml:space="preserve">Business Name: Newport News Behavioral Health Center </w:t>
      </w:r>
    </w:p>
    <w:p>
      <w:pPr>
        <w:pStyle w:val="TextBody"/>
        <w:bidi w:val="0"/>
        <w:jc w:val="left"/>
        <w:rPr>
          <w:rFonts w:ascii="Times New Roman" w:hAnsi="Times New Roman"/>
          <w:sz w:val="20"/>
        </w:rPr>
      </w:pPr>
      <w:r>
        <w:rPr>
          <w:rFonts w:ascii="Times New Roman" w:hAnsi="Times New Roman"/>
          <w:b/>
          <w:color w:val="000000"/>
          <w:sz w:val="20"/>
        </w:rPr>
        <w:t>Keystone NPS LLC</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Incorporated State: California </w:t>
      </w:r>
    </w:p>
    <w:p>
      <w:pPr>
        <w:pStyle w:val="TextBody"/>
        <w:bidi w:val="0"/>
        <w:jc w:val="left"/>
        <w:rPr>
          <w:rFonts w:ascii="Times New Roman" w:hAnsi="Times New Roman"/>
          <w:sz w:val="20"/>
        </w:rPr>
      </w:pPr>
      <w:r>
        <w:rPr>
          <w:rFonts w:ascii="Times New Roman" w:hAnsi="Times New Roman"/>
          <w:b/>
          <w:color w:val="000000"/>
          <w:sz w:val="20"/>
        </w:rPr>
        <w:t>Keystone Richland Center LLC</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Incorporated State: Ohio </w:t>
      </w:r>
    </w:p>
    <w:p>
      <w:pPr>
        <w:pStyle w:val="TextBody"/>
        <w:bidi w:val="0"/>
        <w:jc w:val="left"/>
        <w:rPr>
          <w:rFonts w:ascii="Times New Roman" w:hAnsi="Times New Roman"/>
          <w:color w:val="000000"/>
          <w:sz w:val="20"/>
        </w:rPr>
      </w:pPr>
      <w:r>
        <w:rPr>
          <w:rFonts w:ascii="Times New Roman" w:hAnsi="Times New Roman"/>
          <w:color w:val="000000"/>
          <w:sz w:val="20"/>
        </w:rPr>
        <w:t xml:space="preserve">Business Name: Foundations for Living </w:t>
      </w:r>
    </w:p>
    <w:p>
      <w:pPr>
        <w:pStyle w:val="TextBody"/>
        <w:bidi w:val="0"/>
        <w:jc w:val="left"/>
        <w:rPr>
          <w:rFonts w:ascii="Times New Roman" w:hAnsi="Times New Roman"/>
          <w:sz w:val="20"/>
        </w:rPr>
      </w:pPr>
      <w:r>
        <w:rPr>
          <w:rFonts w:ascii="Times New Roman" w:hAnsi="Times New Roman"/>
          <w:b/>
          <w:color w:val="000000"/>
          <w:sz w:val="20"/>
        </w:rPr>
        <w:t>Keystone WSNC, L.L.C.</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Incorporated State: North Carolina </w:t>
      </w:r>
    </w:p>
    <w:p>
      <w:pPr>
        <w:pStyle w:val="TextBody"/>
        <w:bidi w:val="0"/>
        <w:jc w:val="left"/>
        <w:rPr>
          <w:rFonts w:ascii="Times New Roman" w:hAnsi="Times New Roman"/>
          <w:color w:val="000000"/>
          <w:sz w:val="20"/>
        </w:rPr>
      </w:pPr>
      <w:r>
        <w:rPr>
          <w:rFonts w:ascii="Times New Roman" w:hAnsi="Times New Roman"/>
          <w:color w:val="000000"/>
          <w:sz w:val="20"/>
        </w:rPr>
        <w:t>Business Name: Old Vineyard Behavioral Health Services</w:t>
      </w:r>
    </w:p>
    <w:p>
      <w:pPr>
        <w:pStyle w:val="TextBody"/>
        <w:bidi w:val="0"/>
        <w:jc w:val="left"/>
        <w:rPr>
          <w:rFonts w:ascii="Times New Roman" w:hAnsi="Times New Roman"/>
          <w:sz w:val="20"/>
        </w:rPr>
      </w:pPr>
      <w:r>
        <w:rPr>
          <w:rFonts w:ascii="Times New Roman" w:hAnsi="Times New Roman"/>
          <w:b/>
          <w:color w:val="000000"/>
          <w:sz w:val="20"/>
        </w:rPr>
        <w:t>Keystone/CCS Partners LLC</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Incorporated State: Delaware </w:t>
      </w:r>
    </w:p>
    <w:p>
      <w:pPr>
        <w:pStyle w:val="TextBody"/>
        <w:bidi w:val="0"/>
        <w:jc w:val="left"/>
        <w:rPr>
          <w:rFonts w:ascii="Times New Roman" w:hAnsi="Times New Roman"/>
          <w:sz w:val="20"/>
        </w:rPr>
      </w:pPr>
      <w:r>
        <w:rPr>
          <w:rFonts w:ascii="Times New Roman" w:hAnsi="Times New Roman"/>
          <w:b/>
          <w:color w:val="000000"/>
          <w:sz w:val="20"/>
        </w:rPr>
        <w:t>Kids Behavioral Health of Alaska, Inc.</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Incorporated State: Alaska </w:t>
      </w:r>
    </w:p>
    <w:p>
      <w:pPr>
        <w:pStyle w:val="TextBody"/>
        <w:bidi w:val="0"/>
        <w:jc w:val="left"/>
        <w:rPr>
          <w:rFonts w:ascii="Times New Roman" w:hAnsi="Times New Roman"/>
          <w:sz w:val="20"/>
        </w:rPr>
      </w:pPr>
      <w:r>
        <w:rPr>
          <w:rFonts w:ascii="Times New Roman" w:hAnsi="Times New Roman"/>
          <w:b/>
          <w:color w:val="000000"/>
          <w:sz w:val="20"/>
        </w:rPr>
        <w:t>Kids Behavioral Health of Utah, Inc.</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Incorporated State: Utah </w:t>
      </w:r>
    </w:p>
    <w:p>
      <w:pPr>
        <w:pStyle w:val="TextBody"/>
        <w:bidi w:val="0"/>
        <w:jc w:val="left"/>
        <w:rPr>
          <w:rFonts w:ascii="Times New Roman" w:hAnsi="Times New Roman"/>
          <w:color w:val="000000"/>
          <w:sz w:val="20"/>
        </w:rPr>
      </w:pPr>
      <w:r>
        <w:rPr>
          <w:rFonts w:ascii="Times New Roman" w:hAnsi="Times New Roman"/>
          <w:color w:val="000000"/>
          <w:sz w:val="20"/>
        </w:rPr>
        <w:t xml:space="preserve">Business Name: Copper Hills Youth Center </w:t>
      </w:r>
    </w:p>
    <w:p>
      <w:pPr>
        <w:pStyle w:val="TextBody"/>
        <w:bidi w:val="0"/>
        <w:jc w:val="left"/>
        <w:rPr>
          <w:rFonts w:ascii="Times New Roman" w:hAnsi="Times New Roman"/>
          <w:sz w:val="20"/>
        </w:rPr>
      </w:pPr>
      <w:r>
        <w:rPr>
          <w:rFonts w:ascii="Times New Roman" w:hAnsi="Times New Roman"/>
          <w:b/>
          <w:color w:val="000000"/>
          <w:sz w:val="20"/>
        </w:rPr>
        <w:t>Kingwood Pines Hospital, LLC</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Incorporated State: Texas </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sz w:val="20"/>
        </w:rPr>
      </w:pPr>
      <w:r>
        <w:rPr>
          <w:rFonts w:ascii="Times New Roman" w:hAnsi="Times New Roman"/>
          <w:b/>
          <w:color w:val="000000"/>
          <w:sz w:val="20"/>
        </w:rPr>
        <w:t>KMI Acquisition, LLC</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Incorporated State: Delaware </w:t>
      </w:r>
    </w:p>
    <w:p>
      <w:pPr>
        <w:pStyle w:val="TextBody"/>
        <w:bidi w:val="0"/>
        <w:jc w:val="left"/>
        <w:rPr>
          <w:rFonts w:ascii="Times New Roman" w:hAnsi="Times New Roman"/>
          <w:color w:val="000000"/>
          <w:sz w:val="20"/>
        </w:rPr>
      </w:pPr>
      <w:r>
        <w:rPr>
          <w:rFonts w:ascii="Times New Roman" w:hAnsi="Times New Roman"/>
          <w:color w:val="000000"/>
          <w:sz w:val="20"/>
        </w:rPr>
        <w:t xml:space="preserve">Business Name: The Brook Hospital-KMI </w:t>
      </w:r>
    </w:p>
    <w:p>
      <w:pPr>
        <w:pStyle w:val="TextBody"/>
        <w:bidi w:val="0"/>
        <w:jc w:val="left"/>
        <w:rPr>
          <w:rFonts w:ascii="Times New Roman" w:hAnsi="Times New Roman"/>
          <w:sz w:val="20"/>
        </w:rPr>
      </w:pPr>
      <w:r>
        <w:rPr>
          <w:rFonts w:ascii="Times New Roman" w:hAnsi="Times New Roman"/>
          <w:b/>
          <w:color w:val="000000"/>
          <w:sz w:val="20"/>
        </w:rPr>
        <w:t>La Amistad Residential Treatment Center, LLC</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Incorporated State: Florida </w:t>
      </w:r>
    </w:p>
    <w:p>
      <w:pPr>
        <w:pStyle w:val="TextBody"/>
        <w:bidi w:val="0"/>
        <w:jc w:val="left"/>
        <w:rPr>
          <w:rFonts w:ascii="Times New Roman" w:hAnsi="Times New Roman"/>
          <w:color w:val="000000"/>
          <w:sz w:val="20"/>
        </w:rPr>
      </w:pPr>
      <w:r>
        <w:rPr>
          <w:rFonts w:ascii="Times New Roman" w:hAnsi="Times New Roman"/>
          <w:color w:val="000000"/>
          <w:sz w:val="20"/>
        </w:rPr>
        <w:t xml:space="preserve">Business Name: Central Florida Behavioral Hospital, La Amistad Behavioral Health Services </w:t>
      </w:r>
    </w:p>
    <w:p>
      <w:pPr>
        <w:pStyle w:val="TextBody"/>
        <w:bidi w:val="0"/>
        <w:jc w:val="left"/>
        <w:rPr>
          <w:rFonts w:ascii="Times New Roman" w:hAnsi="Times New Roman"/>
          <w:b/>
          <w:color w:val="000000"/>
          <w:sz w:val="20"/>
        </w:rPr>
      </w:pPr>
      <w:r>
        <w:rPr>
          <w:rFonts w:ascii="Times New Roman" w:hAnsi="Times New Roman"/>
          <w:b/>
          <w:color w:val="000000"/>
          <w:sz w:val="20"/>
        </w:rPr>
        <w:t>La Paloma Treatment Center, LLC</w:t>
      </w:r>
    </w:p>
    <w:p>
      <w:pPr>
        <w:pStyle w:val="TextBody"/>
        <w:bidi w:val="0"/>
        <w:jc w:val="left"/>
        <w:rPr>
          <w:rFonts w:ascii="Times New Roman" w:hAnsi="Times New Roman"/>
          <w:color w:val="000000"/>
          <w:sz w:val="20"/>
        </w:rPr>
      </w:pPr>
      <w:r>
        <w:rPr>
          <w:rFonts w:ascii="Times New Roman" w:hAnsi="Times New Roman"/>
          <w:color w:val="000000"/>
          <w:sz w:val="20"/>
        </w:rPr>
        <w:t xml:space="preserve">Incorporated State: Tennessee </w:t>
      </w:r>
    </w:p>
    <w:p>
      <w:pPr>
        <w:pStyle w:val="TextBody"/>
        <w:bidi w:val="0"/>
        <w:jc w:val="left"/>
        <w:rPr>
          <w:rFonts w:ascii="Times New Roman" w:hAnsi="Times New Roman"/>
          <w:b/>
          <w:color w:val="000000"/>
          <w:sz w:val="20"/>
        </w:rPr>
      </w:pPr>
      <w:r>
        <w:rPr>
          <w:rFonts w:ascii="Times New Roman" w:hAnsi="Times New Roman"/>
          <w:b/>
          <w:color w:val="000000"/>
          <w:sz w:val="20"/>
        </w:rPr>
        <w:t>Lancaster Behavioral Health Hospital, LLC</w:t>
      </w:r>
    </w:p>
    <w:p>
      <w:pPr>
        <w:pStyle w:val="TextBody"/>
        <w:bidi w:val="0"/>
        <w:jc w:val="left"/>
        <w:rPr>
          <w:rFonts w:ascii="Times New Roman" w:hAnsi="Times New Roman"/>
          <w:color w:val="000000"/>
          <w:sz w:val="20"/>
        </w:rPr>
      </w:pPr>
      <w:r>
        <w:rPr>
          <w:rFonts w:ascii="Times New Roman" w:hAnsi="Times New Roman"/>
          <w:color w:val="000000"/>
          <w:sz w:val="20"/>
        </w:rPr>
        <w:t>Incorporated State: Pennsylvania</w:t>
      </w:r>
    </w:p>
    <w:p>
      <w:pPr>
        <w:pStyle w:val="TextBody"/>
        <w:bidi w:val="0"/>
        <w:jc w:val="left"/>
        <w:rPr>
          <w:rFonts w:ascii="Times New Roman" w:hAnsi="Times New Roman"/>
          <w:color w:val="000000"/>
          <w:sz w:val="20"/>
        </w:rPr>
      </w:pPr>
      <w:r>
        <w:rPr>
          <w:rFonts w:ascii="Times New Roman" w:hAnsi="Times New Roman"/>
          <w:color w:val="000000"/>
          <w:sz w:val="20"/>
        </w:rPr>
        <w:t>Business Name: Lancaster Behavioral Health Hospital</w:t>
      </w:r>
    </w:p>
    <w:p>
      <w:pPr>
        <w:pStyle w:val="TextBody"/>
        <w:bidi w:val="0"/>
        <w:jc w:val="left"/>
        <w:rPr>
          <w:rFonts w:ascii="Times New Roman" w:hAnsi="Times New Roman"/>
          <w:sz w:val="20"/>
        </w:rPr>
      </w:pPr>
      <w:r>
        <w:rPr>
          <w:rFonts w:ascii="Times New Roman" w:hAnsi="Times New Roman"/>
          <w:b/>
          <w:color w:val="000000"/>
          <w:sz w:val="20"/>
        </w:rPr>
        <w:t>Lancaster Hospital Corporation</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Incorporated State: California </w:t>
      </w:r>
    </w:p>
    <w:p>
      <w:pPr>
        <w:pStyle w:val="TextBody"/>
        <w:bidi w:val="0"/>
        <w:jc w:val="left"/>
        <w:rPr>
          <w:rFonts w:ascii="Times New Roman" w:hAnsi="Times New Roman"/>
          <w:color w:val="000000"/>
          <w:sz w:val="20"/>
        </w:rPr>
      </w:pPr>
      <w:r>
        <w:rPr>
          <w:rFonts w:ascii="Times New Roman" w:hAnsi="Times New Roman"/>
          <w:color w:val="000000"/>
          <w:sz w:val="20"/>
        </w:rPr>
        <w:t xml:space="preserve">Business Name: Palmdale Regional Medical Center </w:t>
      </w:r>
    </w:p>
    <w:p>
      <w:pPr>
        <w:pStyle w:val="TextBody"/>
        <w:bidi w:val="0"/>
        <w:jc w:val="left"/>
        <w:rPr>
          <w:rFonts w:ascii="Times New Roman" w:hAnsi="Times New Roman"/>
          <w:sz w:val="20"/>
        </w:rPr>
      </w:pPr>
      <w:r>
        <w:rPr>
          <w:rFonts w:ascii="Times New Roman" w:hAnsi="Times New Roman"/>
          <w:b/>
          <w:color w:val="000000"/>
          <w:sz w:val="20"/>
        </w:rPr>
        <w:t>Lancaster Hospital Receivables, L.L.C.</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Incorporated State: Delaware </w:t>
      </w:r>
    </w:p>
    <w:p>
      <w:pPr>
        <w:pStyle w:val="TextBody"/>
        <w:bidi w:val="0"/>
        <w:jc w:val="left"/>
        <w:rPr>
          <w:rFonts w:ascii="Times New Roman" w:hAnsi="Times New Roman"/>
          <w:sz w:val="20"/>
        </w:rPr>
      </w:pPr>
      <w:r>
        <w:rPr>
          <w:rFonts w:ascii="Times New Roman" w:hAnsi="Times New Roman"/>
          <w:b/>
          <w:color w:val="000000"/>
          <w:sz w:val="20"/>
        </w:rPr>
        <w:t>Laredo ASC, Inc.</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Incorporated State: Texas </w:t>
      </w:r>
    </w:p>
    <w:p>
      <w:pPr>
        <w:pStyle w:val="TextBody"/>
        <w:bidi w:val="0"/>
        <w:jc w:val="left"/>
        <w:rPr>
          <w:rFonts w:ascii="Times New Roman" w:hAnsi="Times New Roman"/>
          <w:b/>
          <w:color w:val="000000"/>
          <w:sz w:val="20"/>
        </w:rPr>
      </w:pPr>
      <w:r>
        <w:rPr>
          <w:rFonts w:ascii="Times New Roman" w:hAnsi="Times New Roman"/>
          <w:b/>
          <w:color w:val="000000"/>
          <w:sz w:val="20"/>
        </w:rPr>
        <w:t>Laredo FED JV1, LLC</w:t>
      </w:r>
    </w:p>
    <w:p>
      <w:pPr>
        <w:pStyle w:val="TextBody"/>
        <w:bidi w:val="0"/>
        <w:jc w:val="left"/>
        <w:rPr>
          <w:rFonts w:ascii="Times New Roman" w:hAnsi="Times New Roman"/>
          <w:color w:val="000000"/>
          <w:sz w:val="20"/>
        </w:rPr>
      </w:pPr>
      <w:r>
        <w:rPr>
          <w:rFonts w:ascii="Times New Roman" w:hAnsi="Times New Roman"/>
          <w:color w:val="000000"/>
          <w:sz w:val="20"/>
        </w:rPr>
        <w:t>Incorporated State: Texas</w:t>
      </w:r>
    </w:p>
    <w:p>
      <w:pPr>
        <w:pStyle w:val="TextBody"/>
        <w:bidi w:val="0"/>
        <w:jc w:val="left"/>
        <w:rPr>
          <w:rFonts w:ascii="Times New Roman" w:hAnsi="Times New Roman"/>
          <w:sz w:val="20"/>
        </w:rPr>
      </w:pPr>
      <w:r>
        <w:rPr>
          <w:rFonts w:ascii="Times New Roman" w:hAnsi="Times New Roman"/>
          <w:b/>
          <w:color w:val="000000"/>
          <w:sz w:val="20"/>
        </w:rPr>
        <w:t>Laredo Holdings, Inc.</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Incorporated State: Delaware </w:t>
      </w:r>
    </w:p>
    <w:p>
      <w:pPr>
        <w:pStyle w:val="TextBody"/>
        <w:bidi w:val="0"/>
        <w:jc w:val="left"/>
        <w:rPr>
          <w:rFonts w:ascii="Times New Roman" w:hAnsi="Times New Roman"/>
          <w:sz w:val="20"/>
        </w:rPr>
      </w:pPr>
      <w:r>
        <w:rPr>
          <w:rFonts w:ascii="Times New Roman" w:hAnsi="Times New Roman"/>
          <w:b/>
          <w:color w:val="000000"/>
          <w:sz w:val="20"/>
        </w:rPr>
        <w:t>Laredo MOB Partners, Ltd.</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Incorporated State: Texas </w:t>
      </w:r>
    </w:p>
    <w:p>
      <w:pPr>
        <w:pStyle w:val="TextBody"/>
        <w:bidi w:val="0"/>
        <w:jc w:val="left"/>
        <w:rPr>
          <w:rFonts w:ascii="Times New Roman" w:hAnsi="Times New Roman"/>
          <w:sz w:val="20"/>
        </w:rPr>
      </w:pPr>
      <w:r>
        <w:rPr>
          <w:rFonts w:ascii="Times New Roman" w:hAnsi="Times New Roman"/>
          <w:b/>
          <w:color w:val="000000"/>
          <w:sz w:val="20"/>
        </w:rPr>
        <w:t>Laredo Physicians Group</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Incorporated State: Texas </w:t>
      </w:r>
    </w:p>
    <w:p>
      <w:pPr>
        <w:pStyle w:val="TextBody"/>
        <w:bidi w:val="0"/>
        <w:jc w:val="left"/>
        <w:rPr>
          <w:rFonts w:ascii="Times New Roman" w:hAnsi="Times New Roman"/>
          <w:sz w:val="20"/>
        </w:rPr>
      </w:pPr>
      <w:r>
        <w:rPr>
          <w:rFonts w:ascii="Times New Roman" w:hAnsi="Times New Roman"/>
          <w:b/>
          <w:color w:val="000000"/>
          <w:sz w:val="20"/>
        </w:rPr>
        <w:t>Laredo Regional Medical Center, L.P.</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Incorporated State: Delaware </w:t>
      </w:r>
    </w:p>
    <w:p>
      <w:pPr>
        <w:pStyle w:val="TextBody"/>
        <w:bidi w:val="0"/>
        <w:jc w:val="left"/>
        <w:rPr>
          <w:rFonts w:ascii="Times New Roman" w:hAnsi="Times New Roman"/>
          <w:color w:val="000000"/>
          <w:sz w:val="20"/>
        </w:rPr>
      </w:pPr>
      <w:r>
        <w:rPr>
          <w:rFonts w:ascii="Times New Roman" w:hAnsi="Times New Roman"/>
          <w:color w:val="000000"/>
          <w:sz w:val="20"/>
        </w:rPr>
        <w:t>Business Name: Doctors’ Hospital of Laredo, Doctors’ Hospital Emergency Room South, a Service of Doctors Hospital of Laredo and Doctors’ Hospital Emergency Room Saunders, a Service of Doctors Hospital of Laredo</w:t>
      </w:r>
    </w:p>
    <w:p>
      <w:pPr>
        <w:pStyle w:val="TextBody"/>
        <w:bidi w:val="0"/>
        <w:jc w:val="left"/>
        <w:rPr>
          <w:rFonts w:ascii="Times New Roman" w:hAnsi="Times New Roman"/>
          <w:sz w:val="20"/>
        </w:rPr>
      </w:pPr>
      <w:r>
        <w:rPr>
          <w:rFonts w:ascii="Times New Roman" w:hAnsi="Times New Roman"/>
          <w:b/>
          <w:color w:val="000000"/>
          <w:sz w:val="20"/>
        </w:rPr>
        <w:t>Laredo Regional Receivables, L.L.C.</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Incorporated State: Delaware </w:t>
      </w:r>
    </w:p>
    <w:p>
      <w:pPr>
        <w:pStyle w:val="TextBody"/>
        <w:bidi w:val="0"/>
        <w:jc w:val="left"/>
        <w:rPr>
          <w:rFonts w:ascii="Times New Roman" w:hAnsi="Times New Roman"/>
          <w:sz w:val="20"/>
        </w:rPr>
      </w:pPr>
      <w:r>
        <w:rPr>
          <w:rFonts w:ascii="Times New Roman" w:hAnsi="Times New Roman"/>
          <w:b/>
          <w:color w:val="000000"/>
          <w:sz w:val="20"/>
        </w:rPr>
        <w:t>Laredo Regional, Inc.</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Incorporated State: Delaware </w:t>
      </w:r>
    </w:p>
    <w:p>
      <w:pPr>
        <w:pStyle w:val="TextBody"/>
        <w:bidi w:val="0"/>
        <w:jc w:val="left"/>
        <w:rPr>
          <w:rFonts w:ascii="Times New Roman" w:hAnsi="Times New Roman"/>
          <w:sz w:val="20"/>
        </w:rPr>
      </w:pPr>
      <w:r>
        <w:rPr>
          <w:rFonts w:ascii="Times New Roman" w:hAnsi="Times New Roman"/>
          <w:b/>
          <w:color w:val="000000"/>
          <w:sz w:val="20"/>
        </w:rPr>
        <w:t>Las Vegas Medical Group, LLC</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Incorporated State: Nevada </w:t>
      </w:r>
    </w:p>
    <w:p>
      <w:pPr>
        <w:pStyle w:val="TextBody"/>
        <w:bidi w:val="0"/>
        <w:jc w:val="left"/>
        <w:rPr>
          <w:rFonts w:ascii="Times New Roman" w:hAnsi="Times New Roman"/>
          <w:sz w:val="20"/>
        </w:rPr>
      </w:pPr>
      <w:r>
        <w:rPr>
          <w:rFonts w:ascii="Times New Roman" w:hAnsi="Times New Roman"/>
          <w:b/>
          <w:color w:val="000000"/>
          <w:sz w:val="20"/>
        </w:rPr>
        <w:t>Laurel Oaks Behavioral Health Center, Inc.</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Incorporated State: Delaware </w:t>
      </w:r>
    </w:p>
    <w:p>
      <w:pPr>
        <w:pStyle w:val="TextBody"/>
        <w:bidi w:val="0"/>
        <w:jc w:val="left"/>
        <w:rPr>
          <w:rFonts w:ascii="Times New Roman" w:hAnsi="Times New Roman"/>
          <w:color w:val="000000"/>
          <w:sz w:val="20"/>
        </w:rPr>
      </w:pPr>
      <w:r>
        <w:rPr>
          <w:rFonts w:ascii="Times New Roman" w:hAnsi="Times New Roman"/>
          <w:color w:val="000000"/>
          <w:sz w:val="20"/>
        </w:rPr>
        <w:t xml:space="preserve">Business Name: Laurel Oaks Behavioral Health Center </w:t>
      </w:r>
    </w:p>
    <w:p>
      <w:pPr>
        <w:pStyle w:val="TextBody"/>
        <w:bidi w:val="0"/>
        <w:jc w:val="left"/>
        <w:rPr>
          <w:rFonts w:ascii="Times New Roman" w:hAnsi="Times New Roman"/>
          <w:sz w:val="20"/>
        </w:rPr>
      </w:pPr>
      <w:r>
        <w:rPr>
          <w:rFonts w:ascii="Times New Roman" w:hAnsi="Times New Roman"/>
          <w:b/>
          <w:color w:val="000000"/>
          <w:sz w:val="20"/>
        </w:rPr>
        <w:t>Laurelwood Associates, Inc.</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Incorporated State: Ohio </w:t>
      </w:r>
    </w:p>
    <w:p>
      <w:pPr>
        <w:pStyle w:val="TextBody"/>
        <w:bidi w:val="0"/>
        <w:jc w:val="left"/>
        <w:rPr>
          <w:rFonts w:ascii="Times New Roman" w:hAnsi="Times New Roman"/>
          <w:sz w:val="20"/>
        </w:rPr>
      </w:pPr>
      <w:r>
        <w:rPr>
          <w:rFonts w:ascii="Times New Roman" w:hAnsi="Times New Roman"/>
          <w:b/>
          <w:color w:val="000000"/>
          <w:sz w:val="20"/>
        </w:rPr>
        <w:t>Lebanon Hospital Partners, LLC</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Incorporated State: Tennessee </w:t>
      </w:r>
    </w:p>
    <w:p>
      <w:pPr>
        <w:pStyle w:val="TextBody"/>
        <w:bidi w:val="0"/>
        <w:jc w:val="left"/>
        <w:rPr>
          <w:rFonts w:ascii="Times New Roman" w:hAnsi="Times New Roman"/>
          <w:sz w:val="20"/>
        </w:rPr>
      </w:pPr>
      <w:r>
        <w:rPr>
          <w:rFonts w:ascii="Times New Roman" w:hAnsi="Times New Roman"/>
          <w:b/>
          <w:color w:val="000000"/>
          <w:sz w:val="20"/>
        </w:rPr>
        <w:t>Liberty Point Behavioral Healthcare, LLC</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Incorporated State: Delaware </w:t>
      </w:r>
    </w:p>
    <w:p>
      <w:pPr>
        <w:pStyle w:val="TextBody"/>
        <w:bidi w:val="0"/>
        <w:jc w:val="left"/>
        <w:rPr>
          <w:rFonts w:ascii="Times New Roman" w:hAnsi="Times New Roman"/>
          <w:color w:val="000000"/>
          <w:sz w:val="20"/>
        </w:rPr>
      </w:pPr>
      <w:r>
        <w:rPr>
          <w:rFonts w:ascii="Times New Roman" w:hAnsi="Times New Roman"/>
          <w:color w:val="000000"/>
          <w:sz w:val="20"/>
        </w:rPr>
        <w:t xml:space="preserve">Business Name: Liberty Point Behavioral Healthcare </w:t>
      </w:r>
    </w:p>
    <w:p>
      <w:pPr>
        <w:pStyle w:val="TextBody"/>
        <w:bidi w:val="0"/>
        <w:jc w:val="left"/>
        <w:rPr>
          <w:rFonts w:ascii="Times New Roman" w:hAnsi="Times New Roman"/>
          <w:b/>
          <w:color w:val="000000"/>
          <w:sz w:val="20"/>
        </w:rPr>
      </w:pPr>
      <w:r>
        <w:rPr>
          <w:rFonts w:ascii="Times New Roman" w:hAnsi="Times New Roman"/>
          <w:b/>
          <w:color w:val="000000"/>
          <w:sz w:val="20"/>
        </w:rPr>
        <w:t>Manatee ACO Holdings, LLC</w:t>
      </w:r>
    </w:p>
    <w:p>
      <w:pPr>
        <w:pStyle w:val="TextBody"/>
        <w:bidi w:val="0"/>
        <w:jc w:val="left"/>
        <w:rPr>
          <w:rFonts w:ascii="Times New Roman" w:hAnsi="Times New Roman"/>
          <w:color w:val="000000"/>
          <w:sz w:val="20"/>
        </w:rPr>
      </w:pPr>
      <w:r>
        <w:rPr>
          <w:rFonts w:ascii="Times New Roman" w:hAnsi="Times New Roman"/>
          <w:color w:val="000000"/>
          <w:sz w:val="20"/>
        </w:rPr>
        <w:t>Incorporated State: Delaware</w:t>
      </w:r>
    </w:p>
    <w:p>
      <w:pPr>
        <w:pStyle w:val="TextBody"/>
        <w:bidi w:val="0"/>
        <w:jc w:val="left"/>
        <w:rPr>
          <w:rFonts w:ascii="Times New Roman" w:hAnsi="Times New Roman"/>
          <w:sz w:val="20"/>
        </w:rPr>
      </w:pPr>
      <w:r>
        <w:rPr>
          <w:rFonts w:ascii="Times New Roman" w:hAnsi="Times New Roman"/>
          <w:b/>
          <w:color w:val="000000"/>
          <w:sz w:val="20"/>
        </w:rPr>
        <w:t>Manatee Cardiology Associates, LLC</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Incorporated State: Delaware </w:t>
      </w:r>
    </w:p>
    <w:p>
      <w:pPr>
        <w:pStyle w:val="TextBody"/>
        <w:bidi w:val="0"/>
        <w:jc w:val="left"/>
        <w:rPr>
          <w:rFonts w:ascii="Times New Roman" w:hAnsi="Times New Roman"/>
          <w:sz w:val="20"/>
        </w:rPr>
      </w:pPr>
      <w:r>
        <w:rPr>
          <w:rFonts w:ascii="Times New Roman" w:hAnsi="Times New Roman"/>
          <w:b/>
          <w:color w:val="000000"/>
          <w:sz w:val="20"/>
        </w:rPr>
        <w:t>Manatee Memorial Foundation, Inc.</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Incorporated State: Florida </w:t>
      </w:r>
    </w:p>
    <w:p>
      <w:pPr>
        <w:pStyle w:val="TextBody"/>
        <w:bidi w:val="0"/>
        <w:jc w:val="left"/>
        <w:rPr>
          <w:rFonts w:ascii="Times New Roman" w:hAnsi="Times New Roman"/>
          <w:sz w:val="20"/>
        </w:rPr>
      </w:pPr>
      <w:r>
        <w:rPr>
          <w:rFonts w:ascii="Times New Roman" w:hAnsi="Times New Roman"/>
          <w:b/>
          <w:color w:val="000000"/>
          <w:sz w:val="20"/>
        </w:rPr>
        <w:t>Manatee Memorial Hospital, L.P.</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Incorporated State: Delaware </w:t>
      </w:r>
    </w:p>
    <w:p>
      <w:pPr>
        <w:pStyle w:val="TextBody"/>
        <w:bidi w:val="0"/>
        <w:jc w:val="left"/>
        <w:rPr>
          <w:rFonts w:ascii="Times New Roman" w:hAnsi="Times New Roman"/>
          <w:color w:val="000000"/>
          <w:sz w:val="20"/>
        </w:rPr>
      </w:pPr>
      <w:r>
        <w:rPr>
          <w:rFonts w:ascii="Times New Roman" w:hAnsi="Times New Roman"/>
          <w:color w:val="000000"/>
          <w:sz w:val="20"/>
        </w:rPr>
        <w:t xml:space="preserve">Business Name: Manatee Memorial Hospital, Lakewood Ranch Medical Center, Manatee Diagnostic Center Arcadia, Manatee Diagnostic Center Parrish, Manatee Diagnostic Center Pointe West and Manatee Diagnostic Center Riverside, ER at Sun City Center, an Extension of Manatee Memorial Hospital, ER at Bayshore Gardens, an Extension of Manatee Memorial Hospital, ER at Palma Sola, an Extension of Manatee Memorial Hospital and ER at Fruitville, an Extension of Lakewood Ranch Medical Center </w:t>
      </w:r>
    </w:p>
    <w:p>
      <w:pPr>
        <w:pStyle w:val="TextBody"/>
        <w:bidi w:val="0"/>
        <w:jc w:val="left"/>
        <w:rPr>
          <w:rFonts w:ascii="Times New Roman" w:hAnsi="Times New Roman"/>
          <w:sz w:val="20"/>
        </w:rPr>
      </w:pPr>
      <w:r>
        <w:rPr>
          <w:rFonts w:ascii="Times New Roman" w:hAnsi="Times New Roman"/>
          <w:b/>
          <w:color w:val="000000"/>
          <w:sz w:val="20"/>
        </w:rPr>
        <w:t>Manatee Memorial Receivables, L.L.C.</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Incorporated State: Delaware </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sz w:val="20"/>
        </w:rPr>
      </w:pPr>
      <w:r>
        <w:rPr>
          <w:rFonts w:ascii="Times New Roman" w:hAnsi="Times New Roman"/>
          <w:b/>
          <w:color w:val="000000"/>
          <w:sz w:val="20"/>
        </w:rPr>
        <w:t>Manatee Physician Alliance, LLC</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Incorporated State: Florida </w:t>
      </w:r>
    </w:p>
    <w:p>
      <w:pPr>
        <w:pStyle w:val="TextBody"/>
        <w:bidi w:val="0"/>
        <w:jc w:val="left"/>
        <w:rPr>
          <w:rFonts w:ascii="Times New Roman" w:hAnsi="Times New Roman"/>
          <w:b/>
          <w:color w:val="000000"/>
          <w:sz w:val="20"/>
        </w:rPr>
      </w:pPr>
      <w:r>
        <w:rPr>
          <w:rFonts w:ascii="Times New Roman" w:hAnsi="Times New Roman"/>
          <w:b/>
          <w:color w:val="000000"/>
          <w:sz w:val="20"/>
        </w:rPr>
        <w:t>Manatee Specialty Physician Alliance, LLC</w:t>
      </w:r>
    </w:p>
    <w:p>
      <w:pPr>
        <w:pStyle w:val="TextBody"/>
        <w:bidi w:val="0"/>
        <w:jc w:val="left"/>
        <w:rPr>
          <w:rFonts w:ascii="Times New Roman" w:hAnsi="Times New Roman"/>
          <w:color w:val="000000"/>
          <w:sz w:val="20"/>
        </w:rPr>
      </w:pPr>
      <w:r>
        <w:rPr>
          <w:rFonts w:ascii="Times New Roman" w:hAnsi="Times New Roman"/>
          <w:color w:val="000000"/>
          <w:sz w:val="20"/>
        </w:rPr>
        <w:t>Incorporated State: Florida</w:t>
      </w:r>
    </w:p>
    <w:p>
      <w:pPr>
        <w:pStyle w:val="TextBody"/>
        <w:bidi w:val="0"/>
        <w:jc w:val="left"/>
        <w:rPr>
          <w:rFonts w:ascii="Times New Roman" w:hAnsi="Times New Roman"/>
          <w:sz w:val="20"/>
        </w:rPr>
      </w:pPr>
      <w:r>
        <w:rPr>
          <w:rFonts w:ascii="Times New Roman" w:hAnsi="Times New Roman"/>
          <w:b/>
          <w:color w:val="000000"/>
          <w:sz w:val="20"/>
        </w:rPr>
        <w:t>Mayhill Behavioral Health, LLC</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Incorporated State: Texas </w:t>
      </w:r>
    </w:p>
    <w:p>
      <w:pPr>
        <w:pStyle w:val="TextBody"/>
        <w:bidi w:val="0"/>
        <w:jc w:val="left"/>
        <w:rPr>
          <w:rFonts w:ascii="Times New Roman" w:hAnsi="Times New Roman"/>
          <w:sz w:val="20"/>
        </w:rPr>
      </w:pPr>
      <w:r>
        <w:rPr>
          <w:rFonts w:ascii="Times New Roman" w:hAnsi="Times New Roman"/>
          <w:b/>
          <w:color w:val="000000"/>
          <w:sz w:val="20"/>
        </w:rPr>
        <w:t>Mayhill Behavioral Properties, LLC</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Incorporated State: Texas </w:t>
      </w:r>
    </w:p>
    <w:p>
      <w:pPr>
        <w:pStyle w:val="TextBody"/>
        <w:bidi w:val="0"/>
        <w:jc w:val="left"/>
        <w:rPr>
          <w:rFonts w:ascii="Times New Roman" w:hAnsi="Times New Roman"/>
          <w:sz w:val="20"/>
        </w:rPr>
      </w:pPr>
      <w:r>
        <w:rPr>
          <w:rFonts w:ascii="Times New Roman" w:hAnsi="Times New Roman"/>
          <w:b/>
          <w:color w:val="000000"/>
          <w:sz w:val="20"/>
        </w:rPr>
        <w:t>McAllen Holdings, Inc.</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Incorporated State: Delaware </w:t>
      </w:r>
    </w:p>
    <w:p>
      <w:pPr>
        <w:pStyle w:val="TextBody"/>
        <w:bidi w:val="0"/>
        <w:jc w:val="left"/>
        <w:rPr>
          <w:rFonts w:ascii="Times New Roman" w:hAnsi="Times New Roman"/>
          <w:sz w:val="20"/>
        </w:rPr>
      </w:pPr>
      <w:r>
        <w:rPr>
          <w:rFonts w:ascii="Times New Roman" w:hAnsi="Times New Roman"/>
          <w:b/>
          <w:color w:val="000000"/>
          <w:sz w:val="20"/>
        </w:rPr>
        <w:t>McAllen Hospitalist Group, PLLC</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Incorporated State: Texas </w:t>
      </w:r>
    </w:p>
    <w:p>
      <w:pPr>
        <w:pStyle w:val="TextBody"/>
        <w:bidi w:val="0"/>
        <w:jc w:val="left"/>
        <w:rPr>
          <w:rFonts w:ascii="Times New Roman" w:hAnsi="Times New Roman"/>
          <w:sz w:val="20"/>
        </w:rPr>
      </w:pPr>
      <w:r>
        <w:rPr>
          <w:rFonts w:ascii="Times New Roman" w:hAnsi="Times New Roman"/>
          <w:b/>
          <w:color w:val="000000"/>
          <w:sz w:val="20"/>
        </w:rPr>
        <w:t>McAllen Hospitals Receivables, L.L.C.</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Incorporated State: Delaware </w:t>
      </w:r>
    </w:p>
    <w:p>
      <w:pPr>
        <w:pStyle w:val="TextBody"/>
        <w:bidi w:val="0"/>
        <w:jc w:val="left"/>
        <w:rPr>
          <w:rFonts w:ascii="Times New Roman" w:hAnsi="Times New Roman"/>
          <w:sz w:val="20"/>
        </w:rPr>
      </w:pPr>
      <w:r>
        <w:rPr>
          <w:rFonts w:ascii="Times New Roman" w:hAnsi="Times New Roman"/>
          <w:b/>
          <w:color w:val="000000"/>
          <w:sz w:val="20"/>
        </w:rPr>
        <w:t>McAllen Hospitals, L.P.</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Incorporated State: Delaware </w:t>
      </w:r>
    </w:p>
    <w:p>
      <w:pPr>
        <w:pStyle w:val="TextBody"/>
        <w:bidi w:val="0"/>
        <w:jc w:val="left"/>
        <w:rPr>
          <w:rFonts w:ascii="Times New Roman" w:hAnsi="Times New Roman"/>
          <w:color w:val="000000"/>
          <w:sz w:val="20"/>
        </w:rPr>
      </w:pPr>
      <w:r>
        <w:rPr>
          <w:rFonts w:ascii="Times New Roman" w:hAnsi="Times New Roman"/>
          <w:color w:val="000000"/>
          <w:sz w:val="20"/>
        </w:rPr>
        <w:t>Business Name: South Texas Health System Behavioral, South Texas Health System Children’s, South Texas Health System Edinburg, South Texas Health System McAllen, South Texas Health System Heart, South Texas Health System ER Alamo, South Texas Health System ER McColl, South Texas Health System ER Mission, South Texas Health System ER Monte Cristo, South Texas Health System ER Ware Road and South Texas Health System ER Weslaco and South Texas Health System ER Pharr</w:t>
      </w:r>
    </w:p>
    <w:p>
      <w:pPr>
        <w:pStyle w:val="TextBody"/>
        <w:bidi w:val="0"/>
        <w:jc w:val="left"/>
        <w:rPr>
          <w:rFonts w:ascii="Times New Roman" w:hAnsi="Times New Roman"/>
          <w:sz w:val="20"/>
        </w:rPr>
      </w:pPr>
      <w:r>
        <w:rPr>
          <w:rFonts w:ascii="Times New Roman" w:hAnsi="Times New Roman"/>
          <w:b/>
          <w:color w:val="000000"/>
          <w:sz w:val="20"/>
        </w:rPr>
        <w:t>McAllen Medical Center Foundation</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Incorporated State: Texas </w:t>
      </w:r>
    </w:p>
    <w:p>
      <w:pPr>
        <w:pStyle w:val="TextBody"/>
        <w:bidi w:val="0"/>
        <w:jc w:val="left"/>
        <w:rPr>
          <w:rFonts w:ascii="Times New Roman" w:hAnsi="Times New Roman"/>
          <w:sz w:val="20"/>
        </w:rPr>
      </w:pPr>
      <w:r>
        <w:rPr>
          <w:rFonts w:ascii="Times New Roman" w:hAnsi="Times New Roman"/>
          <w:b/>
          <w:color w:val="000000"/>
          <w:sz w:val="20"/>
        </w:rPr>
        <w:t>McAllen Medical Center Physicians, Inc.</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Incorporated State: Texas </w:t>
      </w:r>
    </w:p>
    <w:p>
      <w:pPr>
        <w:pStyle w:val="TextBody"/>
        <w:bidi w:val="0"/>
        <w:jc w:val="left"/>
        <w:rPr>
          <w:rFonts w:ascii="Times New Roman" w:hAnsi="Times New Roman"/>
          <w:sz w:val="20"/>
        </w:rPr>
      </w:pPr>
      <w:r>
        <w:rPr>
          <w:rFonts w:ascii="Times New Roman" w:hAnsi="Times New Roman"/>
          <w:b/>
          <w:color w:val="000000"/>
          <w:sz w:val="20"/>
        </w:rPr>
        <w:t>McAllen Medical Center, Inc.</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Incorporated State: Delaware </w:t>
      </w:r>
    </w:p>
    <w:p>
      <w:pPr>
        <w:pStyle w:val="TextBody"/>
        <w:bidi w:val="0"/>
        <w:jc w:val="left"/>
        <w:rPr>
          <w:rFonts w:ascii="Times New Roman" w:hAnsi="Times New Roman"/>
          <w:sz w:val="20"/>
        </w:rPr>
      </w:pPr>
      <w:r>
        <w:rPr>
          <w:rFonts w:ascii="Times New Roman" w:hAnsi="Times New Roman"/>
          <w:b/>
          <w:color w:val="000000"/>
          <w:sz w:val="20"/>
        </w:rPr>
        <w:t>Mental Health Outcomes, LLC</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Incorporated State: Delaware </w:t>
      </w:r>
    </w:p>
    <w:p>
      <w:pPr>
        <w:pStyle w:val="TextBody"/>
        <w:bidi w:val="0"/>
        <w:jc w:val="left"/>
        <w:rPr>
          <w:rFonts w:ascii="Times New Roman" w:hAnsi="Times New Roman"/>
          <w:sz w:val="20"/>
        </w:rPr>
      </w:pPr>
      <w:r>
        <w:rPr>
          <w:rFonts w:ascii="Times New Roman" w:hAnsi="Times New Roman"/>
          <w:b/>
          <w:color w:val="000000"/>
          <w:sz w:val="20"/>
        </w:rPr>
        <w:t>Meridell Achievement Center, Inc.</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Incorporated State: Texas </w:t>
      </w:r>
    </w:p>
    <w:p>
      <w:pPr>
        <w:pStyle w:val="TextBody"/>
        <w:bidi w:val="0"/>
        <w:jc w:val="left"/>
        <w:rPr>
          <w:rFonts w:ascii="Times New Roman" w:hAnsi="Times New Roman"/>
          <w:color w:val="000000"/>
          <w:sz w:val="20"/>
        </w:rPr>
      </w:pPr>
      <w:r>
        <w:rPr>
          <w:rFonts w:ascii="Times New Roman" w:hAnsi="Times New Roman"/>
          <w:color w:val="000000"/>
          <w:sz w:val="20"/>
        </w:rPr>
        <w:t xml:space="preserve">Business Name: Meridell Achievement Center </w:t>
      </w:r>
    </w:p>
    <w:p>
      <w:pPr>
        <w:pStyle w:val="TextBody"/>
        <w:bidi w:val="0"/>
        <w:jc w:val="left"/>
        <w:rPr>
          <w:rFonts w:ascii="Times New Roman" w:hAnsi="Times New Roman"/>
          <w:sz w:val="20"/>
        </w:rPr>
      </w:pPr>
      <w:r>
        <w:rPr>
          <w:rFonts w:ascii="Times New Roman" w:hAnsi="Times New Roman"/>
          <w:b/>
          <w:color w:val="000000"/>
          <w:sz w:val="20"/>
        </w:rPr>
        <w:t>Merion Building Management, Inc.</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Incorporated State: Delaware </w:t>
      </w:r>
    </w:p>
    <w:p>
      <w:pPr>
        <w:pStyle w:val="TextBody"/>
        <w:bidi w:val="0"/>
        <w:jc w:val="left"/>
        <w:rPr>
          <w:rFonts w:ascii="Times New Roman" w:hAnsi="Times New Roman"/>
          <w:sz w:val="20"/>
        </w:rPr>
      </w:pPr>
      <w:r>
        <w:rPr>
          <w:rFonts w:ascii="Times New Roman" w:hAnsi="Times New Roman"/>
          <w:b/>
          <w:color w:val="000000"/>
          <w:sz w:val="20"/>
        </w:rPr>
        <w:t>Mesilla Valley Hospital, Inc.</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Incorporated State: New Mexico </w:t>
      </w:r>
    </w:p>
    <w:p>
      <w:pPr>
        <w:pStyle w:val="TextBody"/>
        <w:bidi w:val="0"/>
        <w:jc w:val="left"/>
        <w:rPr>
          <w:rFonts w:ascii="Times New Roman" w:hAnsi="Times New Roman"/>
          <w:sz w:val="20"/>
        </w:rPr>
      </w:pPr>
      <w:r>
        <w:rPr>
          <w:rFonts w:ascii="Times New Roman" w:hAnsi="Times New Roman"/>
          <w:b/>
          <w:color w:val="000000"/>
          <w:sz w:val="20"/>
        </w:rPr>
        <w:t>MHCCC, LLC</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Incorporated State: Tennessee </w:t>
      </w:r>
    </w:p>
    <w:p>
      <w:pPr>
        <w:pStyle w:val="TextBody"/>
        <w:bidi w:val="0"/>
        <w:jc w:val="left"/>
        <w:rPr>
          <w:rFonts w:ascii="Times New Roman" w:hAnsi="Times New Roman"/>
          <w:b/>
          <w:color w:val="000000"/>
          <w:sz w:val="20"/>
        </w:rPr>
      </w:pPr>
      <w:r>
        <w:rPr>
          <w:rFonts w:ascii="Times New Roman" w:hAnsi="Times New Roman"/>
          <w:b/>
          <w:color w:val="000000"/>
          <w:sz w:val="20"/>
        </w:rPr>
        <w:t>Michigan BH JV, LLC</w:t>
      </w:r>
    </w:p>
    <w:p>
      <w:pPr>
        <w:pStyle w:val="TextBody"/>
        <w:bidi w:val="0"/>
        <w:jc w:val="left"/>
        <w:rPr>
          <w:rFonts w:ascii="Times New Roman" w:hAnsi="Times New Roman"/>
          <w:color w:val="000000"/>
          <w:sz w:val="20"/>
        </w:rPr>
      </w:pPr>
      <w:r>
        <w:rPr>
          <w:rFonts w:ascii="Times New Roman" w:hAnsi="Times New Roman"/>
          <w:color w:val="000000"/>
          <w:sz w:val="20"/>
        </w:rPr>
        <w:t>Incorporated State: Michigan</w:t>
      </w:r>
    </w:p>
    <w:p>
      <w:pPr>
        <w:pStyle w:val="TextBody"/>
        <w:bidi w:val="0"/>
        <w:jc w:val="left"/>
        <w:rPr>
          <w:rFonts w:ascii="Times New Roman" w:hAnsi="Times New Roman"/>
          <w:color w:val="000000"/>
          <w:sz w:val="20"/>
        </w:rPr>
      </w:pPr>
      <w:r>
        <w:rPr>
          <w:rFonts w:ascii="Times New Roman" w:hAnsi="Times New Roman"/>
          <w:color w:val="000000"/>
          <w:sz w:val="20"/>
        </w:rPr>
        <w:t>Business Name: Metropolitan Behavioral Health</w:t>
      </w:r>
    </w:p>
    <w:p>
      <w:pPr>
        <w:pStyle w:val="TextBody"/>
        <w:bidi w:val="0"/>
        <w:jc w:val="left"/>
        <w:rPr>
          <w:rFonts w:ascii="Times New Roman" w:hAnsi="Times New Roman"/>
          <w:b/>
          <w:color w:val="000000"/>
          <w:sz w:val="20"/>
        </w:rPr>
      </w:pPr>
      <w:r>
        <w:rPr>
          <w:rFonts w:ascii="Times New Roman" w:hAnsi="Times New Roman"/>
          <w:b/>
          <w:color w:val="000000"/>
          <w:sz w:val="20"/>
        </w:rPr>
        <w:t>Michigan BH JV Employees, LLC</w:t>
      </w:r>
    </w:p>
    <w:p>
      <w:pPr>
        <w:pStyle w:val="TextBody"/>
        <w:bidi w:val="0"/>
        <w:jc w:val="left"/>
        <w:rPr>
          <w:rFonts w:ascii="Times New Roman" w:hAnsi="Times New Roman"/>
          <w:color w:val="000000"/>
          <w:sz w:val="20"/>
        </w:rPr>
      </w:pPr>
      <w:r>
        <w:rPr>
          <w:rFonts w:ascii="Times New Roman" w:hAnsi="Times New Roman"/>
          <w:color w:val="000000"/>
          <w:sz w:val="20"/>
        </w:rPr>
        <w:t>Incorporated State: Delaware</w:t>
      </w:r>
    </w:p>
    <w:p>
      <w:pPr>
        <w:pStyle w:val="TextBody"/>
        <w:bidi w:val="0"/>
        <w:jc w:val="left"/>
        <w:rPr>
          <w:rFonts w:ascii="Times New Roman" w:hAnsi="Times New Roman"/>
          <w:b/>
          <w:color w:val="000000"/>
          <w:sz w:val="20"/>
        </w:rPr>
      </w:pPr>
      <w:r>
        <w:rPr>
          <w:rFonts w:ascii="Times New Roman" w:hAnsi="Times New Roman"/>
          <w:b/>
          <w:color w:val="000000"/>
          <w:sz w:val="20"/>
        </w:rPr>
        <w:t>Michigan Healthcare Staffing, LLC</w:t>
      </w:r>
    </w:p>
    <w:p>
      <w:pPr>
        <w:pStyle w:val="TextBody"/>
        <w:bidi w:val="0"/>
        <w:jc w:val="left"/>
        <w:rPr>
          <w:rFonts w:ascii="Times New Roman" w:hAnsi="Times New Roman"/>
          <w:color w:val="000000"/>
          <w:sz w:val="20"/>
        </w:rPr>
      </w:pPr>
      <w:r>
        <w:rPr>
          <w:rFonts w:ascii="Times New Roman" w:hAnsi="Times New Roman"/>
          <w:color w:val="000000"/>
          <w:sz w:val="20"/>
        </w:rPr>
        <w:t>Incorporated State: Michigan</w:t>
      </w:r>
    </w:p>
    <w:p>
      <w:pPr>
        <w:pStyle w:val="TextBody"/>
        <w:bidi w:val="0"/>
        <w:jc w:val="left"/>
        <w:rPr>
          <w:rFonts w:ascii="Times New Roman" w:hAnsi="Times New Roman"/>
          <w:sz w:val="20"/>
        </w:rPr>
      </w:pPr>
      <w:r>
        <w:rPr>
          <w:rFonts w:ascii="Times New Roman" w:hAnsi="Times New Roman"/>
          <w:b/>
          <w:color w:val="000000"/>
          <w:sz w:val="20"/>
        </w:rPr>
        <w:t>Michigan Psychiatric Services, Inc.</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Incorporated State: Michigan</w:t>
      </w:r>
    </w:p>
    <w:p>
      <w:pPr>
        <w:pStyle w:val="TextBody"/>
        <w:bidi w:val="0"/>
        <w:jc w:val="left"/>
        <w:rPr>
          <w:rFonts w:ascii="Times New Roman" w:hAnsi="Times New Roman"/>
          <w:b/>
          <w:color w:val="000000"/>
          <w:sz w:val="20"/>
        </w:rPr>
      </w:pPr>
      <w:r>
        <w:rPr>
          <w:rFonts w:ascii="Times New Roman" w:hAnsi="Times New Roman"/>
          <w:b/>
          <w:color w:val="000000"/>
          <w:sz w:val="20"/>
        </w:rPr>
        <w:t>Mid Atlantic Medicine, LLC</w:t>
      </w:r>
    </w:p>
    <w:p>
      <w:pPr>
        <w:pStyle w:val="TextBody"/>
        <w:bidi w:val="0"/>
        <w:jc w:val="left"/>
        <w:rPr>
          <w:rFonts w:ascii="Times New Roman" w:hAnsi="Times New Roman"/>
          <w:color w:val="000000"/>
          <w:sz w:val="20"/>
        </w:rPr>
      </w:pPr>
      <w:r>
        <w:rPr>
          <w:rFonts w:ascii="Times New Roman" w:hAnsi="Times New Roman"/>
          <w:color w:val="000000"/>
          <w:sz w:val="20"/>
        </w:rPr>
        <w:t xml:space="preserve">Incorporated State: Delaware </w:t>
      </w:r>
    </w:p>
    <w:p>
      <w:pPr>
        <w:pStyle w:val="TextBody"/>
        <w:bidi w:val="0"/>
        <w:jc w:val="left"/>
        <w:rPr>
          <w:rFonts w:ascii="Times New Roman" w:hAnsi="Times New Roman"/>
          <w:sz w:val="20"/>
        </w:rPr>
      </w:pPr>
      <w:r>
        <w:rPr>
          <w:rFonts w:ascii="Times New Roman" w:hAnsi="Times New Roman"/>
          <w:b/>
          <w:color w:val="000000"/>
          <w:sz w:val="20"/>
        </w:rPr>
        <w:t>Millwood Hospital, L.P.</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Incorporated State: Texas </w:t>
      </w:r>
    </w:p>
    <w:p>
      <w:pPr>
        <w:pStyle w:val="TextBody"/>
        <w:bidi w:val="0"/>
        <w:jc w:val="left"/>
        <w:rPr>
          <w:rFonts w:ascii="Times New Roman" w:hAnsi="Times New Roman"/>
          <w:color w:val="000000"/>
          <w:sz w:val="20"/>
        </w:rPr>
      </w:pPr>
      <w:r>
        <w:rPr>
          <w:rFonts w:ascii="Times New Roman" w:hAnsi="Times New Roman"/>
          <w:color w:val="000000"/>
          <w:sz w:val="20"/>
        </w:rPr>
        <w:t xml:space="preserve">Business Name: Millwood Hospital </w:t>
      </w:r>
    </w:p>
    <w:p>
      <w:pPr>
        <w:pStyle w:val="TextBody"/>
        <w:bidi w:val="0"/>
        <w:jc w:val="left"/>
        <w:rPr>
          <w:rFonts w:ascii="Times New Roman" w:hAnsi="Times New Roman"/>
          <w:b/>
          <w:color w:val="000000"/>
          <w:sz w:val="20"/>
        </w:rPr>
      </w:pPr>
      <w:r>
        <w:rPr>
          <w:rFonts w:ascii="Times New Roman" w:hAnsi="Times New Roman"/>
          <w:b/>
          <w:color w:val="000000"/>
          <w:sz w:val="20"/>
        </w:rPr>
        <w:t>Milwaukee Behavioral Health, LLC</w:t>
      </w:r>
    </w:p>
    <w:p>
      <w:pPr>
        <w:pStyle w:val="TextBody"/>
        <w:bidi w:val="0"/>
        <w:jc w:val="left"/>
        <w:rPr>
          <w:rFonts w:ascii="Times New Roman" w:hAnsi="Times New Roman"/>
          <w:color w:val="000000"/>
          <w:sz w:val="20"/>
        </w:rPr>
      </w:pPr>
      <w:r>
        <w:rPr>
          <w:rFonts w:ascii="Times New Roman" w:hAnsi="Times New Roman"/>
          <w:color w:val="000000"/>
          <w:sz w:val="20"/>
        </w:rPr>
        <w:t>Incorporated State: Wisconsin</w:t>
      </w:r>
    </w:p>
    <w:p>
      <w:pPr>
        <w:pStyle w:val="TextBody"/>
        <w:bidi w:val="0"/>
        <w:jc w:val="left"/>
        <w:rPr>
          <w:rFonts w:ascii="Times New Roman" w:hAnsi="Times New Roman"/>
          <w:color w:val="000000"/>
          <w:sz w:val="20"/>
        </w:rPr>
      </w:pPr>
      <w:r>
        <w:rPr>
          <w:rFonts w:ascii="Times New Roman" w:hAnsi="Times New Roman"/>
          <w:color w:val="000000"/>
          <w:sz w:val="20"/>
        </w:rPr>
        <w:t>Business Name: Granite Hills Hospital</w:t>
      </w:r>
    </w:p>
    <w:p>
      <w:pPr>
        <w:pStyle w:val="TextBody"/>
        <w:bidi w:val="0"/>
        <w:jc w:val="left"/>
        <w:rPr>
          <w:rFonts w:ascii="Times New Roman" w:hAnsi="Times New Roman"/>
          <w:sz w:val="20"/>
        </w:rPr>
      </w:pPr>
      <w:r>
        <w:rPr>
          <w:rFonts w:ascii="Times New Roman" w:hAnsi="Times New Roman"/>
          <w:b/>
          <w:color w:val="000000"/>
          <w:sz w:val="20"/>
        </w:rPr>
        <w:t>Nashville Rehab, LLC</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Incorporated State: Tennessee </w:t>
      </w:r>
    </w:p>
    <w:p>
      <w:pPr>
        <w:pStyle w:val="TextBody"/>
        <w:bidi w:val="0"/>
        <w:jc w:val="left"/>
        <w:rPr>
          <w:rFonts w:ascii="Times New Roman" w:hAnsi="Times New Roman"/>
          <w:sz w:val="20"/>
        </w:rPr>
      </w:pPr>
      <w:r>
        <w:rPr>
          <w:rFonts w:ascii="Times New Roman" w:hAnsi="Times New Roman"/>
          <w:b/>
          <w:color w:val="000000"/>
          <w:sz w:val="20"/>
        </w:rPr>
        <w:t>Neuro Institute of Austin, L.P.</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Incorporated State: Texas </w:t>
      </w:r>
    </w:p>
    <w:p>
      <w:pPr>
        <w:pStyle w:val="TextBody"/>
        <w:bidi w:val="0"/>
        <w:jc w:val="left"/>
        <w:rPr>
          <w:rFonts w:ascii="Times New Roman" w:hAnsi="Times New Roman"/>
          <w:color w:val="000000"/>
          <w:sz w:val="20"/>
        </w:rPr>
      </w:pPr>
      <w:r>
        <w:rPr>
          <w:rFonts w:ascii="Times New Roman" w:hAnsi="Times New Roman"/>
          <w:color w:val="000000"/>
          <w:sz w:val="20"/>
        </w:rPr>
        <w:t xml:space="preserve">Business Name: Texas NeuroRehab Center </w:t>
      </w:r>
    </w:p>
    <w:p>
      <w:pPr>
        <w:pStyle w:val="TextBody"/>
        <w:bidi w:val="0"/>
        <w:jc w:val="left"/>
        <w:rPr>
          <w:rFonts w:ascii="Times New Roman" w:hAnsi="Times New Roman"/>
          <w:sz w:val="20"/>
        </w:rPr>
      </w:pPr>
      <w:r>
        <w:rPr>
          <w:rFonts w:ascii="Times New Roman" w:hAnsi="Times New Roman"/>
          <w:b/>
          <w:color w:val="000000"/>
          <w:sz w:val="20"/>
        </w:rPr>
        <w:t>Nevada Clinical Services, Inc.</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Incorporated State: Nevada </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b/>
          <w:color w:val="000000"/>
          <w:sz w:val="20"/>
        </w:rPr>
      </w:pPr>
      <w:r>
        <w:rPr>
          <w:rFonts w:ascii="Times New Roman" w:hAnsi="Times New Roman"/>
          <w:b/>
          <w:color w:val="000000"/>
          <w:sz w:val="20"/>
        </w:rPr>
        <w:t>Nevada Preferred Healthcare Providers, LLC</w:t>
      </w:r>
    </w:p>
    <w:p>
      <w:pPr>
        <w:pStyle w:val="TextBody"/>
        <w:bidi w:val="0"/>
        <w:jc w:val="left"/>
        <w:rPr>
          <w:rFonts w:ascii="Times New Roman" w:hAnsi="Times New Roman"/>
          <w:color w:val="000000"/>
          <w:sz w:val="20"/>
        </w:rPr>
      </w:pPr>
      <w:r>
        <w:rPr>
          <w:rFonts w:ascii="Times New Roman" w:hAnsi="Times New Roman"/>
          <w:color w:val="000000"/>
          <w:sz w:val="20"/>
        </w:rPr>
        <w:t>Incorporated State: Nevada</w:t>
      </w:r>
    </w:p>
    <w:p>
      <w:pPr>
        <w:pStyle w:val="TextBody"/>
        <w:bidi w:val="0"/>
        <w:jc w:val="left"/>
        <w:rPr>
          <w:rFonts w:ascii="Times New Roman" w:hAnsi="Times New Roman"/>
          <w:b/>
          <w:color w:val="000000"/>
          <w:sz w:val="20"/>
        </w:rPr>
      </w:pPr>
      <w:r>
        <w:rPr>
          <w:rFonts w:ascii="Times New Roman" w:hAnsi="Times New Roman"/>
          <w:b/>
          <w:color w:val="000000"/>
          <w:sz w:val="20"/>
        </w:rPr>
        <w:t>Nevada Urgent Care Network, LLC</w:t>
      </w:r>
    </w:p>
    <w:p>
      <w:pPr>
        <w:pStyle w:val="TextBody"/>
        <w:bidi w:val="0"/>
        <w:jc w:val="left"/>
        <w:rPr>
          <w:rFonts w:ascii="Times New Roman" w:hAnsi="Times New Roman"/>
          <w:color w:val="000000"/>
          <w:sz w:val="20"/>
        </w:rPr>
      </w:pPr>
      <w:r>
        <w:rPr>
          <w:rFonts w:ascii="Times New Roman" w:hAnsi="Times New Roman"/>
          <w:color w:val="000000"/>
          <w:sz w:val="20"/>
        </w:rPr>
        <w:t>Incorporated State: Nevada</w:t>
      </w:r>
    </w:p>
    <w:p>
      <w:pPr>
        <w:pStyle w:val="TextBody"/>
        <w:bidi w:val="0"/>
        <w:jc w:val="left"/>
        <w:rPr>
          <w:rFonts w:ascii="Times New Roman" w:hAnsi="Times New Roman"/>
          <w:sz w:val="20"/>
        </w:rPr>
      </w:pPr>
      <w:r>
        <w:rPr>
          <w:rFonts w:ascii="Times New Roman" w:hAnsi="Times New Roman"/>
          <w:b/>
          <w:color w:val="000000"/>
          <w:sz w:val="20"/>
        </w:rPr>
        <w:t>North Spring Behavioral Healthcare, Inc.</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Incorporated State: Tennessee </w:t>
      </w:r>
    </w:p>
    <w:p>
      <w:pPr>
        <w:pStyle w:val="TextBody"/>
        <w:bidi w:val="0"/>
        <w:jc w:val="left"/>
        <w:rPr>
          <w:rFonts w:ascii="Times New Roman" w:hAnsi="Times New Roman"/>
          <w:color w:val="000000"/>
          <w:sz w:val="20"/>
        </w:rPr>
      </w:pPr>
      <w:r>
        <w:rPr>
          <w:rFonts w:ascii="Times New Roman" w:hAnsi="Times New Roman"/>
          <w:color w:val="000000"/>
          <w:sz w:val="20"/>
        </w:rPr>
        <w:t xml:space="preserve">Business Name: North Spring Behavioral Healthcare </w:t>
      </w:r>
    </w:p>
    <w:p>
      <w:pPr>
        <w:pStyle w:val="TextBody"/>
        <w:bidi w:val="0"/>
        <w:jc w:val="left"/>
        <w:rPr>
          <w:rFonts w:ascii="Times New Roman" w:hAnsi="Times New Roman"/>
          <w:b/>
          <w:color w:val="000000"/>
          <w:sz w:val="20"/>
        </w:rPr>
      </w:pPr>
      <w:r>
        <w:rPr>
          <w:rFonts w:ascii="Times New Roman" w:hAnsi="Times New Roman"/>
          <w:b/>
          <w:color w:val="000000"/>
          <w:sz w:val="20"/>
        </w:rPr>
        <w:t>North Texas Clinical Partners, LLC</w:t>
      </w:r>
    </w:p>
    <w:p>
      <w:pPr>
        <w:pStyle w:val="TextBody"/>
        <w:bidi w:val="0"/>
        <w:jc w:val="left"/>
        <w:rPr>
          <w:rFonts w:ascii="Times New Roman" w:hAnsi="Times New Roman"/>
          <w:color w:val="000000"/>
          <w:sz w:val="20"/>
        </w:rPr>
      </w:pPr>
      <w:r>
        <w:rPr>
          <w:rFonts w:ascii="Times New Roman" w:hAnsi="Times New Roman"/>
          <w:color w:val="000000"/>
          <w:sz w:val="20"/>
        </w:rPr>
        <w:t>Incorporated State: Texas</w:t>
      </w:r>
    </w:p>
    <w:p>
      <w:pPr>
        <w:pStyle w:val="TextBody"/>
        <w:bidi w:val="0"/>
        <w:jc w:val="left"/>
        <w:rPr>
          <w:rFonts w:ascii="Times New Roman" w:hAnsi="Times New Roman"/>
          <w:sz w:val="20"/>
        </w:rPr>
      </w:pPr>
      <w:r>
        <w:rPr>
          <w:rFonts w:ascii="Times New Roman" w:hAnsi="Times New Roman"/>
          <w:b/>
          <w:color w:val="000000"/>
          <w:sz w:val="20"/>
        </w:rPr>
        <w:t>Northern Indiana Partners, LLC</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Incorporated State: Tennessee </w:t>
      </w:r>
    </w:p>
    <w:p>
      <w:pPr>
        <w:pStyle w:val="TextBody"/>
        <w:bidi w:val="0"/>
        <w:jc w:val="left"/>
        <w:rPr>
          <w:rFonts w:ascii="Times New Roman" w:hAnsi="Times New Roman"/>
          <w:b/>
          <w:color w:val="000000"/>
          <w:sz w:val="20"/>
        </w:rPr>
      </w:pPr>
      <w:r>
        <w:rPr>
          <w:rFonts w:ascii="Times New Roman" w:hAnsi="Times New Roman"/>
          <w:b/>
          <w:color w:val="000000"/>
          <w:sz w:val="20"/>
        </w:rPr>
        <w:t>Northern Nevada ASC Management, LLC</w:t>
      </w:r>
    </w:p>
    <w:p>
      <w:pPr>
        <w:pStyle w:val="TextBody"/>
        <w:bidi w:val="0"/>
        <w:jc w:val="left"/>
        <w:rPr>
          <w:rFonts w:ascii="Times New Roman" w:hAnsi="Times New Roman"/>
          <w:color w:val="000000"/>
          <w:sz w:val="20"/>
        </w:rPr>
      </w:pPr>
      <w:r>
        <w:rPr>
          <w:rFonts w:ascii="Times New Roman" w:hAnsi="Times New Roman"/>
          <w:color w:val="000000"/>
          <w:sz w:val="20"/>
        </w:rPr>
        <w:t>Incorporated State: Nevada</w:t>
      </w:r>
    </w:p>
    <w:p>
      <w:pPr>
        <w:pStyle w:val="TextBody"/>
        <w:bidi w:val="0"/>
        <w:jc w:val="left"/>
        <w:rPr>
          <w:rFonts w:ascii="Times New Roman" w:hAnsi="Times New Roman"/>
          <w:sz w:val="20"/>
        </w:rPr>
      </w:pPr>
      <w:r>
        <w:rPr>
          <w:rFonts w:ascii="Times New Roman" w:hAnsi="Times New Roman"/>
          <w:b/>
          <w:color w:val="000000"/>
          <w:sz w:val="20"/>
        </w:rPr>
        <w:t>Northern Nevada Diagnostic Imaging-Spanish Springs, L.L.C.</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Incorporated State: Nevada </w:t>
      </w:r>
    </w:p>
    <w:p>
      <w:pPr>
        <w:pStyle w:val="TextBody"/>
        <w:bidi w:val="0"/>
        <w:jc w:val="left"/>
        <w:rPr>
          <w:rFonts w:ascii="Times New Roman" w:hAnsi="Times New Roman"/>
          <w:sz w:val="20"/>
        </w:rPr>
      </w:pPr>
      <w:r>
        <w:rPr>
          <w:rFonts w:ascii="Times New Roman" w:hAnsi="Times New Roman"/>
          <w:b/>
          <w:color w:val="000000"/>
          <w:sz w:val="20"/>
        </w:rPr>
        <w:t>Northern Nevada Medical Group, LLC</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Incorporation State: Nevada </w:t>
      </w:r>
    </w:p>
    <w:p>
      <w:pPr>
        <w:pStyle w:val="TextBody"/>
        <w:bidi w:val="0"/>
        <w:jc w:val="left"/>
        <w:rPr>
          <w:rFonts w:ascii="Times New Roman" w:hAnsi="Times New Roman"/>
          <w:b/>
          <w:color w:val="000000"/>
          <w:sz w:val="20"/>
        </w:rPr>
      </w:pPr>
      <w:r>
        <w:rPr>
          <w:rFonts w:ascii="Times New Roman" w:hAnsi="Times New Roman"/>
          <w:b/>
          <w:color w:val="000000"/>
          <w:sz w:val="20"/>
        </w:rPr>
        <w:t>Northwest Lakes Recovery, LLC</w:t>
      </w:r>
    </w:p>
    <w:p>
      <w:pPr>
        <w:pStyle w:val="TextBody"/>
        <w:bidi w:val="0"/>
        <w:jc w:val="left"/>
        <w:rPr>
          <w:rFonts w:ascii="Times New Roman" w:hAnsi="Times New Roman"/>
          <w:color w:val="000000"/>
          <w:sz w:val="20"/>
        </w:rPr>
      </w:pPr>
      <w:r>
        <w:rPr>
          <w:rFonts w:ascii="Times New Roman" w:hAnsi="Times New Roman"/>
          <w:color w:val="000000"/>
          <w:sz w:val="20"/>
        </w:rPr>
        <w:t>Incorporated State: Delaware</w:t>
      </w:r>
    </w:p>
    <w:p>
      <w:pPr>
        <w:pStyle w:val="TextBody"/>
        <w:bidi w:val="0"/>
        <w:jc w:val="left"/>
        <w:rPr>
          <w:rFonts w:ascii="Times New Roman" w:hAnsi="Times New Roman"/>
          <w:sz w:val="20"/>
        </w:rPr>
      </w:pPr>
      <w:r>
        <w:rPr>
          <w:rFonts w:ascii="Times New Roman" w:hAnsi="Times New Roman"/>
          <w:b/>
          <w:color w:val="000000"/>
          <w:sz w:val="20"/>
        </w:rPr>
        <w:t>Northwest Texas Healthcare Receivables, L.L.C.</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Incorporated State: Delaware </w:t>
      </w:r>
    </w:p>
    <w:p>
      <w:pPr>
        <w:pStyle w:val="TextBody"/>
        <w:bidi w:val="0"/>
        <w:jc w:val="left"/>
        <w:rPr>
          <w:rFonts w:ascii="Times New Roman" w:hAnsi="Times New Roman"/>
          <w:sz w:val="20"/>
        </w:rPr>
      </w:pPr>
      <w:r>
        <w:rPr>
          <w:rFonts w:ascii="Times New Roman" w:hAnsi="Times New Roman"/>
          <w:b/>
          <w:color w:val="000000"/>
          <w:sz w:val="20"/>
        </w:rPr>
        <w:t>Northwest Texas Healthcare System, Inc.</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Incorporated State: Texas </w:t>
      </w:r>
    </w:p>
    <w:p>
      <w:pPr>
        <w:pStyle w:val="TextBody"/>
        <w:bidi w:val="0"/>
        <w:jc w:val="left"/>
        <w:rPr>
          <w:rFonts w:ascii="Times New Roman" w:hAnsi="Times New Roman"/>
          <w:color w:val="000000"/>
          <w:sz w:val="20"/>
        </w:rPr>
      </w:pPr>
      <w:r>
        <w:rPr>
          <w:rFonts w:ascii="Times New Roman" w:hAnsi="Times New Roman"/>
          <w:color w:val="000000"/>
          <w:sz w:val="20"/>
        </w:rPr>
        <w:t>Business Name: Northwest Texas Healthcare System, Northwest Texas Healthcare System Behavioral Health, Northwest Emergency at Town Square, a Service of Northwest Texas Healthcare System, Northwest Emergency on Georgia, a Service of Northwest Texas Healthcare System and Northwest Emergency of Tascosa, a Service of Northwest Texas Healthcare System</w:t>
      </w:r>
    </w:p>
    <w:p>
      <w:pPr>
        <w:pStyle w:val="TextBody"/>
        <w:bidi w:val="0"/>
        <w:jc w:val="left"/>
        <w:rPr>
          <w:rFonts w:ascii="Times New Roman" w:hAnsi="Times New Roman"/>
          <w:sz w:val="20"/>
        </w:rPr>
      </w:pPr>
      <w:r>
        <w:rPr>
          <w:rFonts w:ascii="Times New Roman" w:hAnsi="Times New Roman"/>
          <w:b/>
          <w:color w:val="000000"/>
          <w:sz w:val="20"/>
        </w:rPr>
        <w:t>Northwest Texas Physician Group</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Incorporated State: Texas </w:t>
      </w:r>
    </w:p>
    <w:p>
      <w:pPr>
        <w:pStyle w:val="TextBody"/>
        <w:bidi w:val="0"/>
        <w:jc w:val="left"/>
        <w:rPr>
          <w:rFonts w:ascii="Times New Roman" w:hAnsi="Times New Roman"/>
          <w:sz w:val="20"/>
        </w:rPr>
      </w:pPr>
      <w:r>
        <w:rPr>
          <w:rFonts w:ascii="Times New Roman" w:hAnsi="Times New Roman"/>
          <w:b/>
          <w:color w:val="000000"/>
          <w:sz w:val="20"/>
        </w:rPr>
        <w:t>Northwest Texas Wyatt Clinic, PLLC</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Incorporated State: Texas </w:t>
      </w:r>
    </w:p>
    <w:p>
      <w:pPr>
        <w:pStyle w:val="TextBody"/>
        <w:bidi w:val="0"/>
        <w:jc w:val="left"/>
        <w:rPr>
          <w:rFonts w:ascii="Times New Roman" w:hAnsi="Times New Roman"/>
          <w:b/>
          <w:color w:val="000000"/>
          <w:sz w:val="20"/>
        </w:rPr>
      </w:pPr>
      <w:r>
        <w:rPr>
          <w:rFonts w:ascii="Times New Roman" w:hAnsi="Times New Roman"/>
          <w:b/>
          <w:color w:val="000000"/>
          <w:sz w:val="20"/>
        </w:rPr>
        <w:t>Northwest Urgent Care, PLLC</w:t>
      </w:r>
    </w:p>
    <w:p>
      <w:pPr>
        <w:pStyle w:val="TextBody"/>
        <w:bidi w:val="0"/>
        <w:jc w:val="left"/>
        <w:rPr>
          <w:rFonts w:ascii="Times New Roman" w:hAnsi="Times New Roman"/>
          <w:color w:val="000000"/>
          <w:sz w:val="20"/>
        </w:rPr>
      </w:pPr>
      <w:r>
        <w:rPr>
          <w:rFonts w:ascii="Times New Roman" w:hAnsi="Times New Roman"/>
          <w:color w:val="000000"/>
          <w:sz w:val="20"/>
        </w:rPr>
        <w:t>Incorporated State: Texas</w:t>
      </w:r>
    </w:p>
    <w:p>
      <w:pPr>
        <w:pStyle w:val="TextBody"/>
        <w:bidi w:val="0"/>
        <w:jc w:val="left"/>
        <w:rPr>
          <w:rFonts w:ascii="Times New Roman" w:hAnsi="Times New Roman"/>
          <w:b/>
          <w:color w:val="000000"/>
          <w:sz w:val="20"/>
        </w:rPr>
      </w:pPr>
      <w:r>
        <w:rPr>
          <w:rFonts w:ascii="Times New Roman" w:hAnsi="Times New Roman"/>
          <w:b/>
          <w:color w:val="000000"/>
          <w:sz w:val="20"/>
        </w:rPr>
        <w:t>NWTHS Management, LLC</w:t>
      </w:r>
    </w:p>
    <w:p>
      <w:pPr>
        <w:pStyle w:val="TextBody"/>
        <w:bidi w:val="0"/>
        <w:jc w:val="left"/>
        <w:rPr>
          <w:rFonts w:ascii="Times New Roman" w:hAnsi="Times New Roman"/>
          <w:color w:val="000000"/>
          <w:sz w:val="20"/>
        </w:rPr>
      </w:pPr>
      <w:r>
        <w:rPr>
          <w:rFonts w:ascii="Times New Roman" w:hAnsi="Times New Roman"/>
          <w:color w:val="000000"/>
          <w:sz w:val="20"/>
        </w:rPr>
        <w:t>Incorporated State: Texas</w:t>
      </w:r>
    </w:p>
    <w:p>
      <w:pPr>
        <w:pStyle w:val="TextBody"/>
        <w:bidi w:val="0"/>
        <w:jc w:val="left"/>
        <w:rPr>
          <w:rFonts w:ascii="Times New Roman" w:hAnsi="Times New Roman"/>
          <w:sz w:val="20"/>
        </w:rPr>
      </w:pPr>
      <w:r>
        <w:rPr>
          <w:rFonts w:ascii="Times New Roman" w:hAnsi="Times New Roman"/>
          <w:b/>
          <w:color w:val="000000"/>
          <w:sz w:val="20"/>
        </w:rPr>
        <w:t>NWTX Physician Network, PLLC</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Incorporated State: Texas </w:t>
      </w:r>
    </w:p>
    <w:p>
      <w:pPr>
        <w:pStyle w:val="TextBody"/>
        <w:bidi w:val="0"/>
        <w:jc w:val="left"/>
        <w:rPr>
          <w:rFonts w:ascii="Times New Roman" w:hAnsi="Times New Roman"/>
          <w:sz w:val="20"/>
        </w:rPr>
      </w:pPr>
      <w:r>
        <w:rPr>
          <w:rFonts w:ascii="Times New Roman" w:hAnsi="Times New Roman"/>
          <w:b/>
          <w:color w:val="000000"/>
          <w:sz w:val="20"/>
        </w:rPr>
        <w:t>Oak Plains Academy of Tennessee, Inc.</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Incorporation State: Tennessee </w:t>
      </w:r>
    </w:p>
    <w:p>
      <w:pPr>
        <w:pStyle w:val="TextBody"/>
        <w:bidi w:val="0"/>
        <w:jc w:val="left"/>
        <w:rPr>
          <w:rFonts w:ascii="Times New Roman" w:hAnsi="Times New Roman"/>
          <w:color w:val="000000"/>
          <w:sz w:val="20"/>
        </w:rPr>
      </w:pPr>
      <w:r>
        <w:rPr>
          <w:rFonts w:ascii="Times New Roman" w:hAnsi="Times New Roman"/>
          <w:color w:val="000000"/>
          <w:sz w:val="20"/>
        </w:rPr>
        <w:t xml:space="preserve">Business Name: Oak Plains Academy </w:t>
      </w:r>
    </w:p>
    <w:p>
      <w:pPr>
        <w:pStyle w:val="TextBody"/>
        <w:bidi w:val="0"/>
        <w:jc w:val="left"/>
        <w:rPr>
          <w:rFonts w:ascii="Times New Roman" w:hAnsi="Times New Roman"/>
          <w:sz w:val="20"/>
        </w:rPr>
      </w:pPr>
      <w:r>
        <w:rPr>
          <w:rFonts w:ascii="Times New Roman" w:hAnsi="Times New Roman"/>
          <w:b/>
          <w:color w:val="000000"/>
          <w:sz w:val="20"/>
        </w:rPr>
        <w:t>Oasis Health Systems, L.L.C.</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Incorporated State: Nevada </w:t>
      </w:r>
    </w:p>
    <w:p>
      <w:pPr>
        <w:pStyle w:val="TextBody"/>
        <w:bidi w:val="0"/>
        <w:jc w:val="left"/>
        <w:rPr>
          <w:rFonts w:ascii="Times New Roman" w:hAnsi="Times New Roman"/>
          <w:sz w:val="20"/>
        </w:rPr>
      </w:pPr>
      <w:r>
        <w:rPr>
          <w:rFonts w:ascii="Times New Roman" w:hAnsi="Times New Roman"/>
          <w:b/>
          <w:color w:val="000000"/>
          <w:sz w:val="20"/>
        </w:rPr>
        <w:t>Ocala Behavioral Health, LLC</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Incorporated State: Delaware </w:t>
      </w:r>
    </w:p>
    <w:p>
      <w:pPr>
        <w:pStyle w:val="TextBody"/>
        <w:bidi w:val="0"/>
        <w:jc w:val="left"/>
        <w:rPr>
          <w:rFonts w:ascii="Times New Roman" w:hAnsi="Times New Roman"/>
          <w:color w:val="000000"/>
          <w:sz w:val="20"/>
        </w:rPr>
      </w:pPr>
      <w:r>
        <w:rPr>
          <w:rFonts w:ascii="Times New Roman" w:hAnsi="Times New Roman"/>
          <w:color w:val="000000"/>
          <w:sz w:val="20"/>
        </w:rPr>
        <w:t xml:space="preserve">Business Name: The Vines Hospital </w:t>
      </w:r>
    </w:p>
    <w:p>
      <w:pPr>
        <w:pStyle w:val="TextBody"/>
        <w:bidi w:val="0"/>
        <w:jc w:val="left"/>
        <w:rPr>
          <w:rFonts w:ascii="Times New Roman" w:hAnsi="Times New Roman"/>
          <w:b/>
          <w:color w:val="000000"/>
          <w:sz w:val="20"/>
        </w:rPr>
      </w:pPr>
      <w:r>
        <w:rPr>
          <w:rFonts w:ascii="Times New Roman" w:hAnsi="Times New Roman"/>
          <w:b/>
          <w:color w:val="000000"/>
          <w:sz w:val="20"/>
        </w:rPr>
        <w:t>Olympia Behavioral Health, LLC</w:t>
      </w:r>
    </w:p>
    <w:p>
      <w:pPr>
        <w:pStyle w:val="TextBody"/>
        <w:bidi w:val="0"/>
        <w:jc w:val="left"/>
        <w:rPr>
          <w:rFonts w:ascii="Times New Roman" w:hAnsi="Times New Roman"/>
          <w:color w:val="000000"/>
          <w:sz w:val="20"/>
        </w:rPr>
      </w:pPr>
      <w:r>
        <w:rPr>
          <w:rFonts w:ascii="Times New Roman" w:hAnsi="Times New Roman"/>
          <w:color w:val="000000"/>
          <w:sz w:val="20"/>
        </w:rPr>
        <w:t>Incorporated State: Washington</w:t>
      </w:r>
    </w:p>
    <w:p>
      <w:pPr>
        <w:pStyle w:val="TextBody"/>
        <w:bidi w:val="0"/>
        <w:jc w:val="left"/>
        <w:rPr>
          <w:rFonts w:ascii="Times New Roman" w:hAnsi="Times New Roman"/>
          <w:b/>
          <w:color w:val="000000"/>
          <w:sz w:val="20"/>
        </w:rPr>
      </w:pPr>
      <w:r>
        <w:rPr>
          <w:rFonts w:ascii="Times New Roman" w:hAnsi="Times New Roman"/>
          <w:b/>
          <w:color w:val="000000"/>
          <w:sz w:val="20"/>
        </w:rPr>
        <w:t>Orchard Portman Hospital Limited</w:t>
      </w:r>
    </w:p>
    <w:p>
      <w:pPr>
        <w:pStyle w:val="TextBody"/>
        <w:bidi w:val="0"/>
        <w:jc w:val="left"/>
        <w:rPr>
          <w:rFonts w:ascii="Times New Roman" w:hAnsi="Times New Roman"/>
          <w:color w:val="000000"/>
          <w:sz w:val="20"/>
        </w:rPr>
      </w:pPr>
      <w:r>
        <w:rPr>
          <w:rFonts w:ascii="Times New Roman" w:hAnsi="Times New Roman"/>
          <w:color w:val="000000"/>
          <w:sz w:val="20"/>
        </w:rPr>
        <w:t>Incorporated State: United Kingdom</w:t>
      </w:r>
    </w:p>
    <w:p>
      <w:pPr>
        <w:pStyle w:val="TextBody"/>
        <w:bidi w:val="0"/>
        <w:jc w:val="left"/>
        <w:rPr>
          <w:rFonts w:ascii="Times New Roman" w:hAnsi="Times New Roman"/>
          <w:color w:val="000000"/>
          <w:sz w:val="20"/>
        </w:rPr>
      </w:pPr>
      <w:r>
        <w:rPr>
          <w:rFonts w:ascii="Times New Roman" w:hAnsi="Times New Roman"/>
          <w:color w:val="000000"/>
          <w:sz w:val="20"/>
        </w:rPr>
        <w:t>Business Name: Cygnet Hospital - Taunton</w:t>
      </w:r>
    </w:p>
    <w:p>
      <w:pPr>
        <w:pStyle w:val="TextBody"/>
        <w:bidi w:val="0"/>
        <w:jc w:val="left"/>
        <w:rPr>
          <w:rFonts w:ascii="Times New Roman" w:hAnsi="Times New Roman"/>
          <w:b/>
          <w:color w:val="000000"/>
          <w:sz w:val="20"/>
        </w:rPr>
      </w:pPr>
      <w:r>
        <w:rPr>
          <w:rFonts w:ascii="Times New Roman" w:hAnsi="Times New Roman"/>
          <w:b/>
          <w:color w:val="000000"/>
          <w:sz w:val="20"/>
        </w:rPr>
        <w:t>Orchard Portman House Limited</w:t>
      </w:r>
    </w:p>
    <w:p>
      <w:pPr>
        <w:pStyle w:val="TextBody"/>
        <w:bidi w:val="0"/>
        <w:jc w:val="left"/>
        <w:rPr>
          <w:rFonts w:ascii="Times New Roman" w:hAnsi="Times New Roman"/>
          <w:color w:val="000000"/>
          <w:sz w:val="20"/>
        </w:rPr>
      </w:pPr>
      <w:r>
        <w:rPr>
          <w:rFonts w:ascii="Times New Roman" w:hAnsi="Times New Roman"/>
          <w:color w:val="000000"/>
          <w:sz w:val="20"/>
        </w:rPr>
        <w:t>Incorporated State: United Kingdom</w:t>
      </w:r>
    </w:p>
    <w:p>
      <w:pPr>
        <w:pStyle w:val="TextBody"/>
        <w:bidi w:val="0"/>
        <w:jc w:val="left"/>
        <w:rPr>
          <w:rFonts w:ascii="Times New Roman" w:hAnsi="Times New Roman"/>
          <w:sz w:val="20"/>
        </w:rPr>
      </w:pPr>
      <w:r>
        <w:rPr>
          <w:rFonts w:ascii="Times New Roman" w:hAnsi="Times New Roman"/>
          <w:b/>
          <w:color w:val="000000"/>
          <w:sz w:val="20"/>
        </w:rPr>
        <w:t>Oregon Psychiatric Realty, LLC</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Incorporated State: Delaware </w:t>
      </w:r>
    </w:p>
    <w:p>
      <w:pPr>
        <w:pStyle w:val="TextBody"/>
        <w:bidi w:val="0"/>
        <w:jc w:val="left"/>
        <w:rPr>
          <w:rFonts w:ascii="Times New Roman" w:hAnsi="Times New Roman"/>
          <w:b/>
          <w:color w:val="000000"/>
          <w:sz w:val="20"/>
        </w:rPr>
      </w:pPr>
      <w:r>
        <w:rPr>
          <w:rFonts w:ascii="Times New Roman" w:hAnsi="Times New Roman"/>
          <w:b/>
          <w:color w:val="000000"/>
          <w:sz w:val="20"/>
        </w:rPr>
        <w:t>Palm Point Behavioral Health, LLC</w:t>
      </w:r>
    </w:p>
    <w:p>
      <w:pPr>
        <w:pStyle w:val="TextBody"/>
        <w:bidi w:val="0"/>
        <w:jc w:val="left"/>
        <w:rPr>
          <w:rFonts w:ascii="Times New Roman" w:hAnsi="Times New Roman"/>
          <w:color w:val="000000"/>
          <w:sz w:val="20"/>
        </w:rPr>
      </w:pPr>
      <w:r>
        <w:rPr>
          <w:rFonts w:ascii="Times New Roman" w:hAnsi="Times New Roman"/>
          <w:color w:val="000000"/>
          <w:sz w:val="20"/>
        </w:rPr>
        <w:t>Incorporated State: Florida</w:t>
      </w:r>
    </w:p>
    <w:p>
      <w:pPr>
        <w:pStyle w:val="TextBody"/>
        <w:bidi w:val="0"/>
        <w:jc w:val="left"/>
        <w:rPr>
          <w:rFonts w:ascii="Times New Roman" w:hAnsi="Times New Roman"/>
          <w:color w:val="000000"/>
          <w:sz w:val="20"/>
        </w:rPr>
      </w:pPr>
      <w:r>
        <w:rPr>
          <w:rFonts w:ascii="Times New Roman" w:hAnsi="Times New Roman"/>
          <w:color w:val="000000"/>
          <w:sz w:val="20"/>
        </w:rPr>
        <w:t>Business Name: Palm Point Behavioral Health</w:t>
      </w:r>
    </w:p>
    <w:p>
      <w:pPr>
        <w:pStyle w:val="TextBody"/>
        <w:bidi w:val="0"/>
        <w:jc w:val="left"/>
        <w:rPr>
          <w:rFonts w:ascii="Times New Roman" w:hAnsi="Times New Roman"/>
          <w:b/>
          <w:color w:val="000000"/>
          <w:sz w:val="20"/>
        </w:rPr>
      </w:pPr>
      <w:r>
        <w:rPr>
          <w:rFonts w:ascii="Times New Roman" w:hAnsi="Times New Roman"/>
          <w:b/>
          <w:color w:val="000000"/>
          <w:sz w:val="20"/>
        </w:rPr>
        <w:t>Palm Springs Treatment Centers, LLC</w:t>
      </w:r>
    </w:p>
    <w:p>
      <w:pPr>
        <w:pStyle w:val="TextBody"/>
        <w:bidi w:val="0"/>
        <w:jc w:val="left"/>
        <w:rPr>
          <w:rFonts w:ascii="Times New Roman" w:hAnsi="Times New Roman"/>
          <w:color w:val="000000"/>
          <w:sz w:val="20"/>
        </w:rPr>
      </w:pPr>
      <w:r>
        <w:rPr>
          <w:rFonts w:ascii="Times New Roman" w:hAnsi="Times New Roman"/>
          <w:color w:val="000000"/>
          <w:sz w:val="20"/>
        </w:rPr>
        <w:t>Incorporated State: Tennessee</w:t>
      </w:r>
    </w:p>
    <w:p>
      <w:pPr>
        <w:pStyle w:val="TextBody"/>
        <w:bidi w:val="0"/>
        <w:jc w:val="left"/>
        <w:rPr>
          <w:rFonts w:ascii="Times New Roman" w:hAnsi="Times New Roman"/>
          <w:color w:val="000000"/>
          <w:sz w:val="20"/>
        </w:rPr>
      </w:pPr>
      <w:r>
        <w:rPr>
          <w:rFonts w:ascii="Times New Roman" w:hAnsi="Times New Roman"/>
          <w:color w:val="000000"/>
          <w:sz w:val="20"/>
        </w:rPr>
        <w:t xml:space="preserve">Business Name: Michael’s House and Michael’s House Outpatient </w:t>
      </w:r>
    </w:p>
    <w:p>
      <w:pPr>
        <w:pStyle w:val="TextBody"/>
        <w:bidi w:val="0"/>
        <w:jc w:val="left"/>
        <w:rPr>
          <w:rFonts w:ascii="Times New Roman" w:hAnsi="Times New Roman"/>
          <w:sz w:val="20"/>
        </w:rPr>
      </w:pPr>
      <w:r>
        <w:rPr>
          <w:rFonts w:ascii="Times New Roman" w:hAnsi="Times New Roman"/>
          <w:b/>
          <w:color w:val="000000"/>
          <w:sz w:val="20"/>
        </w:rPr>
        <w:t>Palmdale Regional Medical Foundation</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Incorporated State: California </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sz w:val="20"/>
        </w:rPr>
      </w:pPr>
      <w:r>
        <w:rPr>
          <w:rFonts w:ascii="Times New Roman" w:hAnsi="Times New Roman"/>
          <w:b/>
          <w:color w:val="000000"/>
          <w:sz w:val="20"/>
        </w:rPr>
        <w:t>Palmetto Behavioral Health Holdings, LLC</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Incorporated State: Delaware </w:t>
      </w:r>
    </w:p>
    <w:p>
      <w:pPr>
        <w:pStyle w:val="TextBody"/>
        <w:bidi w:val="0"/>
        <w:jc w:val="left"/>
        <w:rPr>
          <w:rFonts w:ascii="Times New Roman" w:hAnsi="Times New Roman"/>
          <w:sz w:val="20"/>
        </w:rPr>
      </w:pPr>
      <w:r>
        <w:rPr>
          <w:rFonts w:ascii="Times New Roman" w:hAnsi="Times New Roman"/>
          <w:b/>
          <w:color w:val="000000"/>
          <w:sz w:val="20"/>
        </w:rPr>
        <w:t>Palmetto Behavioral Health Solutions, LLC</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Incorporated State: South Carolina </w:t>
      </w:r>
    </w:p>
    <w:p>
      <w:pPr>
        <w:pStyle w:val="TextBody"/>
        <w:bidi w:val="0"/>
        <w:jc w:val="left"/>
        <w:rPr>
          <w:rFonts w:ascii="Times New Roman" w:hAnsi="Times New Roman"/>
          <w:sz w:val="20"/>
        </w:rPr>
      </w:pPr>
      <w:r>
        <w:rPr>
          <w:rFonts w:ascii="Times New Roman" w:hAnsi="Times New Roman"/>
          <w:b/>
          <w:color w:val="000000"/>
          <w:sz w:val="20"/>
        </w:rPr>
        <w:t>Palmetto Behavioral Health System, L.L.C.</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Incorporated State: South Carolina </w:t>
      </w:r>
    </w:p>
    <w:p>
      <w:pPr>
        <w:pStyle w:val="TextBody"/>
        <w:bidi w:val="0"/>
        <w:jc w:val="left"/>
        <w:rPr>
          <w:rFonts w:ascii="Times New Roman" w:hAnsi="Times New Roman"/>
          <w:sz w:val="20"/>
        </w:rPr>
      </w:pPr>
      <w:r>
        <w:rPr>
          <w:rFonts w:ascii="Times New Roman" w:hAnsi="Times New Roman"/>
          <w:b/>
          <w:color w:val="000000"/>
          <w:sz w:val="20"/>
        </w:rPr>
        <w:t>Palmetto Lowcountry Behavioral Health, L.L.C.</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Incorporated State: South Carolina </w:t>
      </w:r>
    </w:p>
    <w:p>
      <w:pPr>
        <w:pStyle w:val="TextBody"/>
        <w:bidi w:val="0"/>
        <w:jc w:val="left"/>
        <w:rPr>
          <w:rFonts w:ascii="Times New Roman" w:hAnsi="Times New Roman"/>
          <w:color w:val="000000"/>
          <w:sz w:val="20"/>
        </w:rPr>
      </w:pPr>
      <w:r>
        <w:rPr>
          <w:rFonts w:ascii="Times New Roman" w:hAnsi="Times New Roman"/>
          <w:color w:val="000000"/>
          <w:sz w:val="20"/>
        </w:rPr>
        <w:t xml:space="preserve">Business Name: Palmetto Lowcountry Behavioral Health </w:t>
      </w:r>
    </w:p>
    <w:p>
      <w:pPr>
        <w:pStyle w:val="TextBody"/>
        <w:bidi w:val="0"/>
        <w:jc w:val="left"/>
        <w:rPr>
          <w:rFonts w:ascii="Times New Roman" w:hAnsi="Times New Roman"/>
          <w:b/>
          <w:color w:val="000000"/>
          <w:sz w:val="20"/>
        </w:rPr>
      </w:pPr>
      <w:r>
        <w:rPr>
          <w:rFonts w:ascii="Times New Roman" w:hAnsi="Times New Roman"/>
          <w:b/>
          <w:color w:val="000000"/>
          <w:sz w:val="20"/>
        </w:rPr>
        <w:t>Palmetto Mt. Pleasant Behavioral Health, LLC</w:t>
      </w:r>
    </w:p>
    <w:p>
      <w:pPr>
        <w:pStyle w:val="TextBody"/>
        <w:bidi w:val="0"/>
        <w:jc w:val="left"/>
        <w:rPr>
          <w:rFonts w:ascii="Times New Roman" w:hAnsi="Times New Roman"/>
          <w:color w:val="000000"/>
          <w:sz w:val="20"/>
        </w:rPr>
      </w:pPr>
      <w:r>
        <w:rPr>
          <w:rFonts w:ascii="Times New Roman" w:hAnsi="Times New Roman"/>
          <w:color w:val="000000"/>
          <w:sz w:val="20"/>
        </w:rPr>
        <w:t>Incorporated State: South Carolina</w:t>
      </w:r>
    </w:p>
    <w:p>
      <w:pPr>
        <w:pStyle w:val="TextBody"/>
        <w:bidi w:val="0"/>
        <w:jc w:val="left"/>
        <w:rPr>
          <w:rFonts w:ascii="Times New Roman" w:hAnsi="Times New Roman"/>
          <w:color w:val="000000"/>
          <w:sz w:val="20"/>
        </w:rPr>
      </w:pPr>
      <w:r>
        <w:rPr>
          <w:rFonts w:ascii="Times New Roman" w:hAnsi="Times New Roman"/>
          <w:color w:val="000000"/>
          <w:sz w:val="20"/>
        </w:rPr>
        <w:t>Business Name: Sea Grove Recovery</w:t>
      </w:r>
    </w:p>
    <w:p>
      <w:pPr>
        <w:pStyle w:val="TextBody"/>
        <w:bidi w:val="0"/>
        <w:jc w:val="left"/>
        <w:rPr>
          <w:rFonts w:ascii="Times New Roman" w:hAnsi="Times New Roman"/>
          <w:sz w:val="20"/>
        </w:rPr>
      </w:pPr>
      <w:r>
        <w:rPr>
          <w:rFonts w:ascii="Times New Roman" w:hAnsi="Times New Roman"/>
          <w:b/>
          <w:color w:val="000000"/>
          <w:sz w:val="20"/>
        </w:rPr>
        <w:t>Palmetto Pee Dee Behavioral Health, L.L.C.</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Incorporated State: South Carolina </w:t>
      </w:r>
    </w:p>
    <w:p>
      <w:pPr>
        <w:pStyle w:val="TextBody"/>
        <w:bidi w:val="0"/>
        <w:jc w:val="left"/>
        <w:rPr>
          <w:rFonts w:ascii="Times New Roman" w:hAnsi="Times New Roman"/>
          <w:sz w:val="20"/>
        </w:rPr>
      </w:pPr>
      <w:r>
        <w:rPr>
          <w:rFonts w:ascii="Times New Roman" w:hAnsi="Times New Roman"/>
          <w:b/>
          <w:color w:val="000000"/>
          <w:sz w:val="20"/>
        </w:rPr>
        <w:t>Park HealthCare Company</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Incorporated State: Tennessee </w:t>
      </w:r>
    </w:p>
    <w:p>
      <w:pPr>
        <w:pStyle w:val="TextBody"/>
        <w:bidi w:val="0"/>
        <w:jc w:val="left"/>
        <w:rPr>
          <w:rFonts w:ascii="Times New Roman" w:hAnsi="Times New Roman"/>
          <w:b/>
          <w:color w:val="000000"/>
          <w:sz w:val="20"/>
        </w:rPr>
      </w:pPr>
      <w:r>
        <w:rPr>
          <w:rFonts w:ascii="Times New Roman" w:hAnsi="Times New Roman"/>
          <w:b/>
          <w:color w:val="000000"/>
          <w:sz w:val="20"/>
        </w:rPr>
        <w:t>Pasteur Healthcare Properties, LLC</w:t>
      </w:r>
    </w:p>
    <w:p>
      <w:pPr>
        <w:pStyle w:val="TextBody"/>
        <w:bidi w:val="0"/>
        <w:jc w:val="left"/>
        <w:rPr>
          <w:rFonts w:ascii="Times New Roman" w:hAnsi="Times New Roman"/>
          <w:color w:val="000000"/>
          <w:sz w:val="20"/>
        </w:rPr>
      </w:pPr>
      <w:r>
        <w:rPr>
          <w:rFonts w:ascii="Times New Roman" w:hAnsi="Times New Roman"/>
          <w:color w:val="000000"/>
          <w:sz w:val="20"/>
        </w:rPr>
        <w:t>Incorporated State: Delaware</w:t>
      </w:r>
    </w:p>
    <w:p>
      <w:pPr>
        <w:pStyle w:val="TextBody"/>
        <w:bidi w:val="0"/>
        <w:jc w:val="left"/>
        <w:rPr>
          <w:rFonts w:ascii="Times New Roman" w:hAnsi="Times New Roman"/>
          <w:sz w:val="20"/>
        </w:rPr>
      </w:pPr>
      <w:r>
        <w:rPr>
          <w:rFonts w:ascii="Times New Roman" w:hAnsi="Times New Roman"/>
          <w:b/>
          <w:color w:val="000000"/>
          <w:sz w:val="20"/>
        </w:rPr>
        <w:t>Peak Behavioral Health Services, LLC</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Incorporated State: Delaware </w:t>
      </w:r>
    </w:p>
    <w:p>
      <w:pPr>
        <w:pStyle w:val="TextBody"/>
        <w:bidi w:val="0"/>
        <w:jc w:val="left"/>
        <w:rPr>
          <w:rFonts w:ascii="Times New Roman" w:hAnsi="Times New Roman"/>
          <w:sz w:val="20"/>
        </w:rPr>
      </w:pPr>
      <w:r>
        <w:rPr>
          <w:rFonts w:ascii="Times New Roman" w:hAnsi="Times New Roman"/>
          <w:b/>
          <w:color w:val="000000"/>
          <w:sz w:val="20"/>
        </w:rPr>
        <w:t>Pendleton Methodist Hospital, L.L.C.</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Incorporated State: Delaware </w:t>
      </w:r>
    </w:p>
    <w:p>
      <w:pPr>
        <w:pStyle w:val="TextBody"/>
        <w:bidi w:val="0"/>
        <w:jc w:val="left"/>
        <w:rPr>
          <w:rFonts w:ascii="Times New Roman" w:hAnsi="Times New Roman"/>
          <w:sz w:val="20"/>
        </w:rPr>
      </w:pPr>
      <w:r>
        <w:rPr>
          <w:rFonts w:ascii="Times New Roman" w:hAnsi="Times New Roman"/>
          <w:b/>
          <w:color w:val="000000"/>
          <w:sz w:val="20"/>
        </w:rPr>
        <w:t>Pennsylvania Clinical Schools, Inc.</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Incorporated State: Pennsylvania </w:t>
      </w:r>
    </w:p>
    <w:p>
      <w:pPr>
        <w:pStyle w:val="TextBody"/>
        <w:bidi w:val="0"/>
        <w:jc w:val="left"/>
        <w:rPr>
          <w:rFonts w:ascii="Times New Roman" w:hAnsi="Times New Roman"/>
          <w:b/>
          <w:color w:val="000000"/>
          <w:sz w:val="20"/>
        </w:rPr>
      </w:pPr>
      <w:r>
        <w:rPr>
          <w:rFonts w:ascii="Times New Roman" w:hAnsi="Times New Roman"/>
          <w:b/>
          <w:color w:val="000000"/>
          <w:sz w:val="20"/>
        </w:rPr>
        <w:t>Pinnacle Management Group NV, LLC</w:t>
      </w:r>
    </w:p>
    <w:p>
      <w:pPr>
        <w:pStyle w:val="TextBody"/>
        <w:bidi w:val="0"/>
        <w:jc w:val="left"/>
        <w:rPr>
          <w:rFonts w:ascii="Times New Roman" w:hAnsi="Times New Roman"/>
          <w:color w:val="000000"/>
          <w:sz w:val="20"/>
        </w:rPr>
      </w:pPr>
      <w:r>
        <w:rPr>
          <w:rFonts w:ascii="Times New Roman" w:hAnsi="Times New Roman"/>
          <w:color w:val="000000"/>
          <w:sz w:val="20"/>
        </w:rPr>
        <w:t>Incorporated State: Nevada</w:t>
      </w:r>
    </w:p>
    <w:p>
      <w:pPr>
        <w:pStyle w:val="TextBody"/>
        <w:bidi w:val="0"/>
        <w:jc w:val="left"/>
        <w:rPr>
          <w:rFonts w:ascii="Times New Roman" w:hAnsi="Times New Roman"/>
          <w:b/>
          <w:color w:val="000000"/>
          <w:sz w:val="20"/>
        </w:rPr>
      </w:pPr>
      <w:r>
        <w:rPr>
          <w:rFonts w:ascii="Times New Roman" w:hAnsi="Times New Roman"/>
          <w:b/>
          <w:color w:val="000000"/>
          <w:sz w:val="20"/>
        </w:rPr>
        <w:t>PR Holding II, LLC</w:t>
      </w:r>
    </w:p>
    <w:p>
      <w:pPr>
        <w:pStyle w:val="TextBody"/>
        <w:bidi w:val="0"/>
        <w:jc w:val="left"/>
        <w:rPr>
          <w:rFonts w:ascii="Times New Roman" w:hAnsi="Times New Roman"/>
          <w:color w:val="000000"/>
          <w:sz w:val="20"/>
        </w:rPr>
      </w:pPr>
      <w:r>
        <w:rPr>
          <w:rFonts w:ascii="Times New Roman" w:hAnsi="Times New Roman"/>
          <w:color w:val="000000"/>
          <w:sz w:val="20"/>
        </w:rPr>
        <w:t>Incorporated State: Puerto Rico</w:t>
      </w:r>
    </w:p>
    <w:p>
      <w:pPr>
        <w:pStyle w:val="TextBody"/>
        <w:bidi w:val="0"/>
        <w:jc w:val="left"/>
        <w:rPr>
          <w:rFonts w:ascii="Times New Roman" w:hAnsi="Times New Roman"/>
          <w:sz w:val="20"/>
        </w:rPr>
      </w:pPr>
      <w:r>
        <w:rPr>
          <w:rFonts w:ascii="Times New Roman" w:hAnsi="Times New Roman"/>
          <w:b/>
          <w:color w:val="000000"/>
          <w:sz w:val="20"/>
        </w:rPr>
        <w:t>Premier Behavioral Solutions of Florida, Inc.</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Incorporated State: Delaware </w:t>
      </w:r>
    </w:p>
    <w:p>
      <w:pPr>
        <w:pStyle w:val="TextBody"/>
        <w:bidi w:val="0"/>
        <w:jc w:val="left"/>
        <w:rPr>
          <w:rFonts w:ascii="Times New Roman" w:hAnsi="Times New Roman"/>
          <w:color w:val="000000"/>
          <w:sz w:val="20"/>
        </w:rPr>
      </w:pPr>
      <w:r>
        <w:rPr>
          <w:rFonts w:ascii="Times New Roman" w:hAnsi="Times New Roman"/>
          <w:color w:val="000000"/>
          <w:sz w:val="20"/>
        </w:rPr>
        <w:t xml:space="preserve">Business Name: Palm Shores Behavioral Health Center and Suncoast Behavioral Health Center </w:t>
      </w:r>
    </w:p>
    <w:p>
      <w:pPr>
        <w:pStyle w:val="TextBody"/>
        <w:bidi w:val="0"/>
        <w:jc w:val="left"/>
        <w:rPr>
          <w:rFonts w:ascii="Times New Roman" w:hAnsi="Times New Roman"/>
          <w:sz w:val="20"/>
        </w:rPr>
      </w:pPr>
      <w:r>
        <w:rPr>
          <w:rFonts w:ascii="Times New Roman" w:hAnsi="Times New Roman"/>
          <w:b/>
          <w:color w:val="000000"/>
          <w:sz w:val="20"/>
        </w:rPr>
        <w:t>Premier Behavioral Solutions, Inc.</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Incorporated State: Delaware </w:t>
      </w:r>
    </w:p>
    <w:p>
      <w:pPr>
        <w:pStyle w:val="TextBody"/>
        <w:bidi w:val="0"/>
        <w:jc w:val="left"/>
        <w:rPr>
          <w:rFonts w:ascii="Times New Roman" w:hAnsi="Times New Roman"/>
          <w:sz w:val="20"/>
        </w:rPr>
      </w:pPr>
      <w:r>
        <w:rPr>
          <w:rFonts w:ascii="Times New Roman" w:hAnsi="Times New Roman"/>
          <w:b/>
          <w:color w:val="000000"/>
          <w:sz w:val="20"/>
        </w:rPr>
        <w:t>Preparatory School at the National Deaf Academy, Inc.</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Incorporated State: Florida </w:t>
      </w:r>
    </w:p>
    <w:p>
      <w:pPr>
        <w:pStyle w:val="TextBody"/>
        <w:bidi w:val="0"/>
        <w:jc w:val="left"/>
        <w:rPr>
          <w:rFonts w:ascii="Times New Roman" w:hAnsi="Times New Roman"/>
          <w:sz w:val="20"/>
        </w:rPr>
      </w:pPr>
      <w:r>
        <w:rPr>
          <w:rFonts w:ascii="Times New Roman" w:hAnsi="Times New Roman"/>
          <w:b/>
          <w:color w:val="000000"/>
          <w:sz w:val="20"/>
        </w:rPr>
        <w:t>PRIDE Institute, Inc.</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Incorporated State: Minnesota </w:t>
      </w:r>
    </w:p>
    <w:p>
      <w:pPr>
        <w:pStyle w:val="TextBody"/>
        <w:bidi w:val="0"/>
        <w:jc w:val="left"/>
        <w:rPr>
          <w:rFonts w:ascii="Times New Roman" w:hAnsi="Times New Roman"/>
          <w:color w:val="000000"/>
          <w:sz w:val="20"/>
        </w:rPr>
      </w:pPr>
      <w:r>
        <w:rPr>
          <w:rFonts w:ascii="Times New Roman" w:hAnsi="Times New Roman"/>
          <w:color w:val="000000"/>
          <w:sz w:val="20"/>
        </w:rPr>
        <w:t xml:space="preserve">Business Name: Foundations Minnesota </w:t>
      </w:r>
    </w:p>
    <w:p>
      <w:pPr>
        <w:pStyle w:val="TextBody"/>
        <w:bidi w:val="0"/>
        <w:jc w:val="left"/>
        <w:rPr>
          <w:rFonts w:ascii="Times New Roman" w:hAnsi="Times New Roman"/>
          <w:b/>
          <w:color w:val="000000"/>
          <w:sz w:val="20"/>
        </w:rPr>
      </w:pPr>
      <w:r>
        <w:rPr>
          <w:rFonts w:ascii="Times New Roman" w:hAnsi="Times New Roman"/>
          <w:b/>
          <w:color w:val="000000"/>
          <w:sz w:val="20"/>
        </w:rPr>
        <w:t>Prominence Care Alliance, LLC</w:t>
      </w:r>
    </w:p>
    <w:p>
      <w:pPr>
        <w:pStyle w:val="TextBody"/>
        <w:bidi w:val="0"/>
        <w:jc w:val="left"/>
        <w:rPr>
          <w:rFonts w:ascii="Times New Roman" w:hAnsi="Times New Roman"/>
          <w:color w:val="000000"/>
          <w:sz w:val="20"/>
        </w:rPr>
      </w:pPr>
      <w:r>
        <w:rPr>
          <w:rFonts w:ascii="Times New Roman" w:hAnsi="Times New Roman"/>
          <w:color w:val="000000"/>
          <w:sz w:val="20"/>
        </w:rPr>
        <w:t>Incorporated State: Delaware</w:t>
      </w:r>
    </w:p>
    <w:p>
      <w:pPr>
        <w:pStyle w:val="TextBody"/>
        <w:bidi w:val="0"/>
        <w:jc w:val="left"/>
        <w:rPr>
          <w:rFonts w:ascii="Times New Roman" w:hAnsi="Times New Roman"/>
          <w:b/>
          <w:color w:val="000000"/>
          <w:sz w:val="20"/>
        </w:rPr>
      </w:pPr>
      <w:r>
        <w:rPr>
          <w:rFonts w:ascii="Times New Roman" w:hAnsi="Times New Roman"/>
          <w:b/>
          <w:color w:val="000000"/>
          <w:sz w:val="20"/>
        </w:rPr>
        <w:t>Prominence Florida Holdings, LLC</w:t>
      </w:r>
    </w:p>
    <w:p>
      <w:pPr>
        <w:pStyle w:val="TextBody"/>
        <w:bidi w:val="0"/>
        <w:jc w:val="left"/>
        <w:rPr>
          <w:rFonts w:ascii="Times New Roman" w:hAnsi="Times New Roman"/>
          <w:color w:val="000000"/>
          <w:sz w:val="20"/>
        </w:rPr>
      </w:pPr>
      <w:r>
        <w:rPr>
          <w:rFonts w:ascii="Times New Roman" w:hAnsi="Times New Roman"/>
          <w:color w:val="000000"/>
          <w:sz w:val="20"/>
        </w:rPr>
        <w:t>Incorporated State: Florida</w:t>
      </w:r>
    </w:p>
    <w:p>
      <w:pPr>
        <w:pStyle w:val="TextBody"/>
        <w:bidi w:val="0"/>
        <w:jc w:val="left"/>
        <w:rPr>
          <w:rFonts w:ascii="Times New Roman" w:hAnsi="Times New Roman"/>
          <w:b/>
          <w:color w:val="000000"/>
          <w:sz w:val="20"/>
        </w:rPr>
      </w:pPr>
      <w:r>
        <w:rPr>
          <w:rFonts w:ascii="Times New Roman" w:hAnsi="Times New Roman"/>
          <w:b/>
          <w:color w:val="000000"/>
          <w:sz w:val="20"/>
        </w:rPr>
        <w:t>Prominence HealthFirst</w:t>
      </w:r>
    </w:p>
    <w:p>
      <w:pPr>
        <w:pStyle w:val="TextBody"/>
        <w:bidi w:val="0"/>
        <w:jc w:val="left"/>
        <w:rPr>
          <w:rFonts w:ascii="Times New Roman" w:hAnsi="Times New Roman"/>
          <w:color w:val="000000"/>
          <w:sz w:val="20"/>
        </w:rPr>
      </w:pPr>
      <w:r>
        <w:rPr>
          <w:rFonts w:ascii="Times New Roman" w:hAnsi="Times New Roman"/>
          <w:color w:val="000000"/>
          <w:sz w:val="20"/>
        </w:rPr>
        <w:t>Incorporated State: Nevada</w:t>
      </w:r>
    </w:p>
    <w:p>
      <w:pPr>
        <w:pStyle w:val="TextBody"/>
        <w:bidi w:val="0"/>
        <w:jc w:val="left"/>
        <w:rPr>
          <w:rFonts w:ascii="Times New Roman" w:hAnsi="Times New Roman"/>
          <w:b/>
          <w:color w:val="000000"/>
          <w:sz w:val="20"/>
        </w:rPr>
      </w:pPr>
      <w:r>
        <w:rPr>
          <w:rFonts w:ascii="Times New Roman" w:hAnsi="Times New Roman"/>
          <w:b/>
          <w:color w:val="000000"/>
          <w:sz w:val="20"/>
        </w:rPr>
        <w:t>Prominence HealthFirst of Florida, Inc.</w:t>
      </w:r>
    </w:p>
    <w:p>
      <w:pPr>
        <w:pStyle w:val="TextBody"/>
        <w:bidi w:val="0"/>
        <w:jc w:val="left"/>
        <w:rPr>
          <w:rFonts w:ascii="Times New Roman" w:hAnsi="Times New Roman"/>
          <w:color w:val="000000"/>
          <w:sz w:val="20"/>
        </w:rPr>
      </w:pPr>
      <w:r>
        <w:rPr>
          <w:rFonts w:ascii="Times New Roman" w:hAnsi="Times New Roman"/>
          <w:color w:val="000000"/>
          <w:sz w:val="20"/>
        </w:rPr>
        <w:t>Incorporated State: Florida</w:t>
      </w:r>
    </w:p>
    <w:p>
      <w:pPr>
        <w:pStyle w:val="TextBody"/>
        <w:bidi w:val="0"/>
        <w:jc w:val="left"/>
        <w:rPr>
          <w:rFonts w:ascii="Times New Roman" w:hAnsi="Times New Roman"/>
          <w:sz w:val="20"/>
        </w:rPr>
      </w:pPr>
      <w:r>
        <w:rPr>
          <w:rFonts w:ascii="Times New Roman" w:hAnsi="Times New Roman"/>
          <w:b/>
          <w:color w:val="000000"/>
          <w:sz w:val="20"/>
        </w:rPr>
        <w:t>Prominence HealthFirst of Texas, Inc</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Incorporated State: Texas</w:t>
      </w:r>
    </w:p>
    <w:p>
      <w:pPr>
        <w:pStyle w:val="TextBody"/>
        <w:bidi w:val="0"/>
        <w:jc w:val="left"/>
        <w:rPr>
          <w:rFonts w:ascii="Times New Roman" w:hAnsi="Times New Roman"/>
          <w:b/>
          <w:color w:val="000000"/>
          <w:sz w:val="20"/>
        </w:rPr>
      </w:pPr>
      <w:r>
        <w:rPr>
          <w:rFonts w:ascii="Times New Roman" w:hAnsi="Times New Roman"/>
          <w:b/>
          <w:color w:val="000000"/>
          <w:sz w:val="20"/>
        </w:rPr>
        <w:t>Prominence Holdings, LLC</w:t>
      </w:r>
    </w:p>
    <w:p>
      <w:pPr>
        <w:pStyle w:val="TextBody"/>
        <w:bidi w:val="0"/>
        <w:jc w:val="left"/>
        <w:rPr>
          <w:rFonts w:ascii="Times New Roman" w:hAnsi="Times New Roman"/>
          <w:color w:val="000000"/>
          <w:sz w:val="20"/>
        </w:rPr>
      </w:pPr>
      <w:r>
        <w:rPr>
          <w:rFonts w:ascii="Times New Roman" w:hAnsi="Times New Roman"/>
          <w:color w:val="000000"/>
          <w:sz w:val="20"/>
        </w:rPr>
        <w:t>Incorporated State: Nevada</w:t>
      </w:r>
    </w:p>
    <w:p>
      <w:pPr>
        <w:pStyle w:val="TextBody"/>
        <w:bidi w:val="0"/>
        <w:jc w:val="left"/>
        <w:rPr>
          <w:rFonts w:ascii="Times New Roman" w:hAnsi="Times New Roman"/>
          <w:b/>
          <w:color w:val="000000"/>
          <w:sz w:val="20"/>
        </w:rPr>
      </w:pPr>
      <w:r>
        <w:rPr>
          <w:rFonts w:ascii="Times New Roman" w:hAnsi="Times New Roman"/>
          <w:b/>
          <w:color w:val="000000"/>
          <w:sz w:val="20"/>
        </w:rPr>
        <w:t>Prominence Management Services, LLC</w:t>
      </w:r>
    </w:p>
    <w:p>
      <w:pPr>
        <w:pStyle w:val="TextBody"/>
        <w:bidi w:val="0"/>
        <w:jc w:val="left"/>
        <w:rPr>
          <w:rFonts w:ascii="Times New Roman" w:hAnsi="Times New Roman"/>
          <w:color w:val="000000"/>
          <w:sz w:val="20"/>
        </w:rPr>
      </w:pPr>
      <w:r>
        <w:rPr>
          <w:rFonts w:ascii="Times New Roman" w:hAnsi="Times New Roman"/>
          <w:color w:val="000000"/>
          <w:sz w:val="20"/>
        </w:rPr>
        <w:t xml:space="preserve">Incorporated State: Nevada </w:t>
      </w:r>
    </w:p>
    <w:p>
      <w:pPr>
        <w:pStyle w:val="TextBody"/>
        <w:bidi w:val="0"/>
        <w:jc w:val="left"/>
        <w:rPr>
          <w:rFonts w:ascii="Times New Roman" w:hAnsi="Times New Roman"/>
          <w:b/>
          <w:color w:val="000000"/>
          <w:sz w:val="20"/>
        </w:rPr>
      </w:pPr>
      <w:r>
        <w:rPr>
          <w:rFonts w:ascii="Times New Roman" w:hAnsi="Times New Roman"/>
          <w:b/>
          <w:color w:val="000000"/>
          <w:sz w:val="20"/>
        </w:rPr>
        <w:t>Prominence Preferred Health Insurance Company, Inc.</w:t>
      </w:r>
    </w:p>
    <w:p>
      <w:pPr>
        <w:pStyle w:val="TextBody"/>
        <w:bidi w:val="0"/>
        <w:jc w:val="left"/>
        <w:rPr>
          <w:rFonts w:ascii="Times New Roman" w:hAnsi="Times New Roman"/>
          <w:color w:val="000000"/>
          <w:sz w:val="20"/>
        </w:rPr>
      </w:pPr>
      <w:r>
        <w:rPr>
          <w:rFonts w:ascii="Times New Roman" w:hAnsi="Times New Roman"/>
          <w:color w:val="000000"/>
          <w:sz w:val="20"/>
        </w:rPr>
        <w:t xml:space="preserve">Incorporated State: Nevada </w:t>
      </w:r>
    </w:p>
    <w:p>
      <w:pPr>
        <w:pStyle w:val="TextBody"/>
        <w:bidi w:val="0"/>
        <w:jc w:val="left"/>
        <w:rPr>
          <w:rFonts w:ascii="Times New Roman" w:hAnsi="Times New Roman"/>
          <w:b/>
          <w:color w:val="000000"/>
          <w:sz w:val="20"/>
        </w:rPr>
      </w:pPr>
      <w:r>
        <w:rPr>
          <w:rFonts w:ascii="Times New Roman" w:hAnsi="Times New Roman"/>
          <w:b/>
          <w:color w:val="000000"/>
          <w:sz w:val="20"/>
        </w:rPr>
        <w:t>Prominence Vera, LLC</w:t>
      </w:r>
    </w:p>
    <w:p>
      <w:pPr>
        <w:pStyle w:val="TextBody"/>
        <w:bidi w:val="0"/>
        <w:jc w:val="left"/>
        <w:rPr>
          <w:rFonts w:ascii="Times New Roman" w:hAnsi="Times New Roman"/>
          <w:color w:val="000000"/>
          <w:sz w:val="20"/>
        </w:rPr>
      </w:pPr>
      <w:r>
        <w:rPr>
          <w:rFonts w:ascii="Times New Roman" w:hAnsi="Times New Roman"/>
          <w:color w:val="000000"/>
          <w:sz w:val="20"/>
        </w:rPr>
        <w:t>Incorporated State: Nevada</w:t>
      </w:r>
    </w:p>
    <w:p>
      <w:pPr>
        <w:pStyle w:val="TextBody"/>
        <w:bidi w:val="0"/>
        <w:jc w:val="left"/>
        <w:rPr>
          <w:rFonts w:ascii="Times New Roman" w:hAnsi="Times New Roman"/>
          <w:sz w:val="20"/>
        </w:rPr>
      </w:pPr>
      <w:r>
        <w:rPr>
          <w:rFonts w:ascii="Times New Roman" w:hAnsi="Times New Roman"/>
          <w:b/>
          <w:color w:val="000000"/>
          <w:sz w:val="20"/>
        </w:rPr>
        <w:t>Provo Canyon School, Inc.</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Incorporated State: Utah </w:t>
      </w:r>
    </w:p>
    <w:p>
      <w:pPr>
        <w:pStyle w:val="TextBody"/>
        <w:bidi w:val="0"/>
        <w:jc w:val="left"/>
        <w:rPr>
          <w:rFonts w:ascii="Times New Roman" w:hAnsi="Times New Roman"/>
          <w:sz w:val="20"/>
        </w:rPr>
      </w:pPr>
      <w:r>
        <w:rPr>
          <w:rFonts w:ascii="Times New Roman" w:hAnsi="Times New Roman"/>
          <w:b/>
          <w:color w:val="000000"/>
          <w:sz w:val="20"/>
        </w:rPr>
        <w:t>PSJ Acquisition, LLC</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Incorporated State: North Dakota </w:t>
      </w:r>
    </w:p>
    <w:p>
      <w:pPr>
        <w:pStyle w:val="TextBody"/>
        <w:bidi w:val="0"/>
        <w:jc w:val="left"/>
        <w:rPr>
          <w:rFonts w:ascii="Times New Roman" w:hAnsi="Times New Roman"/>
          <w:color w:val="000000"/>
          <w:sz w:val="20"/>
        </w:rPr>
      </w:pPr>
      <w:r>
        <w:rPr>
          <w:rFonts w:ascii="Times New Roman" w:hAnsi="Times New Roman"/>
          <w:color w:val="000000"/>
          <w:sz w:val="20"/>
        </w:rPr>
        <w:t xml:space="preserve">Business Name: Prairie St. John’s </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sz w:val="20"/>
        </w:rPr>
      </w:pPr>
      <w:r>
        <w:rPr>
          <w:rFonts w:ascii="Times New Roman" w:hAnsi="Times New Roman"/>
          <w:b/>
          <w:color w:val="000000"/>
          <w:sz w:val="20"/>
        </w:rPr>
        <w:t>Psychiatric Realty, LLC</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Incorporated State: Delaware </w:t>
      </w:r>
    </w:p>
    <w:p>
      <w:pPr>
        <w:pStyle w:val="TextBody"/>
        <w:bidi w:val="0"/>
        <w:jc w:val="left"/>
        <w:rPr>
          <w:rFonts w:ascii="Times New Roman" w:hAnsi="Times New Roman"/>
          <w:sz w:val="20"/>
        </w:rPr>
      </w:pPr>
      <w:r>
        <w:rPr>
          <w:rFonts w:ascii="Times New Roman" w:hAnsi="Times New Roman"/>
          <w:b/>
          <w:color w:val="000000"/>
          <w:sz w:val="20"/>
        </w:rPr>
        <w:t>Psychiatric Solutions Hospitals, LLC</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Incorporated State: Delaware </w:t>
      </w:r>
    </w:p>
    <w:p>
      <w:pPr>
        <w:pStyle w:val="TextBody"/>
        <w:bidi w:val="0"/>
        <w:jc w:val="left"/>
        <w:rPr>
          <w:rFonts w:ascii="Times New Roman" w:hAnsi="Times New Roman"/>
          <w:sz w:val="20"/>
        </w:rPr>
      </w:pPr>
      <w:r>
        <w:rPr>
          <w:rFonts w:ascii="Times New Roman" w:hAnsi="Times New Roman"/>
          <w:b/>
          <w:color w:val="000000"/>
          <w:sz w:val="20"/>
        </w:rPr>
        <w:t>Psychiatric Solutions of Virginia, Inc.</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Incorporated State: Tennessee </w:t>
      </w:r>
    </w:p>
    <w:p>
      <w:pPr>
        <w:pStyle w:val="TextBody"/>
        <w:bidi w:val="0"/>
        <w:jc w:val="left"/>
        <w:rPr>
          <w:rFonts w:ascii="Times New Roman" w:hAnsi="Times New Roman"/>
          <w:sz w:val="20"/>
        </w:rPr>
      </w:pPr>
      <w:r>
        <w:rPr>
          <w:rFonts w:ascii="Times New Roman" w:hAnsi="Times New Roman"/>
          <w:b/>
          <w:color w:val="000000"/>
          <w:sz w:val="20"/>
        </w:rPr>
        <w:t>Psychiatric Solutions, Inc.</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Incorporated State: Delaware </w:t>
      </w:r>
    </w:p>
    <w:p>
      <w:pPr>
        <w:pStyle w:val="TextBody"/>
        <w:bidi w:val="0"/>
        <w:jc w:val="left"/>
        <w:rPr>
          <w:rFonts w:ascii="Times New Roman" w:hAnsi="Times New Roman"/>
          <w:sz w:val="20"/>
        </w:rPr>
      </w:pPr>
      <w:r>
        <w:rPr>
          <w:rFonts w:ascii="Times New Roman" w:hAnsi="Times New Roman"/>
          <w:b/>
          <w:color w:val="000000"/>
          <w:sz w:val="20"/>
        </w:rPr>
        <w:t>PsychManagement Group, Inc.</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Incorporated State: West Virginia </w:t>
      </w:r>
    </w:p>
    <w:p>
      <w:pPr>
        <w:pStyle w:val="TextBody"/>
        <w:bidi w:val="0"/>
        <w:jc w:val="left"/>
        <w:rPr>
          <w:rFonts w:ascii="Times New Roman" w:hAnsi="Times New Roman"/>
          <w:b/>
          <w:color w:val="000000"/>
          <w:sz w:val="20"/>
        </w:rPr>
      </w:pPr>
      <w:r>
        <w:rPr>
          <w:rFonts w:ascii="Times New Roman" w:hAnsi="Times New Roman"/>
          <w:b/>
          <w:color w:val="000000"/>
          <w:sz w:val="20"/>
        </w:rPr>
        <w:t>Quail Surgical and Pain Management Center, LLC</w:t>
      </w:r>
    </w:p>
    <w:p>
      <w:pPr>
        <w:pStyle w:val="TextBody"/>
        <w:bidi w:val="0"/>
        <w:jc w:val="left"/>
        <w:rPr>
          <w:rFonts w:ascii="Times New Roman" w:hAnsi="Times New Roman"/>
          <w:color w:val="000000"/>
          <w:sz w:val="20"/>
        </w:rPr>
      </w:pPr>
      <w:r>
        <w:rPr>
          <w:rFonts w:ascii="Times New Roman" w:hAnsi="Times New Roman"/>
          <w:color w:val="000000"/>
          <w:sz w:val="20"/>
        </w:rPr>
        <w:t>Incorporated State: Nevada</w:t>
      </w:r>
    </w:p>
    <w:p>
      <w:pPr>
        <w:pStyle w:val="TextBody"/>
        <w:bidi w:val="0"/>
        <w:jc w:val="left"/>
        <w:rPr>
          <w:rFonts w:ascii="Times New Roman" w:hAnsi="Times New Roman"/>
          <w:color w:val="000000"/>
          <w:sz w:val="20"/>
        </w:rPr>
      </w:pPr>
      <w:r>
        <w:rPr>
          <w:rFonts w:ascii="Times New Roman" w:hAnsi="Times New Roman"/>
          <w:color w:val="000000"/>
          <w:sz w:val="20"/>
        </w:rPr>
        <w:t>Business Name: Quail Surgical and Pain Management Center</w:t>
      </w:r>
    </w:p>
    <w:p>
      <w:pPr>
        <w:pStyle w:val="TextBody"/>
        <w:bidi w:val="0"/>
        <w:jc w:val="left"/>
        <w:rPr>
          <w:rFonts w:ascii="Times New Roman" w:hAnsi="Times New Roman"/>
          <w:sz w:val="20"/>
        </w:rPr>
      </w:pPr>
      <w:r>
        <w:rPr>
          <w:rFonts w:ascii="Times New Roman" w:hAnsi="Times New Roman"/>
          <w:b/>
          <w:color w:val="000000"/>
          <w:sz w:val="20"/>
        </w:rPr>
        <w:t>Radiation Oncology Center of Aiken, LLC</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Incorporation State: South Carolina </w:t>
      </w:r>
    </w:p>
    <w:p>
      <w:pPr>
        <w:pStyle w:val="TextBody"/>
        <w:bidi w:val="0"/>
        <w:jc w:val="left"/>
        <w:rPr>
          <w:rFonts w:ascii="Times New Roman" w:hAnsi="Times New Roman"/>
          <w:color w:val="000000"/>
          <w:sz w:val="20"/>
        </w:rPr>
      </w:pPr>
      <w:r>
        <w:rPr>
          <w:rFonts w:ascii="Times New Roman" w:hAnsi="Times New Roman"/>
          <w:color w:val="000000"/>
          <w:sz w:val="20"/>
        </w:rPr>
        <w:t xml:space="preserve">Business Name: Cancer Care Institute of Carolina </w:t>
      </w:r>
    </w:p>
    <w:p>
      <w:pPr>
        <w:pStyle w:val="TextBody"/>
        <w:bidi w:val="0"/>
        <w:jc w:val="left"/>
        <w:rPr>
          <w:rFonts w:ascii="Times New Roman" w:hAnsi="Times New Roman"/>
          <w:sz w:val="20"/>
        </w:rPr>
      </w:pPr>
      <w:r>
        <w:rPr>
          <w:rFonts w:ascii="Times New Roman" w:hAnsi="Times New Roman"/>
          <w:b/>
          <w:color w:val="000000"/>
          <w:sz w:val="20"/>
        </w:rPr>
        <w:t>Ramsay Managed Care, LLC</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Incorporated State: Delaware </w:t>
      </w:r>
    </w:p>
    <w:p>
      <w:pPr>
        <w:pStyle w:val="TextBody"/>
        <w:bidi w:val="0"/>
        <w:jc w:val="left"/>
        <w:rPr>
          <w:rFonts w:ascii="Times New Roman" w:hAnsi="Times New Roman"/>
          <w:sz w:val="20"/>
        </w:rPr>
      </w:pPr>
      <w:r>
        <w:rPr>
          <w:rFonts w:ascii="Times New Roman" w:hAnsi="Times New Roman"/>
          <w:b/>
          <w:color w:val="000000"/>
          <w:sz w:val="20"/>
        </w:rPr>
        <w:t>Ramsay Youth Services of Georgia, Inc.</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Incorporated State: Delaware </w:t>
      </w:r>
    </w:p>
    <w:p>
      <w:pPr>
        <w:pStyle w:val="TextBody"/>
        <w:bidi w:val="0"/>
        <w:jc w:val="left"/>
        <w:rPr>
          <w:rFonts w:ascii="Times New Roman" w:hAnsi="Times New Roman"/>
          <w:sz w:val="20"/>
        </w:rPr>
      </w:pPr>
      <w:r>
        <w:rPr>
          <w:rFonts w:ascii="Times New Roman" w:hAnsi="Times New Roman"/>
          <w:b/>
          <w:color w:val="000000"/>
          <w:sz w:val="20"/>
        </w:rPr>
        <w:t>Rancho Springs Receivables, L.L.C.</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Incorporated State: Delaware </w:t>
      </w:r>
    </w:p>
    <w:p>
      <w:pPr>
        <w:pStyle w:val="TextBody"/>
        <w:bidi w:val="0"/>
        <w:jc w:val="left"/>
        <w:rPr>
          <w:rFonts w:ascii="Times New Roman" w:hAnsi="Times New Roman"/>
          <w:sz w:val="20"/>
        </w:rPr>
      </w:pPr>
      <w:r>
        <w:rPr>
          <w:rFonts w:ascii="Times New Roman" w:hAnsi="Times New Roman"/>
          <w:b/>
          <w:color w:val="000000"/>
          <w:sz w:val="20"/>
        </w:rPr>
        <w:t>Recovery Physicians Group of Georgia, LLC</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Incorporated State: Delaware </w:t>
      </w:r>
    </w:p>
    <w:p>
      <w:pPr>
        <w:pStyle w:val="TextBody"/>
        <w:bidi w:val="0"/>
        <w:jc w:val="left"/>
        <w:rPr>
          <w:rFonts w:ascii="Times New Roman" w:hAnsi="Times New Roman"/>
          <w:sz w:val="20"/>
        </w:rPr>
      </w:pPr>
      <w:r>
        <w:rPr>
          <w:rFonts w:ascii="Times New Roman" w:hAnsi="Times New Roman"/>
          <w:b/>
          <w:color w:val="000000"/>
          <w:sz w:val="20"/>
        </w:rPr>
        <w:t>Recovery Physicians Group of Tennessee, LLC</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Incorporated State: Delaware </w:t>
      </w:r>
    </w:p>
    <w:p>
      <w:pPr>
        <w:pStyle w:val="TextBody"/>
        <w:bidi w:val="0"/>
        <w:jc w:val="left"/>
        <w:rPr>
          <w:rFonts w:ascii="Times New Roman" w:hAnsi="Times New Roman"/>
          <w:b/>
          <w:color w:val="000000"/>
          <w:sz w:val="20"/>
        </w:rPr>
      </w:pPr>
      <w:r>
        <w:rPr>
          <w:rFonts w:ascii="Times New Roman" w:hAnsi="Times New Roman"/>
          <w:b/>
          <w:color w:val="000000"/>
          <w:sz w:val="20"/>
        </w:rPr>
        <w:t>Recovery Physicians Network of Michigan</w:t>
      </w:r>
    </w:p>
    <w:p>
      <w:pPr>
        <w:pStyle w:val="TextBody"/>
        <w:bidi w:val="0"/>
        <w:jc w:val="left"/>
        <w:rPr>
          <w:rFonts w:ascii="Times New Roman" w:hAnsi="Times New Roman"/>
          <w:color w:val="000000"/>
          <w:sz w:val="20"/>
        </w:rPr>
      </w:pPr>
      <w:r>
        <w:rPr>
          <w:rFonts w:ascii="Times New Roman" w:hAnsi="Times New Roman"/>
          <w:color w:val="000000"/>
          <w:sz w:val="20"/>
        </w:rPr>
        <w:t>Incorporated State: Michigan</w:t>
      </w:r>
    </w:p>
    <w:p>
      <w:pPr>
        <w:pStyle w:val="TextBody"/>
        <w:bidi w:val="0"/>
        <w:jc w:val="left"/>
        <w:rPr>
          <w:rFonts w:ascii="Times New Roman" w:hAnsi="Times New Roman"/>
          <w:sz w:val="20"/>
        </w:rPr>
      </w:pPr>
      <w:r>
        <w:rPr>
          <w:rFonts w:ascii="Times New Roman" w:hAnsi="Times New Roman"/>
          <w:b/>
          <w:color w:val="000000"/>
          <w:sz w:val="20"/>
        </w:rPr>
        <w:t>Relational Therapy Clinic, Inc.</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Incorporated State: Louisiana </w:t>
      </w:r>
    </w:p>
    <w:p>
      <w:pPr>
        <w:pStyle w:val="TextBody"/>
        <w:bidi w:val="0"/>
        <w:jc w:val="left"/>
        <w:rPr>
          <w:rFonts w:ascii="Times New Roman" w:hAnsi="Times New Roman"/>
          <w:b/>
          <w:color w:val="000000"/>
          <w:sz w:val="20"/>
        </w:rPr>
      </w:pPr>
      <w:r>
        <w:rPr>
          <w:rFonts w:ascii="Times New Roman" w:hAnsi="Times New Roman"/>
          <w:b/>
          <w:color w:val="000000"/>
          <w:sz w:val="20"/>
        </w:rPr>
        <w:t>Relativeto Limited</w:t>
      </w:r>
    </w:p>
    <w:p>
      <w:pPr>
        <w:pStyle w:val="TextBody"/>
        <w:bidi w:val="0"/>
        <w:jc w:val="left"/>
        <w:rPr>
          <w:rFonts w:ascii="Times New Roman" w:hAnsi="Times New Roman"/>
          <w:color w:val="000000"/>
          <w:sz w:val="20"/>
        </w:rPr>
      </w:pPr>
      <w:r>
        <w:rPr>
          <w:rFonts w:ascii="Times New Roman" w:hAnsi="Times New Roman"/>
          <w:color w:val="000000"/>
          <w:sz w:val="20"/>
        </w:rPr>
        <w:t>Incorporated State: United Kingdom</w:t>
      </w:r>
    </w:p>
    <w:p>
      <w:pPr>
        <w:pStyle w:val="TextBody"/>
        <w:bidi w:val="0"/>
        <w:jc w:val="left"/>
        <w:rPr>
          <w:rFonts w:ascii="Times New Roman" w:hAnsi="Times New Roman"/>
          <w:color w:val="000000"/>
          <w:sz w:val="20"/>
        </w:rPr>
      </w:pPr>
      <w:r>
        <w:rPr>
          <w:rFonts w:ascii="Times New Roman" w:hAnsi="Times New Roman"/>
          <w:color w:val="000000"/>
          <w:sz w:val="20"/>
        </w:rPr>
        <w:t>Business Name: Dene Brook, Longfield House, Dove Valley Mews, Woodrow House and Lowry House</w:t>
      </w:r>
    </w:p>
    <w:p>
      <w:pPr>
        <w:pStyle w:val="TextBody"/>
        <w:bidi w:val="0"/>
        <w:jc w:val="left"/>
        <w:rPr>
          <w:rFonts w:ascii="Times New Roman" w:hAnsi="Times New Roman"/>
          <w:b/>
          <w:color w:val="000000"/>
          <w:sz w:val="20"/>
        </w:rPr>
      </w:pPr>
      <w:r>
        <w:rPr>
          <w:rFonts w:ascii="Times New Roman" w:hAnsi="Times New Roman"/>
          <w:b/>
          <w:color w:val="000000"/>
          <w:sz w:val="20"/>
        </w:rPr>
        <w:t>Reno Management Services, LLC</w:t>
      </w:r>
    </w:p>
    <w:p>
      <w:pPr>
        <w:pStyle w:val="TextBody"/>
        <w:bidi w:val="0"/>
        <w:jc w:val="left"/>
        <w:rPr>
          <w:rFonts w:ascii="Times New Roman" w:hAnsi="Times New Roman"/>
          <w:color w:val="000000"/>
          <w:sz w:val="20"/>
        </w:rPr>
      </w:pPr>
      <w:r>
        <w:rPr>
          <w:rFonts w:ascii="Times New Roman" w:hAnsi="Times New Roman"/>
          <w:color w:val="000000"/>
          <w:sz w:val="20"/>
        </w:rPr>
        <w:t>Incorporated State: Nevada</w:t>
      </w:r>
    </w:p>
    <w:p>
      <w:pPr>
        <w:pStyle w:val="TextBody"/>
        <w:bidi w:val="0"/>
        <w:jc w:val="left"/>
        <w:rPr>
          <w:rFonts w:ascii="Times New Roman" w:hAnsi="Times New Roman"/>
          <w:color w:val="000000"/>
          <w:sz w:val="20"/>
        </w:rPr>
      </w:pPr>
      <w:r>
        <w:rPr>
          <w:rFonts w:ascii="Times New Roman" w:hAnsi="Times New Roman"/>
          <w:color w:val="000000"/>
          <w:sz w:val="20"/>
        </w:rPr>
        <w:t>Business Name: Personalized Radiation Oncology</w:t>
      </w:r>
    </w:p>
    <w:p>
      <w:pPr>
        <w:pStyle w:val="TextBody"/>
        <w:bidi w:val="0"/>
        <w:jc w:val="left"/>
        <w:rPr>
          <w:rFonts w:ascii="Times New Roman" w:hAnsi="Times New Roman"/>
          <w:sz w:val="20"/>
        </w:rPr>
      </w:pPr>
      <w:r>
        <w:rPr>
          <w:rFonts w:ascii="Times New Roman" w:hAnsi="Times New Roman"/>
          <w:b/>
          <w:color w:val="000000"/>
          <w:sz w:val="20"/>
        </w:rPr>
        <w:t>Ridge Outpatient Counseling, L.L.C.</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Incorporated State: Kentucky </w:t>
      </w:r>
    </w:p>
    <w:p>
      <w:pPr>
        <w:pStyle w:val="TextBody"/>
        <w:bidi w:val="0"/>
        <w:jc w:val="left"/>
        <w:rPr>
          <w:rFonts w:ascii="Times New Roman" w:hAnsi="Times New Roman"/>
          <w:sz w:val="20"/>
        </w:rPr>
      </w:pPr>
      <w:r>
        <w:rPr>
          <w:rFonts w:ascii="Times New Roman" w:hAnsi="Times New Roman"/>
          <w:b/>
          <w:color w:val="000000"/>
          <w:sz w:val="20"/>
        </w:rPr>
        <w:t>River Crest Hospital, Inc.</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Incorporated State: Texas </w:t>
      </w:r>
    </w:p>
    <w:p>
      <w:pPr>
        <w:pStyle w:val="TextBody"/>
        <w:bidi w:val="0"/>
        <w:jc w:val="left"/>
        <w:rPr>
          <w:rFonts w:ascii="Times New Roman" w:hAnsi="Times New Roman"/>
          <w:sz w:val="20"/>
        </w:rPr>
      </w:pPr>
      <w:r>
        <w:rPr>
          <w:rFonts w:ascii="Times New Roman" w:hAnsi="Times New Roman"/>
          <w:b/>
          <w:color w:val="000000"/>
          <w:sz w:val="20"/>
        </w:rPr>
        <w:t>River Oaks, Inc.</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Incorporated State: Louisiana </w:t>
      </w:r>
    </w:p>
    <w:p>
      <w:pPr>
        <w:pStyle w:val="TextBody"/>
        <w:bidi w:val="0"/>
        <w:jc w:val="left"/>
        <w:rPr>
          <w:rFonts w:ascii="Times New Roman" w:hAnsi="Times New Roman"/>
          <w:color w:val="000000"/>
          <w:sz w:val="20"/>
        </w:rPr>
      </w:pPr>
      <w:r>
        <w:rPr>
          <w:rFonts w:ascii="Times New Roman" w:hAnsi="Times New Roman"/>
          <w:color w:val="000000"/>
          <w:sz w:val="20"/>
        </w:rPr>
        <w:t xml:space="preserve">Business Name: River Oaks Hospital </w:t>
      </w:r>
    </w:p>
    <w:p>
      <w:pPr>
        <w:pStyle w:val="TextBody"/>
        <w:bidi w:val="0"/>
        <w:jc w:val="left"/>
        <w:rPr>
          <w:rFonts w:ascii="Times New Roman" w:hAnsi="Times New Roman"/>
          <w:sz w:val="20"/>
        </w:rPr>
      </w:pPr>
      <w:r>
        <w:rPr>
          <w:rFonts w:ascii="Times New Roman" w:hAnsi="Times New Roman"/>
          <w:b/>
          <w:color w:val="000000"/>
          <w:sz w:val="20"/>
        </w:rPr>
        <w:t>Riveredge Hospital Holdings, Inc.</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Incorporated State: Delaware </w:t>
      </w:r>
    </w:p>
    <w:p>
      <w:pPr>
        <w:pStyle w:val="TextBody"/>
        <w:bidi w:val="0"/>
        <w:jc w:val="left"/>
        <w:rPr>
          <w:rFonts w:ascii="Times New Roman" w:hAnsi="Times New Roman"/>
          <w:sz w:val="20"/>
        </w:rPr>
      </w:pPr>
      <w:r>
        <w:rPr>
          <w:rFonts w:ascii="Times New Roman" w:hAnsi="Times New Roman"/>
          <w:b/>
          <w:color w:val="000000"/>
          <w:sz w:val="20"/>
        </w:rPr>
        <w:t>Riveredge Hospital, Inc.</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Incorporated State: Illinois </w:t>
      </w:r>
    </w:p>
    <w:p>
      <w:pPr>
        <w:pStyle w:val="TextBody"/>
        <w:bidi w:val="0"/>
        <w:jc w:val="left"/>
        <w:rPr>
          <w:rFonts w:ascii="Times New Roman" w:hAnsi="Times New Roman"/>
          <w:color w:val="000000"/>
          <w:sz w:val="20"/>
        </w:rPr>
      </w:pPr>
      <w:r>
        <w:rPr>
          <w:rFonts w:ascii="Times New Roman" w:hAnsi="Times New Roman"/>
          <w:color w:val="000000"/>
          <w:sz w:val="20"/>
        </w:rPr>
        <w:t xml:space="preserve">Business Name: Riveredge Hospital </w:t>
      </w:r>
    </w:p>
    <w:p>
      <w:pPr>
        <w:pStyle w:val="TextBody"/>
        <w:bidi w:val="0"/>
        <w:jc w:val="left"/>
        <w:rPr>
          <w:rFonts w:ascii="Times New Roman" w:hAnsi="Times New Roman"/>
          <w:sz w:val="20"/>
        </w:rPr>
      </w:pPr>
      <w:r>
        <w:rPr>
          <w:rFonts w:ascii="Times New Roman" w:hAnsi="Times New Roman"/>
          <w:b/>
          <w:color w:val="000000"/>
          <w:sz w:val="20"/>
        </w:rPr>
        <w:t>Riveredge Real Estate, Inc.</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Incorporated State: Illinois </w:t>
      </w:r>
    </w:p>
    <w:p>
      <w:pPr>
        <w:pStyle w:val="TextBody"/>
        <w:bidi w:val="0"/>
        <w:jc w:val="left"/>
        <w:rPr>
          <w:rFonts w:ascii="Times New Roman" w:hAnsi="Times New Roman"/>
          <w:b/>
          <w:color w:val="000000"/>
          <w:sz w:val="20"/>
        </w:rPr>
      </w:pPr>
      <w:r>
        <w:rPr>
          <w:rFonts w:ascii="Times New Roman" w:hAnsi="Times New Roman"/>
          <w:b/>
          <w:color w:val="000000"/>
          <w:sz w:val="20"/>
        </w:rPr>
        <w:t>Riverside Medical Clinic Patient Services, LLC</w:t>
      </w:r>
    </w:p>
    <w:p>
      <w:pPr>
        <w:pStyle w:val="TextBody"/>
        <w:bidi w:val="0"/>
        <w:jc w:val="left"/>
        <w:rPr>
          <w:rFonts w:ascii="Times New Roman" w:hAnsi="Times New Roman"/>
          <w:color w:val="000000"/>
          <w:sz w:val="20"/>
        </w:rPr>
      </w:pPr>
      <w:r>
        <w:rPr>
          <w:rFonts w:ascii="Times New Roman" w:hAnsi="Times New Roman"/>
          <w:color w:val="000000"/>
          <w:sz w:val="20"/>
        </w:rPr>
        <w:t>Incorporated State: California</w:t>
      </w:r>
    </w:p>
    <w:p>
      <w:pPr>
        <w:pStyle w:val="TextBody"/>
        <w:bidi w:val="0"/>
        <w:jc w:val="left"/>
        <w:rPr>
          <w:rFonts w:ascii="Times New Roman" w:hAnsi="Times New Roman"/>
          <w:b/>
          <w:color w:val="000000"/>
          <w:sz w:val="20"/>
        </w:rPr>
      </w:pPr>
      <w:r>
        <w:rPr>
          <w:rFonts w:ascii="Times New Roman" w:hAnsi="Times New Roman"/>
          <w:b/>
          <w:color w:val="000000"/>
          <w:sz w:val="20"/>
        </w:rPr>
        <w:t>RMC Surgery Center, LLC</w:t>
      </w:r>
    </w:p>
    <w:p>
      <w:pPr>
        <w:pStyle w:val="TextBody"/>
        <w:bidi w:val="0"/>
        <w:jc w:val="left"/>
        <w:rPr>
          <w:rFonts w:ascii="Times New Roman" w:hAnsi="Times New Roman"/>
          <w:color w:val="000000"/>
          <w:sz w:val="20"/>
        </w:rPr>
      </w:pPr>
      <w:r>
        <w:rPr>
          <w:rFonts w:ascii="Times New Roman" w:hAnsi="Times New Roman"/>
          <w:color w:val="000000"/>
          <w:sz w:val="20"/>
        </w:rPr>
        <w:t>Incorporated State: California</w:t>
      </w:r>
    </w:p>
    <w:p>
      <w:pPr>
        <w:pStyle w:val="TextBody"/>
        <w:bidi w:val="0"/>
        <w:jc w:val="left"/>
        <w:rPr>
          <w:rFonts w:ascii="Times New Roman" w:hAnsi="Times New Roman"/>
          <w:color w:val="000000"/>
          <w:sz w:val="20"/>
        </w:rPr>
      </w:pPr>
      <w:r>
        <w:rPr>
          <w:rFonts w:ascii="Times New Roman" w:hAnsi="Times New Roman"/>
          <w:color w:val="000000"/>
          <w:sz w:val="20"/>
        </w:rPr>
        <w:t>Business Name: RMC Surgery Center Brockton, RMC Surgery Center GI Suites and RMC Surgery Center Temescal Valley</w:t>
      </w:r>
    </w:p>
    <w:p>
      <w:pPr>
        <w:pStyle w:val="TextBody"/>
        <w:bidi w:val="0"/>
        <w:jc w:val="left"/>
        <w:rPr>
          <w:rFonts w:ascii="Times New Roman" w:hAnsi="Times New Roman"/>
          <w:sz w:val="20"/>
        </w:rPr>
      </w:pPr>
      <w:r>
        <w:rPr>
          <w:rFonts w:ascii="Times New Roman" w:hAnsi="Times New Roman"/>
          <w:b/>
          <w:color w:val="000000"/>
          <w:sz w:val="20"/>
        </w:rPr>
        <w:t>Rolling Hills Hospital, LLC</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Incorporated State: Tennessee </w:t>
      </w:r>
    </w:p>
    <w:p>
      <w:pPr>
        <w:pStyle w:val="TextBody"/>
        <w:bidi w:val="0"/>
        <w:jc w:val="left"/>
        <w:rPr>
          <w:rFonts w:ascii="Times New Roman" w:hAnsi="Times New Roman"/>
          <w:color w:val="000000"/>
          <w:sz w:val="20"/>
        </w:rPr>
      </w:pPr>
      <w:r>
        <w:rPr>
          <w:rFonts w:ascii="Times New Roman" w:hAnsi="Times New Roman"/>
          <w:color w:val="000000"/>
          <w:sz w:val="20"/>
        </w:rPr>
        <w:t xml:space="preserve">Business Name: Rolling Hills Hospital </w:t>
      </w:r>
    </w:p>
    <w:p>
      <w:pPr>
        <w:pStyle w:val="TextBody"/>
        <w:bidi w:val="0"/>
        <w:jc w:val="left"/>
        <w:rPr>
          <w:rFonts w:ascii="Times New Roman" w:hAnsi="Times New Roman"/>
          <w:sz w:val="20"/>
        </w:rPr>
      </w:pPr>
      <w:r>
        <w:rPr>
          <w:rFonts w:ascii="Times New Roman" w:hAnsi="Times New Roman"/>
          <w:b/>
          <w:color w:val="000000"/>
          <w:sz w:val="20"/>
        </w:rPr>
        <w:t>RR Behavioral Realty LLC</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Incorporated State: Delaware </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sz w:val="20"/>
        </w:rPr>
      </w:pPr>
      <w:r>
        <w:rPr>
          <w:rFonts w:ascii="Times New Roman" w:hAnsi="Times New Roman"/>
          <w:b/>
          <w:color w:val="000000"/>
          <w:sz w:val="20"/>
        </w:rPr>
        <w:t>RR Recovery LLC</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Incorporated State: Delaware </w:t>
      </w:r>
    </w:p>
    <w:p>
      <w:pPr>
        <w:pStyle w:val="TextBody"/>
        <w:bidi w:val="0"/>
        <w:jc w:val="left"/>
        <w:rPr>
          <w:rFonts w:ascii="Times New Roman" w:hAnsi="Times New Roman"/>
          <w:b/>
          <w:color w:val="000000"/>
          <w:sz w:val="20"/>
        </w:rPr>
      </w:pPr>
      <w:r>
        <w:rPr>
          <w:rFonts w:ascii="Times New Roman" w:hAnsi="Times New Roman"/>
          <w:b/>
          <w:color w:val="000000"/>
          <w:sz w:val="20"/>
        </w:rPr>
        <w:t>Sacramento Crisis Stabilization Center, Inc.</w:t>
      </w:r>
    </w:p>
    <w:p>
      <w:pPr>
        <w:pStyle w:val="TextBody"/>
        <w:bidi w:val="0"/>
        <w:jc w:val="left"/>
        <w:rPr>
          <w:rFonts w:ascii="Times New Roman" w:hAnsi="Times New Roman"/>
          <w:color w:val="000000"/>
          <w:sz w:val="20"/>
        </w:rPr>
      </w:pPr>
      <w:r>
        <w:rPr>
          <w:rFonts w:ascii="Times New Roman" w:hAnsi="Times New Roman"/>
          <w:color w:val="000000"/>
          <w:sz w:val="20"/>
        </w:rPr>
        <w:t>Incorporated State: California</w:t>
      </w:r>
    </w:p>
    <w:p>
      <w:pPr>
        <w:pStyle w:val="TextBody"/>
        <w:bidi w:val="0"/>
        <w:jc w:val="left"/>
        <w:rPr>
          <w:rFonts w:ascii="Times New Roman" w:hAnsi="Times New Roman"/>
          <w:b/>
          <w:color w:val="000000"/>
          <w:sz w:val="20"/>
        </w:rPr>
      </w:pPr>
      <w:r>
        <w:rPr>
          <w:rFonts w:ascii="Times New Roman" w:hAnsi="Times New Roman"/>
          <w:b/>
          <w:color w:val="000000"/>
          <w:sz w:val="20"/>
        </w:rPr>
        <w:t>Safe Spaces Limited</w:t>
      </w:r>
    </w:p>
    <w:p>
      <w:pPr>
        <w:pStyle w:val="TextBody"/>
        <w:bidi w:val="0"/>
        <w:jc w:val="left"/>
        <w:rPr>
          <w:rFonts w:ascii="Times New Roman" w:hAnsi="Times New Roman"/>
          <w:color w:val="000000"/>
          <w:sz w:val="20"/>
        </w:rPr>
      </w:pPr>
      <w:r>
        <w:rPr>
          <w:rFonts w:ascii="Times New Roman" w:hAnsi="Times New Roman"/>
          <w:color w:val="000000"/>
          <w:sz w:val="20"/>
        </w:rPr>
        <w:t>Incorporated State: United Kingdom</w:t>
      </w:r>
    </w:p>
    <w:p>
      <w:pPr>
        <w:pStyle w:val="TextBody"/>
        <w:bidi w:val="0"/>
        <w:jc w:val="left"/>
        <w:rPr>
          <w:rFonts w:ascii="Times New Roman" w:hAnsi="Times New Roman"/>
          <w:sz w:val="20"/>
        </w:rPr>
      </w:pPr>
      <w:r>
        <w:rPr>
          <w:rFonts w:ascii="Times New Roman" w:hAnsi="Times New Roman"/>
          <w:b/>
          <w:color w:val="000000"/>
          <w:sz w:val="20"/>
        </w:rPr>
        <w:t>Salt Lake Behavioral Health, LLC</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Incorporated State: Delaware </w:t>
      </w:r>
    </w:p>
    <w:p>
      <w:pPr>
        <w:pStyle w:val="TextBody"/>
        <w:bidi w:val="0"/>
        <w:jc w:val="left"/>
        <w:rPr>
          <w:rFonts w:ascii="Times New Roman" w:hAnsi="Times New Roman"/>
          <w:color w:val="000000"/>
          <w:sz w:val="20"/>
        </w:rPr>
      </w:pPr>
      <w:r>
        <w:rPr>
          <w:rFonts w:ascii="Times New Roman" w:hAnsi="Times New Roman"/>
          <w:color w:val="000000"/>
          <w:sz w:val="20"/>
        </w:rPr>
        <w:t xml:space="preserve">Business Name: Salt Lake Behavioral Health </w:t>
      </w:r>
    </w:p>
    <w:p>
      <w:pPr>
        <w:pStyle w:val="TextBody"/>
        <w:bidi w:val="0"/>
        <w:jc w:val="left"/>
        <w:rPr>
          <w:rFonts w:ascii="Times New Roman" w:hAnsi="Times New Roman"/>
          <w:sz w:val="20"/>
        </w:rPr>
      </w:pPr>
      <w:r>
        <w:rPr>
          <w:rFonts w:ascii="Times New Roman" w:hAnsi="Times New Roman"/>
          <w:b/>
          <w:color w:val="000000"/>
          <w:sz w:val="20"/>
        </w:rPr>
        <w:t>Salt Lake Psychiatric Realty, LLC</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Incorporated State: Delaware </w:t>
      </w:r>
    </w:p>
    <w:p>
      <w:pPr>
        <w:pStyle w:val="TextBody"/>
        <w:bidi w:val="0"/>
        <w:jc w:val="left"/>
        <w:rPr>
          <w:rFonts w:ascii="Times New Roman" w:hAnsi="Times New Roman"/>
          <w:sz w:val="20"/>
        </w:rPr>
      </w:pPr>
      <w:r>
        <w:rPr>
          <w:rFonts w:ascii="Times New Roman" w:hAnsi="Times New Roman"/>
          <w:b/>
          <w:color w:val="000000"/>
          <w:sz w:val="20"/>
        </w:rPr>
        <w:t>Samson Properties, LLC</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Incorporated State: Florida </w:t>
      </w:r>
    </w:p>
    <w:p>
      <w:pPr>
        <w:pStyle w:val="TextBody"/>
        <w:bidi w:val="0"/>
        <w:jc w:val="left"/>
        <w:rPr>
          <w:rFonts w:ascii="Times New Roman" w:hAnsi="Times New Roman"/>
          <w:b/>
          <w:color w:val="000000"/>
          <w:sz w:val="20"/>
        </w:rPr>
      </w:pPr>
      <w:r>
        <w:rPr>
          <w:rFonts w:ascii="Times New Roman" w:hAnsi="Times New Roman"/>
          <w:b/>
          <w:color w:val="000000"/>
          <w:sz w:val="20"/>
        </w:rPr>
        <w:t>Schick Shadel of Florida, LLC</w:t>
      </w:r>
    </w:p>
    <w:p>
      <w:pPr>
        <w:pStyle w:val="TextBody"/>
        <w:bidi w:val="0"/>
        <w:jc w:val="left"/>
        <w:rPr>
          <w:rFonts w:ascii="Times New Roman" w:hAnsi="Times New Roman"/>
          <w:color w:val="000000"/>
          <w:sz w:val="20"/>
        </w:rPr>
      </w:pPr>
      <w:r>
        <w:rPr>
          <w:rFonts w:ascii="Times New Roman" w:hAnsi="Times New Roman"/>
          <w:color w:val="000000"/>
          <w:sz w:val="20"/>
        </w:rPr>
        <w:t>Incorporated State: Florida</w:t>
      </w:r>
    </w:p>
    <w:p>
      <w:pPr>
        <w:pStyle w:val="TextBody"/>
        <w:bidi w:val="0"/>
        <w:jc w:val="left"/>
        <w:rPr>
          <w:rFonts w:ascii="Times New Roman" w:hAnsi="Times New Roman"/>
          <w:sz w:val="20"/>
        </w:rPr>
      </w:pPr>
      <w:r>
        <w:rPr>
          <w:rFonts w:ascii="Times New Roman" w:hAnsi="Times New Roman"/>
          <w:b/>
          <w:color w:val="000000"/>
          <w:sz w:val="20"/>
        </w:rPr>
        <w:t>Shadow Mountain Behavioral Health System, LLC</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Incorporated State: Delaware </w:t>
      </w:r>
    </w:p>
    <w:p>
      <w:pPr>
        <w:pStyle w:val="TextBody"/>
        <w:bidi w:val="0"/>
        <w:jc w:val="left"/>
        <w:rPr>
          <w:rFonts w:ascii="Times New Roman" w:hAnsi="Times New Roman"/>
          <w:sz w:val="20"/>
        </w:rPr>
      </w:pPr>
      <w:r>
        <w:rPr>
          <w:rFonts w:ascii="Times New Roman" w:hAnsi="Times New Roman"/>
          <w:b/>
          <w:color w:val="000000"/>
          <w:sz w:val="20"/>
        </w:rPr>
        <w:t>SHC-KPH, LP</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Incorporated State: Texas </w:t>
      </w:r>
    </w:p>
    <w:p>
      <w:pPr>
        <w:pStyle w:val="TextBody"/>
        <w:bidi w:val="0"/>
        <w:jc w:val="left"/>
        <w:rPr>
          <w:rFonts w:ascii="Times New Roman" w:hAnsi="Times New Roman"/>
          <w:color w:val="000000"/>
          <w:sz w:val="20"/>
        </w:rPr>
      </w:pPr>
      <w:r>
        <w:rPr>
          <w:rFonts w:ascii="Times New Roman" w:hAnsi="Times New Roman"/>
          <w:color w:val="000000"/>
          <w:sz w:val="20"/>
        </w:rPr>
        <w:t>Business Name: Kingwood Pines Hospital</w:t>
      </w:r>
    </w:p>
    <w:p>
      <w:pPr>
        <w:pStyle w:val="TextBody"/>
        <w:bidi w:val="0"/>
        <w:jc w:val="left"/>
        <w:rPr>
          <w:rFonts w:ascii="Times New Roman" w:hAnsi="Times New Roman"/>
          <w:b/>
          <w:color w:val="000000"/>
          <w:sz w:val="20"/>
        </w:rPr>
      </w:pPr>
      <w:r>
        <w:rPr>
          <w:rFonts w:ascii="Times New Roman" w:hAnsi="Times New Roman"/>
          <w:b/>
          <w:color w:val="000000"/>
          <w:sz w:val="20"/>
        </w:rPr>
        <w:t>Short Ground Limited</w:t>
      </w:r>
    </w:p>
    <w:p>
      <w:pPr>
        <w:pStyle w:val="TextBody"/>
        <w:bidi w:val="0"/>
        <w:jc w:val="left"/>
        <w:rPr>
          <w:rFonts w:ascii="Times New Roman" w:hAnsi="Times New Roman"/>
          <w:color w:val="000000"/>
          <w:sz w:val="20"/>
        </w:rPr>
      </w:pPr>
      <w:r>
        <w:rPr>
          <w:rFonts w:ascii="Times New Roman" w:hAnsi="Times New Roman"/>
          <w:color w:val="000000"/>
          <w:sz w:val="20"/>
        </w:rPr>
        <w:t>Incorporated State: United Kingdom</w:t>
      </w:r>
    </w:p>
    <w:p>
      <w:pPr>
        <w:pStyle w:val="TextBody"/>
        <w:bidi w:val="0"/>
        <w:jc w:val="left"/>
        <w:rPr>
          <w:rFonts w:ascii="Times New Roman" w:hAnsi="Times New Roman"/>
          <w:color w:val="000000"/>
          <w:sz w:val="20"/>
        </w:rPr>
      </w:pPr>
      <w:r>
        <w:rPr>
          <w:rFonts w:ascii="Times New Roman" w:hAnsi="Times New Roman"/>
          <w:color w:val="000000"/>
          <w:sz w:val="20"/>
        </w:rPr>
        <w:t xml:space="preserve">Business Name: Norcott House and Norcott Lodge </w:t>
      </w:r>
    </w:p>
    <w:p>
      <w:pPr>
        <w:pStyle w:val="TextBody"/>
        <w:bidi w:val="0"/>
        <w:jc w:val="left"/>
        <w:rPr>
          <w:rFonts w:ascii="Times New Roman" w:hAnsi="Times New Roman"/>
          <w:b/>
          <w:color w:val="000000"/>
          <w:sz w:val="20"/>
        </w:rPr>
      </w:pPr>
      <w:r>
        <w:rPr>
          <w:rFonts w:ascii="Times New Roman" w:hAnsi="Times New Roman"/>
          <w:b/>
          <w:color w:val="000000"/>
          <w:sz w:val="20"/>
        </w:rPr>
        <w:t>Silver State ACO, LLC</w:t>
      </w:r>
    </w:p>
    <w:p>
      <w:pPr>
        <w:pStyle w:val="TextBody"/>
        <w:bidi w:val="0"/>
        <w:jc w:val="left"/>
        <w:rPr>
          <w:rFonts w:ascii="Times New Roman" w:hAnsi="Times New Roman"/>
          <w:color w:val="000000"/>
          <w:sz w:val="20"/>
        </w:rPr>
      </w:pPr>
      <w:r>
        <w:rPr>
          <w:rFonts w:ascii="Times New Roman" w:hAnsi="Times New Roman"/>
          <w:color w:val="000000"/>
          <w:sz w:val="20"/>
        </w:rPr>
        <w:t>Incorporated State: Nevada</w:t>
      </w:r>
    </w:p>
    <w:p>
      <w:pPr>
        <w:pStyle w:val="TextBody"/>
        <w:bidi w:val="0"/>
        <w:jc w:val="left"/>
        <w:rPr>
          <w:rFonts w:ascii="Times New Roman" w:hAnsi="Times New Roman"/>
          <w:b/>
          <w:color w:val="000000"/>
          <w:sz w:val="20"/>
        </w:rPr>
      </w:pPr>
      <w:r>
        <w:rPr>
          <w:rFonts w:ascii="Times New Roman" w:hAnsi="Times New Roman"/>
          <w:b/>
          <w:color w:val="000000"/>
          <w:sz w:val="20"/>
        </w:rPr>
        <w:t>SLBMI Alternative Programs, LLC</w:t>
      </w:r>
    </w:p>
    <w:p>
      <w:pPr>
        <w:pStyle w:val="TextBody"/>
        <w:bidi w:val="0"/>
        <w:jc w:val="left"/>
        <w:rPr>
          <w:rFonts w:ascii="Times New Roman" w:hAnsi="Times New Roman"/>
          <w:color w:val="000000"/>
          <w:sz w:val="20"/>
        </w:rPr>
      </w:pPr>
      <w:r>
        <w:rPr>
          <w:rFonts w:ascii="Times New Roman" w:hAnsi="Times New Roman"/>
          <w:color w:val="000000"/>
          <w:sz w:val="20"/>
        </w:rPr>
        <w:t>Incorporated State: Missouri</w:t>
      </w:r>
    </w:p>
    <w:p>
      <w:pPr>
        <w:pStyle w:val="TextBody"/>
        <w:bidi w:val="0"/>
        <w:jc w:val="left"/>
        <w:rPr>
          <w:rFonts w:ascii="Times New Roman" w:hAnsi="Times New Roman"/>
          <w:sz w:val="20"/>
        </w:rPr>
      </w:pPr>
      <w:r>
        <w:rPr>
          <w:rFonts w:ascii="Times New Roman" w:hAnsi="Times New Roman"/>
          <w:b/>
          <w:color w:val="000000"/>
          <w:sz w:val="20"/>
        </w:rPr>
        <w:t>Somerset, Incorporated</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Incorporated State: California </w:t>
      </w:r>
    </w:p>
    <w:p>
      <w:pPr>
        <w:pStyle w:val="TextBody"/>
        <w:bidi w:val="0"/>
        <w:jc w:val="left"/>
        <w:rPr>
          <w:rFonts w:ascii="Times New Roman" w:hAnsi="Times New Roman"/>
          <w:b/>
          <w:color w:val="000000"/>
          <w:sz w:val="20"/>
        </w:rPr>
      </w:pPr>
      <w:r>
        <w:rPr>
          <w:rFonts w:ascii="Times New Roman" w:hAnsi="Times New Roman"/>
          <w:b/>
          <w:color w:val="000000"/>
          <w:sz w:val="20"/>
        </w:rPr>
        <w:t>South Texas ACO Clinical Partners, LLC</w:t>
      </w:r>
    </w:p>
    <w:p>
      <w:pPr>
        <w:pStyle w:val="TextBody"/>
        <w:bidi w:val="0"/>
        <w:jc w:val="left"/>
        <w:rPr>
          <w:rFonts w:ascii="Times New Roman" w:hAnsi="Times New Roman"/>
          <w:color w:val="000000"/>
          <w:sz w:val="20"/>
        </w:rPr>
      </w:pPr>
      <w:r>
        <w:rPr>
          <w:rFonts w:ascii="Times New Roman" w:hAnsi="Times New Roman"/>
          <w:color w:val="000000"/>
          <w:sz w:val="20"/>
        </w:rPr>
        <w:t>Incorporated State: Texas</w:t>
      </w:r>
    </w:p>
    <w:p>
      <w:pPr>
        <w:pStyle w:val="TextBody"/>
        <w:bidi w:val="0"/>
        <w:jc w:val="left"/>
        <w:rPr>
          <w:rFonts w:ascii="Times New Roman" w:hAnsi="Times New Roman"/>
          <w:sz w:val="20"/>
        </w:rPr>
      </w:pPr>
      <w:r>
        <w:rPr>
          <w:rFonts w:ascii="Times New Roman" w:hAnsi="Times New Roman"/>
          <w:b/>
          <w:color w:val="000000"/>
          <w:sz w:val="20"/>
        </w:rPr>
        <w:t>Southeastern Hospital Corporation</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Incorporated State: Tennessee </w:t>
      </w:r>
    </w:p>
    <w:p>
      <w:pPr>
        <w:pStyle w:val="TextBody"/>
        <w:bidi w:val="0"/>
        <w:jc w:val="left"/>
        <w:rPr>
          <w:rFonts w:ascii="Times New Roman" w:hAnsi="Times New Roman"/>
          <w:sz w:val="20"/>
        </w:rPr>
      </w:pPr>
      <w:r>
        <w:rPr>
          <w:rFonts w:ascii="Times New Roman" w:hAnsi="Times New Roman"/>
          <w:b/>
          <w:color w:val="000000"/>
          <w:sz w:val="20"/>
        </w:rPr>
        <w:t>Southern California Physician Network, Inc.</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Incorporated State: California</w:t>
      </w:r>
    </w:p>
    <w:p>
      <w:pPr>
        <w:pStyle w:val="TextBody"/>
        <w:bidi w:val="0"/>
        <w:jc w:val="left"/>
        <w:rPr>
          <w:rFonts w:ascii="Times New Roman" w:hAnsi="Times New Roman"/>
          <w:b/>
          <w:color w:val="000000"/>
          <w:sz w:val="20"/>
        </w:rPr>
      </w:pPr>
      <w:r>
        <w:rPr>
          <w:rFonts w:ascii="Times New Roman" w:hAnsi="Times New Roman"/>
          <w:b/>
          <w:color w:val="000000"/>
          <w:sz w:val="20"/>
        </w:rPr>
        <w:t>Southern California Urgent Care Network</w:t>
      </w:r>
    </w:p>
    <w:p>
      <w:pPr>
        <w:pStyle w:val="TextBody"/>
        <w:bidi w:val="0"/>
        <w:jc w:val="left"/>
        <w:rPr>
          <w:rFonts w:ascii="Times New Roman" w:hAnsi="Times New Roman"/>
          <w:color w:val="000000"/>
          <w:sz w:val="20"/>
        </w:rPr>
      </w:pPr>
      <w:r>
        <w:rPr>
          <w:rFonts w:ascii="Times New Roman" w:hAnsi="Times New Roman"/>
          <w:color w:val="000000"/>
          <w:sz w:val="20"/>
        </w:rPr>
        <w:t>Incorporated State: California</w:t>
      </w:r>
    </w:p>
    <w:p>
      <w:pPr>
        <w:pStyle w:val="TextBody"/>
        <w:bidi w:val="0"/>
        <w:jc w:val="left"/>
        <w:rPr>
          <w:rFonts w:ascii="Times New Roman" w:hAnsi="Times New Roman"/>
          <w:sz w:val="20"/>
        </w:rPr>
      </w:pPr>
      <w:r>
        <w:rPr>
          <w:rFonts w:ascii="Times New Roman" w:hAnsi="Times New Roman"/>
          <w:b/>
          <w:color w:val="000000"/>
          <w:sz w:val="20"/>
        </w:rPr>
        <w:t>Southside Imaging Center, LLC</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Incorporation State: South Carolina </w:t>
      </w:r>
    </w:p>
    <w:p>
      <w:pPr>
        <w:pStyle w:val="TextBody"/>
        <w:bidi w:val="0"/>
        <w:jc w:val="left"/>
        <w:rPr>
          <w:rFonts w:ascii="Times New Roman" w:hAnsi="Times New Roman"/>
          <w:b/>
          <w:color w:val="000000"/>
          <w:sz w:val="20"/>
        </w:rPr>
      </w:pPr>
      <w:r>
        <w:rPr>
          <w:rFonts w:ascii="Times New Roman" w:hAnsi="Times New Roman"/>
          <w:b/>
          <w:color w:val="000000"/>
          <w:sz w:val="20"/>
        </w:rPr>
        <w:t>SP Behavioral, LLC</w:t>
      </w:r>
    </w:p>
    <w:p>
      <w:pPr>
        <w:pStyle w:val="TextBody"/>
        <w:bidi w:val="0"/>
        <w:jc w:val="left"/>
        <w:rPr>
          <w:rFonts w:ascii="Times New Roman" w:hAnsi="Times New Roman"/>
          <w:color w:val="000000"/>
          <w:sz w:val="20"/>
        </w:rPr>
      </w:pPr>
      <w:r>
        <w:rPr>
          <w:rFonts w:ascii="Times New Roman" w:hAnsi="Times New Roman"/>
          <w:color w:val="000000"/>
          <w:sz w:val="20"/>
        </w:rPr>
        <w:t xml:space="preserve">Incorporated State: Florida </w:t>
      </w:r>
    </w:p>
    <w:p>
      <w:pPr>
        <w:pStyle w:val="TextBody"/>
        <w:bidi w:val="0"/>
        <w:jc w:val="left"/>
        <w:rPr>
          <w:rFonts w:ascii="Times New Roman" w:hAnsi="Times New Roman"/>
          <w:color w:val="000000"/>
          <w:sz w:val="20"/>
        </w:rPr>
      </w:pPr>
      <w:r>
        <w:rPr>
          <w:rFonts w:ascii="Times New Roman" w:hAnsi="Times New Roman"/>
          <w:color w:val="000000"/>
          <w:sz w:val="20"/>
        </w:rPr>
        <w:t>Business Name: SandyPines Residential Treatment Center</w:t>
      </w:r>
    </w:p>
    <w:p>
      <w:pPr>
        <w:pStyle w:val="TextBody"/>
        <w:bidi w:val="0"/>
        <w:jc w:val="left"/>
        <w:rPr>
          <w:rFonts w:ascii="Times New Roman" w:hAnsi="Times New Roman"/>
          <w:sz w:val="20"/>
        </w:rPr>
      </w:pPr>
      <w:r>
        <w:rPr>
          <w:rFonts w:ascii="Times New Roman" w:hAnsi="Times New Roman"/>
          <w:b/>
          <w:color w:val="000000"/>
          <w:sz w:val="20"/>
        </w:rPr>
        <w:t>Sparks Family Hospital Receivables, L.L.C</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Incorporated State: Delaware </w:t>
      </w:r>
    </w:p>
    <w:p>
      <w:pPr>
        <w:pStyle w:val="TextBody"/>
        <w:bidi w:val="0"/>
        <w:jc w:val="left"/>
        <w:rPr>
          <w:rFonts w:ascii="Times New Roman" w:hAnsi="Times New Roman"/>
          <w:sz w:val="20"/>
        </w:rPr>
      </w:pPr>
      <w:r>
        <w:rPr>
          <w:rFonts w:ascii="Times New Roman" w:hAnsi="Times New Roman"/>
          <w:b/>
          <w:color w:val="000000"/>
          <w:sz w:val="20"/>
        </w:rPr>
        <w:t>Sparks Family Hospital, Inc.</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Incorporated State: Nevada </w:t>
      </w:r>
    </w:p>
    <w:p>
      <w:pPr>
        <w:pStyle w:val="TextBody"/>
        <w:bidi w:val="0"/>
        <w:jc w:val="left"/>
        <w:rPr>
          <w:rFonts w:ascii="Times New Roman" w:hAnsi="Times New Roman"/>
          <w:color w:val="000000"/>
          <w:sz w:val="20"/>
        </w:rPr>
      </w:pPr>
      <w:r>
        <w:rPr>
          <w:rFonts w:ascii="Times New Roman" w:hAnsi="Times New Roman"/>
          <w:color w:val="000000"/>
          <w:sz w:val="20"/>
        </w:rPr>
        <w:t>Business Name: Northern Nevada Medical Center and Sierra Medical Center, an Extension of Northern Nevada Medical Center, ER at Spanish Springs, an Extension of Northern Nevada Medical Center; ER at Damonte Ranch, an Extension of Northern Nevada Medical Center, Northwest Specialty Hospital, an Extension of Northern Nevada Medical Center, ER at McCarran NW, an Extension of Northern Nevada Medical Center</w:t>
      </w:r>
    </w:p>
    <w:p>
      <w:pPr>
        <w:pStyle w:val="TextBody"/>
        <w:bidi w:val="0"/>
        <w:jc w:val="left"/>
        <w:rPr>
          <w:rFonts w:ascii="Times New Roman" w:hAnsi="Times New Roman"/>
          <w:b/>
          <w:color w:val="000000"/>
          <w:sz w:val="20"/>
        </w:rPr>
      </w:pPr>
      <w:r>
        <w:rPr>
          <w:rFonts w:ascii="Times New Roman" w:hAnsi="Times New Roman"/>
          <w:b/>
          <w:color w:val="000000"/>
          <w:sz w:val="20"/>
        </w:rPr>
        <w:t>Speeds Healthcare Ltd.</w:t>
      </w:r>
    </w:p>
    <w:p>
      <w:pPr>
        <w:pStyle w:val="TextBody"/>
        <w:bidi w:val="0"/>
        <w:jc w:val="left"/>
        <w:rPr>
          <w:rFonts w:ascii="Times New Roman" w:hAnsi="Times New Roman"/>
          <w:color w:val="000000"/>
          <w:sz w:val="20"/>
        </w:rPr>
      </w:pPr>
      <w:r>
        <w:rPr>
          <w:rFonts w:ascii="Times New Roman" w:hAnsi="Times New Roman"/>
          <w:color w:val="000000"/>
          <w:sz w:val="20"/>
        </w:rPr>
        <w:t>Incorporated State: United Kingdom</w:t>
      </w:r>
    </w:p>
    <w:p>
      <w:pPr>
        <w:pStyle w:val="TextBody"/>
        <w:bidi w:val="0"/>
        <w:jc w:val="left"/>
        <w:rPr>
          <w:rFonts w:ascii="Times New Roman" w:hAnsi="Times New Roman"/>
          <w:b/>
          <w:color w:val="000000"/>
          <w:sz w:val="20"/>
        </w:rPr>
      </w:pPr>
      <w:r>
        <w:rPr>
          <w:rFonts w:ascii="Times New Roman" w:hAnsi="Times New Roman"/>
          <w:b/>
          <w:color w:val="000000"/>
          <w:sz w:val="20"/>
        </w:rPr>
        <w:t>Spokane Behavioral Health LLC</w:t>
      </w:r>
    </w:p>
    <w:p>
      <w:pPr>
        <w:pStyle w:val="TextBody"/>
        <w:bidi w:val="0"/>
        <w:jc w:val="left"/>
        <w:rPr>
          <w:rFonts w:ascii="Times New Roman" w:hAnsi="Times New Roman"/>
          <w:color w:val="000000"/>
          <w:sz w:val="20"/>
        </w:rPr>
      </w:pPr>
      <w:r>
        <w:rPr>
          <w:rFonts w:ascii="Times New Roman" w:hAnsi="Times New Roman"/>
          <w:color w:val="000000"/>
          <w:sz w:val="20"/>
        </w:rPr>
        <w:t>Incorporated State: Washington</w:t>
      </w:r>
    </w:p>
    <w:p>
      <w:pPr>
        <w:pStyle w:val="TextBody"/>
        <w:bidi w:val="0"/>
        <w:jc w:val="left"/>
        <w:rPr>
          <w:rFonts w:ascii="Times New Roman" w:hAnsi="Times New Roman"/>
          <w:color w:val="000000"/>
          <w:sz w:val="20"/>
        </w:rPr>
      </w:pPr>
      <w:r>
        <w:rPr>
          <w:rFonts w:ascii="Times New Roman" w:hAnsi="Times New Roman"/>
          <w:color w:val="000000"/>
          <w:sz w:val="20"/>
        </w:rPr>
        <w:t>Business Name: Inland Northwest Behavioral Health</w:t>
      </w:r>
    </w:p>
    <w:p>
      <w:pPr>
        <w:pStyle w:val="TextBody"/>
        <w:bidi w:val="0"/>
        <w:jc w:val="left"/>
        <w:rPr>
          <w:rFonts w:ascii="Times New Roman" w:hAnsi="Times New Roman"/>
          <w:b/>
          <w:color w:val="000000"/>
          <w:sz w:val="20"/>
        </w:rPr>
      </w:pPr>
      <w:r>
        <w:rPr>
          <w:rFonts w:ascii="Times New Roman" w:hAnsi="Times New Roman"/>
          <w:b/>
          <w:color w:val="000000"/>
          <w:sz w:val="20"/>
        </w:rPr>
        <w:t>Spokane Valley Behavioral Health, LLC</w:t>
      </w:r>
    </w:p>
    <w:p>
      <w:pPr>
        <w:pStyle w:val="TextBody"/>
        <w:bidi w:val="0"/>
        <w:jc w:val="left"/>
        <w:rPr>
          <w:rFonts w:ascii="Times New Roman" w:hAnsi="Times New Roman"/>
          <w:color w:val="000000"/>
          <w:sz w:val="20"/>
        </w:rPr>
      </w:pPr>
      <w:r>
        <w:rPr>
          <w:rFonts w:ascii="Times New Roman" w:hAnsi="Times New Roman"/>
          <w:color w:val="000000"/>
          <w:sz w:val="20"/>
        </w:rPr>
        <w:t>Incorporated State: Delaware</w:t>
      </w:r>
    </w:p>
    <w:p>
      <w:pPr>
        <w:pStyle w:val="TextBody"/>
        <w:bidi w:val="0"/>
        <w:jc w:val="left"/>
        <w:rPr>
          <w:rFonts w:ascii="Times New Roman" w:hAnsi="Times New Roman"/>
          <w:sz w:val="20"/>
        </w:rPr>
      </w:pPr>
      <w:r>
        <w:rPr>
          <w:rFonts w:ascii="Times New Roman" w:hAnsi="Times New Roman"/>
          <w:b/>
          <w:color w:val="000000"/>
          <w:sz w:val="20"/>
        </w:rPr>
        <w:t>Springfield Hospital, Inc.</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Incorporated State: Delaware </w:t>
      </w:r>
    </w:p>
    <w:p>
      <w:pPr>
        <w:pStyle w:val="TextBody"/>
        <w:bidi w:val="0"/>
        <w:jc w:val="left"/>
        <w:rPr>
          <w:rFonts w:ascii="Times New Roman" w:hAnsi="Times New Roman"/>
          <w:color w:val="000000"/>
          <w:sz w:val="20"/>
        </w:rPr>
      </w:pPr>
      <w:r>
        <w:rPr>
          <w:rFonts w:ascii="Times New Roman" w:hAnsi="Times New Roman"/>
          <w:color w:val="000000"/>
          <w:sz w:val="20"/>
        </w:rPr>
        <w:t xml:space="preserve">Business Name: Lincoln Prairie Behavioral Health Center </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sz w:val="20"/>
        </w:rPr>
      </w:pPr>
      <w:r>
        <w:rPr>
          <w:rFonts w:ascii="Times New Roman" w:hAnsi="Times New Roman"/>
          <w:b/>
          <w:color w:val="000000"/>
          <w:sz w:val="20"/>
        </w:rPr>
        <w:t>St. Louis Behavioral Medicine Institute, Inc.</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Incorporated State: Missouri </w:t>
      </w:r>
    </w:p>
    <w:p>
      <w:pPr>
        <w:pStyle w:val="TextBody"/>
        <w:bidi w:val="0"/>
        <w:jc w:val="left"/>
        <w:rPr>
          <w:rFonts w:ascii="Times New Roman" w:hAnsi="Times New Roman"/>
          <w:color w:val="000000"/>
          <w:sz w:val="20"/>
        </w:rPr>
      </w:pPr>
      <w:r>
        <w:rPr>
          <w:rFonts w:ascii="Times New Roman" w:hAnsi="Times New Roman"/>
          <w:color w:val="000000"/>
          <w:sz w:val="20"/>
        </w:rPr>
        <w:t xml:space="preserve">Business Name: Saint Louis Behavioral Medicine Institute </w:t>
      </w:r>
    </w:p>
    <w:p>
      <w:pPr>
        <w:pStyle w:val="TextBody"/>
        <w:bidi w:val="0"/>
        <w:jc w:val="left"/>
        <w:rPr>
          <w:rFonts w:ascii="Times New Roman" w:hAnsi="Times New Roman"/>
          <w:sz w:val="20"/>
        </w:rPr>
      </w:pPr>
      <w:r>
        <w:rPr>
          <w:rFonts w:ascii="Times New Roman" w:hAnsi="Times New Roman"/>
          <w:b/>
          <w:color w:val="000000"/>
          <w:sz w:val="20"/>
        </w:rPr>
        <w:t>St. Mary’s Laboratory, LLC</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Incorporated State: Oklahoma </w:t>
      </w:r>
    </w:p>
    <w:p>
      <w:pPr>
        <w:pStyle w:val="TextBody"/>
        <w:bidi w:val="0"/>
        <w:jc w:val="left"/>
        <w:rPr>
          <w:rFonts w:ascii="Times New Roman" w:hAnsi="Times New Roman"/>
          <w:sz w:val="20"/>
        </w:rPr>
      </w:pPr>
      <w:r>
        <w:rPr>
          <w:rFonts w:ascii="Times New Roman" w:hAnsi="Times New Roman"/>
          <w:b/>
          <w:color w:val="000000"/>
          <w:sz w:val="20"/>
        </w:rPr>
        <w:t>St. Mary’s Physician Associates, L.L.C.</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Incorporated State: Oklahoma</w:t>
      </w:r>
    </w:p>
    <w:p>
      <w:pPr>
        <w:pStyle w:val="TextBody"/>
        <w:bidi w:val="0"/>
        <w:jc w:val="left"/>
        <w:rPr>
          <w:rFonts w:ascii="Times New Roman" w:hAnsi="Times New Roman"/>
          <w:b/>
          <w:color w:val="000000"/>
          <w:sz w:val="20"/>
        </w:rPr>
      </w:pPr>
      <w:r>
        <w:rPr>
          <w:rFonts w:ascii="Times New Roman" w:hAnsi="Times New Roman"/>
          <w:b/>
          <w:color w:val="000000"/>
          <w:sz w:val="20"/>
        </w:rPr>
        <w:t>STAC Healthcare Limited</w:t>
      </w:r>
    </w:p>
    <w:p>
      <w:pPr>
        <w:pStyle w:val="TextBody"/>
        <w:bidi w:val="0"/>
        <w:jc w:val="left"/>
        <w:rPr>
          <w:rFonts w:ascii="Times New Roman" w:hAnsi="Times New Roman"/>
          <w:color w:val="000000"/>
          <w:sz w:val="20"/>
        </w:rPr>
      </w:pPr>
      <w:r>
        <w:rPr>
          <w:rFonts w:ascii="Times New Roman" w:hAnsi="Times New Roman"/>
          <w:color w:val="000000"/>
          <w:sz w:val="20"/>
        </w:rPr>
        <w:t>Incorporated State: United Kingdom</w:t>
      </w:r>
    </w:p>
    <w:p>
      <w:pPr>
        <w:pStyle w:val="TextBody"/>
        <w:bidi w:val="0"/>
        <w:jc w:val="left"/>
        <w:rPr>
          <w:rFonts w:ascii="Times New Roman" w:hAnsi="Times New Roman"/>
          <w:b/>
          <w:color w:val="000000"/>
          <w:sz w:val="20"/>
        </w:rPr>
      </w:pPr>
      <w:r>
        <w:rPr>
          <w:rFonts w:ascii="Times New Roman" w:hAnsi="Times New Roman"/>
          <w:b/>
          <w:color w:val="000000"/>
          <w:sz w:val="20"/>
        </w:rPr>
        <w:t>Stepping Stones ReSettlement Unit Limited</w:t>
      </w:r>
    </w:p>
    <w:p>
      <w:pPr>
        <w:pStyle w:val="TextBody"/>
        <w:bidi w:val="0"/>
        <w:jc w:val="left"/>
        <w:rPr>
          <w:rFonts w:ascii="Times New Roman" w:hAnsi="Times New Roman"/>
          <w:color w:val="000000"/>
          <w:sz w:val="20"/>
        </w:rPr>
      </w:pPr>
      <w:r>
        <w:rPr>
          <w:rFonts w:ascii="Times New Roman" w:hAnsi="Times New Roman"/>
          <w:color w:val="000000"/>
          <w:sz w:val="20"/>
        </w:rPr>
        <w:t>Incorporated State: United Kingdom</w:t>
      </w:r>
    </w:p>
    <w:p>
      <w:pPr>
        <w:pStyle w:val="TextBody"/>
        <w:bidi w:val="0"/>
        <w:jc w:val="left"/>
        <w:rPr>
          <w:rFonts w:ascii="Times New Roman" w:hAnsi="Times New Roman"/>
          <w:color w:val="000000"/>
          <w:sz w:val="20"/>
        </w:rPr>
      </w:pPr>
      <w:r>
        <w:rPr>
          <w:rFonts w:ascii="Times New Roman" w:hAnsi="Times New Roman"/>
          <w:color w:val="000000"/>
          <w:sz w:val="20"/>
        </w:rPr>
        <w:t>Business Name: Broadoak, Dean Grange, Milestones, Redmarley, Riverside House, Old Vicarage in Blakeney</w:t>
      </w:r>
    </w:p>
    <w:p>
      <w:pPr>
        <w:pStyle w:val="TextBody"/>
        <w:bidi w:val="0"/>
        <w:jc w:val="left"/>
        <w:rPr>
          <w:rFonts w:ascii="Times New Roman" w:hAnsi="Times New Roman"/>
          <w:b/>
          <w:color w:val="000000"/>
          <w:sz w:val="20"/>
        </w:rPr>
      </w:pPr>
      <w:r>
        <w:rPr>
          <w:rFonts w:ascii="Times New Roman" w:hAnsi="Times New Roman"/>
          <w:b/>
          <w:color w:val="000000"/>
          <w:sz w:val="20"/>
        </w:rPr>
        <w:t>STHS IDTF at Weslaco, LLC</w:t>
      </w:r>
    </w:p>
    <w:p>
      <w:pPr>
        <w:pStyle w:val="TextBody"/>
        <w:bidi w:val="0"/>
        <w:jc w:val="left"/>
        <w:rPr>
          <w:rFonts w:ascii="Times New Roman" w:hAnsi="Times New Roman"/>
          <w:color w:val="000000"/>
          <w:sz w:val="20"/>
        </w:rPr>
      </w:pPr>
      <w:r>
        <w:rPr>
          <w:rFonts w:ascii="Times New Roman" w:hAnsi="Times New Roman"/>
          <w:color w:val="000000"/>
          <w:sz w:val="20"/>
        </w:rPr>
        <w:t>Incorporated State: Texas</w:t>
      </w:r>
    </w:p>
    <w:p>
      <w:pPr>
        <w:pStyle w:val="TextBody"/>
        <w:bidi w:val="0"/>
        <w:jc w:val="left"/>
        <w:rPr>
          <w:rFonts w:ascii="Times New Roman" w:hAnsi="Times New Roman"/>
          <w:b/>
          <w:color w:val="000000"/>
          <w:sz w:val="20"/>
        </w:rPr>
      </w:pPr>
      <w:r>
        <w:rPr>
          <w:rFonts w:ascii="Times New Roman" w:hAnsi="Times New Roman"/>
          <w:b/>
          <w:color w:val="000000"/>
          <w:sz w:val="20"/>
        </w:rPr>
        <w:t>STHS Kaizen</w:t>
      </w:r>
    </w:p>
    <w:p>
      <w:pPr>
        <w:pStyle w:val="TextBody"/>
        <w:bidi w:val="0"/>
        <w:jc w:val="left"/>
        <w:rPr>
          <w:rFonts w:ascii="Times New Roman" w:hAnsi="Times New Roman"/>
          <w:color w:val="000000"/>
          <w:sz w:val="20"/>
        </w:rPr>
      </w:pPr>
      <w:r>
        <w:rPr>
          <w:rFonts w:ascii="Times New Roman" w:hAnsi="Times New Roman"/>
          <w:color w:val="000000"/>
          <w:sz w:val="20"/>
        </w:rPr>
        <w:t>Incorporated State: Texas</w:t>
      </w:r>
    </w:p>
    <w:p>
      <w:pPr>
        <w:pStyle w:val="TextBody"/>
        <w:bidi w:val="0"/>
        <w:jc w:val="left"/>
        <w:rPr>
          <w:rFonts w:ascii="Times New Roman" w:hAnsi="Times New Roman"/>
          <w:sz w:val="20"/>
        </w:rPr>
      </w:pPr>
      <w:r>
        <w:rPr>
          <w:rFonts w:ascii="Times New Roman" w:hAnsi="Times New Roman"/>
          <w:b/>
          <w:color w:val="000000"/>
          <w:sz w:val="20"/>
        </w:rPr>
        <w:t>Stonington Behavioral Health, Inc.</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Incorporated State: Delaware </w:t>
      </w:r>
    </w:p>
    <w:p>
      <w:pPr>
        <w:pStyle w:val="TextBody"/>
        <w:bidi w:val="0"/>
        <w:jc w:val="left"/>
        <w:rPr>
          <w:rFonts w:ascii="Times New Roman" w:hAnsi="Times New Roman"/>
          <w:color w:val="000000"/>
          <w:sz w:val="20"/>
        </w:rPr>
      </w:pPr>
      <w:r>
        <w:rPr>
          <w:rFonts w:ascii="Times New Roman" w:hAnsi="Times New Roman"/>
          <w:color w:val="000000"/>
          <w:sz w:val="20"/>
        </w:rPr>
        <w:t xml:space="preserve">Business Name: Stonington Institute </w:t>
      </w:r>
    </w:p>
    <w:p>
      <w:pPr>
        <w:pStyle w:val="TextBody"/>
        <w:bidi w:val="0"/>
        <w:jc w:val="left"/>
        <w:rPr>
          <w:rFonts w:ascii="Times New Roman" w:hAnsi="Times New Roman"/>
          <w:sz w:val="20"/>
        </w:rPr>
      </w:pPr>
      <w:r>
        <w:rPr>
          <w:rFonts w:ascii="Times New Roman" w:hAnsi="Times New Roman"/>
          <w:b/>
          <w:color w:val="000000"/>
          <w:sz w:val="20"/>
        </w:rPr>
        <w:t>Summerlin Hospital Medical Center LLC</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Incorporated State: Delaware </w:t>
      </w:r>
    </w:p>
    <w:p>
      <w:pPr>
        <w:pStyle w:val="TextBody"/>
        <w:bidi w:val="0"/>
        <w:jc w:val="left"/>
        <w:rPr>
          <w:rFonts w:ascii="Times New Roman" w:hAnsi="Times New Roman"/>
          <w:color w:val="000000"/>
          <w:sz w:val="20"/>
        </w:rPr>
      </w:pPr>
      <w:r>
        <w:rPr>
          <w:rFonts w:ascii="Times New Roman" w:hAnsi="Times New Roman"/>
          <w:color w:val="000000"/>
          <w:sz w:val="20"/>
        </w:rPr>
        <w:t>Business Name: Summerlin Hospital Medical Center and ER at South Summerlin, an Extension of Summerlin Hospital</w:t>
      </w:r>
    </w:p>
    <w:p>
      <w:pPr>
        <w:pStyle w:val="TextBody"/>
        <w:bidi w:val="0"/>
        <w:jc w:val="left"/>
        <w:rPr>
          <w:rFonts w:ascii="Times New Roman" w:hAnsi="Times New Roman"/>
          <w:sz w:val="20"/>
        </w:rPr>
      </w:pPr>
      <w:r>
        <w:rPr>
          <w:rFonts w:ascii="Times New Roman" w:hAnsi="Times New Roman"/>
          <w:b/>
          <w:color w:val="000000"/>
          <w:sz w:val="20"/>
        </w:rPr>
        <w:t>Summerlin Hospital Medical Center, L.P.</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Incorporated State: Delaware </w:t>
      </w:r>
    </w:p>
    <w:p>
      <w:pPr>
        <w:pStyle w:val="TextBody"/>
        <w:bidi w:val="0"/>
        <w:jc w:val="left"/>
        <w:rPr>
          <w:rFonts w:ascii="Times New Roman" w:hAnsi="Times New Roman"/>
          <w:sz w:val="20"/>
        </w:rPr>
      </w:pPr>
      <w:r>
        <w:rPr>
          <w:rFonts w:ascii="Times New Roman" w:hAnsi="Times New Roman"/>
          <w:b/>
          <w:color w:val="000000"/>
          <w:sz w:val="20"/>
        </w:rPr>
        <w:t>Summerlin Hospital Receivables, L.L.C.</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Incorporated State: Delaware</w:t>
      </w:r>
    </w:p>
    <w:p>
      <w:pPr>
        <w:pStyle w:val="TextBody"/>
        <w:bidi w:val="0"/>
        <w:jc w:val="left"/>
        <w:rPr>
          <w:rFonts w:ascii="Times New Roman" w:hAnsi="Times New Roman"/>
          <w:sz w:val="20"/>
        </w:rPr>
      </w:pPr>
      <w:r>
        <w:rPr>
          <w:rFonts w:ascii="Times New Roman" w:hAnsi="Times New Roman"/>
          <w:b/>
          <w:color w:val="000000"/>
          <w:sz w:val="20"/>
        </w:rPr>
        <w:t>Summit Oaks Hospital, Inc.</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Incorporated State: New Jersey </w:t>
      </w:r>
    </w:p>
    <w:p>
      <w:pPr>
        <w:pStyle w:val="TextBody"/>
        <w:bidi w:val="0"/>
        <w:jc w:val="left"/>
        <w:rPr>
          <w:rFonts w:ascii="Times New Roman" w:hAnsi="Times New Roman"/>
          <w:color w:val="000000"/>
          <w:sz w:val="20"/>
        </w:rPr>
      </w:pPr>
      <w:r>
        <w:rPr>
          <w:rFonts w:ascii="Times New Roman" w:hAnsi="Times New Roman"/>
          <w:color w:val="000000"/>
          <w:sz w:val="20"/>
        </w:rPr>
        <w:t xml:space="preserve">Business Name: Summit Oaks Hospital </w:t>
      </w:r>
    </w:p>
    <w:p>
      <w:pPr>
        <w:pStyle w:val="TextBody"/>
        <w:bidi w:val="0"/>
        <w:jc w:val="left"/>
        <w:rPr>
          <w:rFonts w:ascii="Times New Roman" w:hAnsi="Times New Roman"/>
          <w:sz w:val="20"/>
        </w:rPr>
      </w:pPr>
      <w:r>
        <w:rPr>
          <w:rFonts w:ascii="Times New Roman" w:hAnsi="Times New Roman"/>
          <w:b/>
          <w:color w:val="000000"/>
          <w:sz w:val="20"/>
        </w:rPr>
        <w:t>Sunstone Behavioral Health, LLC</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Incorporated State: Tennessee </w:t>
      </w:r>
    </w:p>
    <w:p>
      <w:pPr>
        <w:pStyle w:val="TextBody"/>
        <w:bidi w:val="0"/>
        <w:jc w:val="left"/>
        <w:rPr>
          <w:rFonts w:ascii="Times New Roman" w:hAnsi="Times New Roman"/>
          <w:b/>
          <w:color w:val="000000"/>
          <w:sz w:val="20"/>
        </w:rPr>
      </w:pPr>
      <w:r>
        <w:rPr>
          <w:rFonts w:ascii="Times New Roman" w:hAnsi="Times New Roman"/>
          <w:b/>
          <w:color w:val="000000"/>
          <w:sz w:val="20"/>
        </w:rPr>
        <w:t>Surgery Center of Amarillo, LLC</w:t>
      </w:r>
    </w:p>
    <w:p>
      <w:pPr>
        <w:pStyle w:val="TextBody"/>
        <w:bidi w:val="0"/>
        <w:jc w:val="left"/>
        <w:rPr>
          <w:rFonts w:ascii="Times New Roman" w:hAnsi="Times New Roman"/>
          <w:color w:val="000000"/>
          <w:sz w:val="20"/>
        </w:rPr>
      </w:pPr>
      <w:r>
        <w:rPr>
          <w:rFonts w:ascii="Times New Roman" w:hAnsi="Times New Roman"/>
          <w:color w:val="000000"/>
          <w:sz w:val="20"/>
        </w:rPr>
        <w:t>Incorporated State: Delaware</w:t>
      </w:r>
    </w:p>
    <w:p>
      <w:pPr>
        <w:pStyle w:val="TextBody"/>
        <w:bidi w:val="0"/>
        <w:jc w:val="left"/>
        <w:rPr>
          <w:rFonts w:ascii="Times New Roman" w:hAnsi="Times New Roman"/>
          <w:color w:val="000000"/>
          <w:sz w:val="20"/>
        </w:rPr>
      </w:pPr>
      <w:r>
        <w:rPr>
          <w:rFonts w:ascii="Times New Roman" w:hAnsi="Times New Roman"/>
          <w:color w:val="000000"/>
          <w:sz w:val="20"/>
        </w:rPr>
        <w:t>Business Name: Cardiovascular Institute of Amarillo</w:t>
      </w:r>
    </w:p>
    <w:p>
      <w:pPr>
        <w:pStyle w:val="TextBody"/>
        <w:bidi w:val="0"/>
        <w:jc w:val="left"/>
        <w:rPr>
          <w:rFonts w:ascii="Times New Roman" w:hAnsi="Times New Roman"/>
          <w:sz w:val="20"/>
        </w:rPr>
      </w:pPr>
      <w:r>
        <w:rPr>
          <w:rFonts w:ascii="Times New Roman" w:hAnsi="Times New Roman"/>
          <w:b/>
          <w:color w:val="000000"/>
          <w:sz w:val="20"/>
        </w:rPr>
        <w:t>Surgery Center of the Temecula Valley, L.L.C.</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Incorporated State: Delaware </w:t>
      </w:r>
    </w:p>
    <w:p>
      <w:pPr>
        <w:pStyle w:val="TextBody"/>
        <w:bidi w:val="0"/>
        <w:jc w:val="left"/>
        <w:rPr>
          <w:rFonts w:ascii="Times New Roman" w:hAnsi="Times New Roman"/>
          <w:b/>
          <w:color w:val="000000"/>
          <w:sz w:val="20"/>
        </w:rPr>
      </w:pPr>
      <w:r>
        <w:rPr>
          <w:rFonts w:ascii="Times New Roman" w:hAnsi="Times New Roman"/>
          <w:b/>
          <w:color w:val="000000"/>
          <w:sz w:val="20"/>
        </w:rPr>
        <w:t>SWHC Surgery Center Workforce Solutions, LLC</w:t>
      </w:r>
    </w:p>
    <w:p>
      <w:pPr>
        <w:pStyle w:val="TextBody"/>
        <w:bidi w:val="0"/>
        <w:jc w:val="left"/>
        <w:rPr>
          <w:rFonts w:ascii="Times New Roman" w:hAnsi="Times New Roman"/>
          <w:color w:val="000000"/>
          <w:sz w:val="20"/>
        </w:rPr>
      </w:pPr>
      <w:r>
        <w:rPr>
          <w:rFonts w:ascii="Times New Roman" w:hAnsi="Times New Roman"/>
          <w:color w:val="000000"/>
          <w:sz w:val="20"/>
        </w:rPr>
        <w:t>Incorporated State: Delaware</w:t>
      </w:r>
    </w:p>
    <w:p>
      <w:pPr>
        <w:pStyle w:val="TextBody"/>
        <w:bidi w:val="0"/>
        <w:jc w:val="left"/>
        <w:rPr>
          <w:rFonts w:ascii="Times New Roman" w:hAnsi="Times New Roman"/>
          <w:sz w:val="20"/>
        </w:rPr>
      </w:pPr>
      <w:r>
        <w:rPr>
          <w:rFonts w:ascii="Times New Roman" w:hAnsi="Times New Roman"/>
          <w:b/>
          <w:color w:val="000000"/>
          <w:sz w:val="20"/>
        </w:rPr>
        <w:t>Taunton Hospital Limited</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Incorporated State: United Kingdom</w:t>
      </w:r>
    </w:p>
    <w:p>
      <w:pPr>
        <w:pStyle w:val="TextBody"/>
        <w:bidi w:val="0"/>
        <w:jc w:val="left"/>
        <w:rPr>
          <w:rFonts w:ascii="Times New Roman" w:hAnsi="Times New Roman"/>
          <w:sz w:val="20"/>
        </w:rPr>
      </w:pPr>
      <w:r>
        <w:rPr>
          <w:rFonts w:ascii="Times New Roman" w:hAnsi="Times New Roman"/>
          <w:b/>
          <w:color w:val="000000"/>
          <w:sz w:val="20"/>
        </w:rPr>
        <w:t>TBD Acquisition, LLC</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Incorporated State: Delaware </w:t>
      </w:r>
    </w:p>
    <w:p>
      <w:pPr>
        <w:pStyle w:val="TextBody"/>
        <w:bidi w:val="0"/>
        <w:jc w:val="left"/>
        <w:rPr>
          <w:rFonts w:ascii="Times New Roman" w:hAnsi="Times New Roman"/>
          <w:color w:val="000000"/>
          <w:sz w:val="20"/>
        </w:rPr>
      </w:pPr>
      <w:r>
        <w:rPr>
          <w:rFonts w:ascii="Times New Roman" w:hAnsi="Times New Roman"/>
          <w:color w:val="000000"/>
          <w:sz w:val="20"/>
        </w:rPr>
        <w:t xml:space="preserve">Business Name: The Brook Hospital-Dupont </w:t>
      </w:r>
    </w:p>
    <w:p>
      <w:pPr>
        <w:pStyle w:val="TextBody"/>
        <w:bidi w:val="0"/>
        <w:jc w:val="left"/>
        <w:rPr>
          <w:rFonts w:ascii="Times New Roman" w:hAnsi="Times New Roman"/>
          <w:b/>
          <w:color w:val="000000"/>
          <w:sz w:val="20"/>
        </w:rPr>
      </w:pPr>
      <w:r>
        <w:rPr>
          <w:rFonts w:ascii="Times New Roman" w:hAnsi="Times New Roman"/>
          <w:b/>
          <w:color w:val="000000"/>
          <w:sz w:val="20"/>
        </w:rPr>
        <w:t>TBD Acquisition II, LLC</w:t>
      </w:r>
    </w:p>
    <w:p>
      <w:pPr>
        <w:pStyle w:val="TextBody"/>
        <w:bidi w:val="0"/>
        <w:jc w:val="left"/>
        <w:rPr>
          <w:rFonts w:ascii="Times New Roman" w:hAnsi="Times New Roman"/>
          <w:color w:val="000000"/>
          <w:sz w:val="20"/>
        </w:rPr>
      </w:pPr>
      <w:r>
        <w:rPr>
          <w:rFonts w:ascii="Times New Roman" w:hAnsi="Times New Roman"/>
          <w:color w:val="000000"/>
          <w:sz w:val="20"/>
        </w:rPr>
        <w:t>Incorporated State: Delaware</w:t>
      </w:r>
    </w:p>
    <w:p>
      <w:pPr>
        <w:pStyle w:val="TextBody"/>
        <w:bidi w:val="0"/>
        <w:jc w:val="left"/>
        <w:rPr>
          <w:rFonts w:ascii="Times New Roman" w:hAnsi="Times New Roman"/>
          <w:color w:val="000000"/>
          <w:sz w:val="20"/>
        </w:rPr>
      </w:pPr>
      <w:r>
        <w:rPr>
          <w:rFonts w:ascii="Times New Roman" w:hAnsi="Times New Roman"/>
          <w:color w:val="000000"/>
          <w:sz w:val="20"/>
        </w:rPr>
        <w:t>Business Name: Gulfport Behavioral Health System</w:t>
      </w:r>
    </w:p>
    <w:p>
      <w:pPr>
        <w:pStyle w:val="TextBody"/>
        <w:bidi w:val="0"/>
        <w:jc w:val="left"/>
        <w:rPr>
          <w:rFonts w:ascii="Times New Roman" w:hAnsi="Times New Roman"/>
          <w:sz w:val="20"/>
        </w:rPr>
      </w:pPr>
      <w:r>
        <w:rPr>
          <w:rFonts w:ascii="Times New Roman" w:hAnsi="Times New Roman"/>
          <w:b/>
          <w:color w:val="000000"/>
          <w:sz w:val="20"/>
        </w:rPr>
        <w:t>TBJ Behavioral Center, LLC</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Incorporated State: Delaware </w:t>
      </w:r>
    </w:p>
    <w:p>
      <w:pPr>
        <w:pStyle w:val="TextBody"/>
        <w:bidi w:val="0"/>
        <w:jc w:val="left"/>
        <w:rPr>
          <w:rFonts w:ascii="Times New Roman" w:hAnsi="Times New Roman"/>
          <w:color w:val="000000"/>
          <w:sz w:val="20"/>
        </w:rPr>
      </w:pPr>
      <w:r>
        <w:rPr>
          <w:rFonts w:ascii="Times New Roman" w:hAnsi="Times New Roman"/>
          <w:color w:val="000000"/>
          <w:sz w:val="20"/>
        </w:rPr>
        <w:t xml:space="preserve">Business Name: River Point Behavioral Health </w:t>
      </w:r>
    </w:p>
    <w:p>
      <w:pPr>
        <w:pStyle w:val="TextBody"/>
        <w:bidi w:val="0"/>
        <w:jc w:val="left"/>
        <w:rPr>
          <w:rFonts w:ascii="Times New Roman" w:hAnsi="Times New Roman"/>
          <w:b/>
          <w:color w:val="000000"/>
          <w:sz w:val="20"/>
        </w:rPr>
      </w:pPr>
      <w:r>
        <w:rPr>
          <w:rFonts w:ascii="Times New Roman" w:hAnsi="Times New Roman"/>
          <w:b/>
          <w:color w:val="000000"/>
          <w:sz w:val="20"/>
        </w:rPr>
        <w:t>Temecula Valley Day Surgery &amp; Pain Therapy Center, Inc.</w:t>
      </w:r>
    </w:p>
    <w:p>
      <w:pPr>
        <w:pStyle w:val="TextBody"/>
        <w:bidi w:val="0"/>
        <w:jc w:val="left"/>
        <w:rPr>
          <w:rFonts w:ascii="Times New Roman" w:hAnsi="Times New Roman"/>
          <w:color w:val="000000"/>
          <w:sz w:val="20"/>
        </w:rPr>
      </w:pPr>
      <w:r>
        <w:rPr>
          <w:rFonts w:ascii="Times New Roman" w:hAnsi="Times New Roman"/>
          <w:color w:val="000000"/>
          <w:sz w:val="20"/>
        </w:rPr>
        <w:t>Incorporated State: California</w:t>
      </w:r>
    </w:p>
    <w:p>
      <w:pPr>
        <w:pStyle w:val="TextBody"/>
        <w:bidi w:val="0"/>
        <w:jc w:val="left"/>
        <w:rPr>
          <w:rFonts w:ascii="Times New Roman" w:hAnsi="Times New Roman"/>
          <w:color w:val="000000"/>
          <w:sz w:val="20"/>
        </w:rPr>
      </w:pPr>
      <w:r>
        <w:rPr>
          <w:rFonts w:ascii="Times New Roman" w:hAnsi="Times New Roman"/>
          <w:color w:val="000000"/>
          <w:sz w:val="20"/>
        </w:rPr>
        <w:t>Business Name: Temecula Valley Day Surgery,</w:t>
      </w:r>
    </w:p>
    <w:p>
      <w:pPr>
        <w:pStyle w:val="TextBody"/>
        <w:bidi w:val="0"/>
        <w:jc w:val="left"/>
        <w:rPr>
          <w:rFonts w:ascii="Times New Roman" w:hAnsi="Times New Roman"/>
          <w:sz w:val="20"/>
        </w:rPr>
      </w:pPr>
      <w:r>
        <w:rPr>
          <w:rFonts w:ascii="Times New Roman" w:hAnsi="Times New Roman"/>
          <w:b/>
          <w:color w:val="000000"/>
          <w:sz w:val="20"/>
        </w:rPr>
        <w:t>Temecula Valley Hospital Receivables, L.L.C.</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Incorporated State: Delaware </w:t>
      </w:r>
    </w:p>
    <w:p>
      <w:pPr>
        <w:pStyle w:val="TextBody"/>
        <w:bidi w:val="0"/>
        <w:jc w:val="left"/>
        <w:rPr>
          <w:rFonts w:ascii="Times New Roman" w:hAnsi="Times New Roman"/>
          <w:sz w:val="20"/>
        </w:rPr>
      </w:pPr>
      <w:r>
        <w:rPr>
          <w:rFonts w:ascii="Times New Roman" w:hAnsi="Times New Roman"/>
          <w:b/>
          <w:color w:val="000000"/>
          <w:sz w:val="20"/>
        </w:rPr>
        <w:t>Temecula Valley Hospital, Inc.</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Incorporated State: California </w:t>
      </w:r>
    </w:p>
    <w:p>
      <w:pPr>
        <w:pStyle w:val="TextBody"/>
        <w:bidi w:val="0"/>
        <w:jc w:val="left"/>
        <w:rPr>
          <w:rFonts w:ascii="Times New Roman" w:hAnsi="Times New Roman"/>
          <w:color w:val="000000"/>
          <w:sz w:val="20"/>
        </w:rPr>
      </w:pPr>
      <w:r>
        <w:rPr>
          <w:rFonts w:ascii="Times New Roman" w:hAnsi="Times New Roman"/>
          <w:color w:val="000000"/>
          <w:sz w:val="20"/>
        </w:rPr>
        <w:t xml:space="preserve">Business Name: Temecula Valley Hospital </w:t>
      </w:r>
    </w:p>
    <w:p>
      <w:pPr>
        <w:pStyle w:val="TextBody"/>
        <w:bidi w:val="0"/>
        <w:jc w:val="left"/>
        <w:rPr>
          <w:rFonts w:ascii="Times New Roman" w:hAnsi="Times New Roman"/>
          <w:b/>
          <w:color w:val="000000"/>
          <w:sz w:val="20"/>
        </w:rPr>
      </w:pPr>
      <w:r>
        <w:rPr>
          <w:rFonts w:ascii="Times New Roman" w:hAnsi="Times New Roman"/>
          <w:b/>
          <w:color w:val="000000"/>
          <w:sz w:val="20"/>
        </w:rPr>
        <w:t>Temple Behavioral Healthcare Hospital, Inc.</w:t>
      </w:r>
    </w:p>
    <w:p>
      <w:pPr>
        <w:pStyle w:val="TextBody"/>
        <w:bidi w:val="0"/>
        <w:jc w:val="left"/>
        <w:rPr>
          <w:rFonts w:ascii="Times New Roman" w:hAnsi="Times New Roman"/>
          <w:color w:val="000000"/>
          <w:sz w:val="20"/>
        </w:rPr>
      </w:pPr>
      <w:r>
        <w:rPr>
          <w:rFonts w:ascii="Times New Roman" w:hAnsi="Times New Roman"/>
          <w:color w:val="000000"/>
          <w:sz w:val="20"/>
        </w:rPr>
        <w:t>Incorporated State: Texas</w:t>
      </w:r>
    </w:p>
    <w:p>
      <w:pPr>
        <w:pStyle w:val="TextBody"/>
        <w:bidi w:val="0"/>
        <w:jc w:val="left"/>
        <w:rPr>
          <w:rFonts w:ascii="Times New Roman" w:hAnsi="Times New Roman"/>
          <w:color w:val="000000"/>
          <w:sz w:val="20"/>
        </w:rPr>
      </w:pPr>
      <w:r>
        <w:rPr>
          <w:rFonts w:ascii="Times New Roman" w:hAnsi="Times New Roman"/>
          <w:color w:val="000000"/>
          <w:sz w:val="20"/>
        </w:rPr>
        <w:t>Business Name: Canyon Creek Behavioral Health</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sz w:val="20"/>
        </w:rPr>
      </w:pPr>
      <w:r>
        <w:rPr>
          <w:rFonts w:ascii="Times New Roman" w:hAnsi="Times New Roman"/>
          <w:b/>
          <w:color w:val="000000"/>
          <w:sz w:val="20"/>
        </w:rPr>
        <w:t>Tennessee Clinical Schools, LLC</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Incorporated State: Tennessee </w:t>
      </w:r>
    </w:p>
    <w:p>
      <w:pPr>
        <w:pStyle w:val="TextBody"/>
        <w:bidi w:val="0"/>
        <w:jc w:val="left"/>
        <w:rPr>
          <w:rFonts w:ascii="Times New Roman" w:hAnsi="Times New Roman"/>
          <w:color w:val="000000"/>
          <w:sz w:val="20"/>
        </w:rPr>
      </w:pPr>
      <w:r>
        <w:rPr>
          <w:rFonts w:ascii="Times New Roman" w:hAnsi="Times New Roman"/>
          <w:color w:val="000000"/>
          <w:sz w:val="20"/>
        </w:rPr>
        <w:t xml:space="preserve">Business Name: Hermitage Hall </w:t>
      </w:r>
    </w:p>
    <w:p>
      <w:pPr>
        <w:pStyle w:val="TextBody"/>
        <w:bidi w:val="0"/>
        <w:jc w:val="left"/>
        <w:rPr>
          <w:rFonts w:ascii="Times New Roman" w:hAnsi="Times New Roman"/>
          <w:b/>
          <w:color w:val="000000"/>
          <w:sz w:val="20"/>
        </w:rPr>
      </w:pPr>
      <w:r>
        <w:rPr>
          <w:rFonts w:ascii="Times New Roman" w:hAnsi="Times New Roman"/>
          <w:b/>
          <w:color w:val="000000"/>
          <w:sz w:val="20"/>
        </w:rPr>
        <w:t>Tennessee Foster Care of UHS, Inc.</w:t>
      </w:r>
    </w:p>
    <w:p>
      <w:pPr>
        <w:pStyle w:val="TextBody"/>
        <w:bidi w:val="0"/>
        <w:jc w:val="left"/>
        <w:rPr>
          <w:rFonts w:ascii="Times New Roman" w:hAnsi="Times New Roman"/>
          <w:color w:val="000000"/>
          <w:sz w:val="20"/>
        </w:rPr>
      </w:pPr>
      <w:r>
        <w:rPr>
          <w:rFonts w:ascii="Times New Roman" w:hAnsi="Times New Roman"/>
          <w:color w:val="000000"/>
          <w:sz w:val="20"/>
        </w:rPr>
        <w:t>Incorporated State: Tennessee</w:t>
      </w:r>
    </w:p>
    <w:p>
      <w:pPr>
        <w:pStyle w:val="TextBody"/>
        <w:bidi w:val="0"/>
        <w:jc w:val="left"/>
        <w:rPr>
          <w:rFonts w:ascii="Times New Roman" w:hAnsi="Times New Roman"/>
          <w:sz w:val="20"/>
        </w:rPr>
      </w:pPr>
      <w:r>
        <w:rPr>
          <w:rFonts w:ascii="Times New Roman" w:hAnsi="Times New Roman"/>
          <w:b/>
          <w:color w:val="000000"/>
          <w:sz w:val="20"/>
        </w:rPr>
        <w:t>Texas Cypress Creek Hospital, L.P.</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Incorporated State: Texas </w:t>
      </w:r>
    </w:p>
    <w:p>
      <w:pPr>
        <w:pStyle w:val="TextBody"/>
        <w:bidi w:val="0"/>
        <w:jc w:val="left"/>
        <w:rPr>
          <w:rFonts w:ascii="Times New Roman" w:hAnsi="Times New Roman"/>
          <w:color w:val="000000"/>
          <w:sz w:val="20"/>
        </w:rPr>
      </w:pPr>
      <w:r>
        <w:rPr>
          <w:rFonts w:ascii="Times New Roman" w:hAnsi="Times New Roman"/>
          <w:color w:val="000000"/>
          <w:sz w:val="20"/>
        </w:rPr>
        <w:t xml:space="preserve">Business Name: Cypress Creek Hospital </w:t>
      </w:r>
    </w:p>
    <w:p>
      <w:pPr>
        <w:pStyle w:val="TextBody"/>
        <w:bidi w:val="0"/>
        <w:jc w:val="left"/>
        <w:rPr>
          <w:rFonts w:ascii="Times New Roman" w:hAnsi="Times New Roman"/>
          <w:sz w:val="20"/>
        </w:rPr>
      </w:pPr>
      <w:r>
        <w:rPr>
          <w:rFonts w:ascii="Times New Roman" w:hAnsi="Times New Roman"/>
          <w:b/>
          <w:color w:val="000000"/>
          <w:sz w:val="20"/>
        </w:rPr>
        <w:t>Texas Hospital Holdings, Inc.</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Incorporated State: Delaware </w:t>
      </w:r>
    </w:p>
    <w:p>
      <w:pPr>
        <w:pStyle w:val="TextBody"/>
        <w:bidi w:val="0"/>
        <w:jc w:val="left"/>
        <w:rPr>
          <w:rFonts w:ascii="Times New Roman" w:hAnsi="Times New Roman"/>
          <w:sz w:val="20"/>
        </w:rPr>
      </w:pPr>
      <w:r>
        <w:rPr>
          <w:rFonts w:ascii="Times New Roman" w:hAnsi="Times New Roman"/>
          <w:b/>
          <w:color w:val="000000"/>
          <w:sz w:val="20"/>
        </w:rPr>
        <w:t>Texas Hospital Holdings, LLC</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Incorporated State: Texas </w:t>
      </w:r>
    </w:p>
    <w:p>
      <w:pPr>
        <w:pStyle w:val="TextBody"/>
        <w:bidi w:val="0"/>
        <w:jc w:val="left"/>
        <w:rPr>
          <w:rFonts w:ascii="Times New Roman" w:hAnsi="Times New Roman"/>
          <w:sz w:val="20"/>
        </w:rPr>
      </w:pPr>
      <w:r>
        <w:rPr>
          <w:rFonts w:ascii="Times New Roman" w:hAnsi="Times New Roman"/>
          <w:b/>
          <w:color w:val="000000"/>
          <w:sz w:val="20"/>
        </w:rPr>
        <w:t>Texas Laurel Ridge Hospital, L.P.</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Incorporated State: Texas </w:t>
      </w:r>
    </w:p>
    <w:p>
      <w:pPr>
        <w:pStyle w:val="TextBody"/>
        <w:bidi w:val="0"/>
        <w:jc w:val="left"/>
        <w:rPr>
          <w:rFonts w:ascii="Times New Roman" w:hAnsi="Times New Roman"/>
          <w:color w:val="000000"/>
          <w:sz w:val="20"/>
        </w:rPr>
      </w:pPr>
      <w:r>
        <w:rPr>
          <w:rFonts w:ascii="Times New Roman" w:hAnsi="Times New Roman"/>
          <w:color w:val="000000"/>
          <w:sz w:val="20"/>
        </w:rPr>
        <w:t xml:space="preserve">Business Name: Laurel Ridge Treatment Center </w:t>
      </w:r>
    </w:p>
    <w:p>
      <w:pPr>
        <w:pStyle w:val="TextBody"/>
        <w:bidi w:val="0"/>
        <w:jc w:val="left"/>
        <w:rPr>
          <w:rFonts w:ascii="Times New Roman" w:hAnsi="Times New Roman"/>
          <w:sz w:val="20"/>
        </w:rPr>
      </w:pPr>
      <w:r>
        <w:rPr>
          <w:rFonts w:ascii="Times New Roman" w:hAnsi="Times New Roman"/>
          <w:b/>
          <w:color w:val="000000"/>
          <w:sz w:val="20"/>
        </w:rPr>
        <w:t>Texas Oaks Psychiatric Hospital, L.P.</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Incorporated State: Texas </w:t>
      </w:r>
    </w:p>
    <w:p>
      <w:pPr>
        <w:pStyle w:val="TextBody"/>
        <w:bidi w:val="0"/>
        <w:jc w:val="left"/>
        <w:rPr>
          <w:rFonts w:ascii="Times New Roman" w:hAnsi="Times New Roman"/>
          <w:color w:val="000000"/>
          <w:sz w:val="20"/>
        </w:rPr>
      </w:pPr>
      <w:r>
        <w:rPr>
          <w:rFonts w:ascii="Times New Roman" w:hAnsi="Times New Roman"/>
          <w:color w:val="000000"/>
          <w:sz w:val="20"/>
        </w:rPr>
        <w:t xml:space="preserve">Business Name: Austin Oaks Hospital </w:t>
      </w:r>
    </w:p>
    <w:p>
      <w:pPr>
        <w:pStyle w:val="TextBody"/>
        <w:bidi w:val="0"/>
        <w:jc w:val="left"/>
        <w:rPr>
          <w:rFonts w:ascii="Times New Roman" w:hAnsi="Times New Roman"/>
          <w:b/>
          <w:color w:val="000000"/>
          <w:sz w:val="20"/>
        </w:rPr>
      </w:pPr>
      <w:r>
        <w:rPr>
          <w:rFonts w:ascii="Times New Roman" w:hAnsi="Times New Roman"/>
          <w:b/>
          <w:color w:val="000000"/>
          <w:sz w:val="20"/>
        </w:rPr>
        <w:t>Texas Panhandle Clinical Partners ACO, LLC</w:t>
      </w:r>
    </w:p>
    <w:p>
      <w:pPr>
        <w:pStyle w:val="TextBody"/>
        <w:bidi w:val="0"/>
        <w:jc w:val="left"/>
        <w:rPr>
          <w:rFonts w:ascii="Times New Roman" w:hAnsi="Times New Roman"/>
          <w:color w:val="000000"/>
          <w:sz w:val="20"/>
        </w:rPr>
      </w:pPr>
      <w:r>
        <w:rPr>
          <w:rFonts w:ascii="Times New Roman" w:hAnsi="Times New Roman"/>
          <w:color w:val="000000"/>
          <w:sz w:val="20"/>
        </w:rPr>
        <w:t>Incorporated State: Texas</w:t>
      </w:r>
    </w:p>
    <w:p>
      <w:pPr>
        <w:pStyle w:val="TextBody"/>
        <w:bidi w:val="0"/>
        <w:jc w:val="left"/>
        <w:rPr>
          <w:rFonts w:ascii="Times New Roman" w:hAnsi="Times New Roman"/>
          <w:sz w:val="20"/>
        </w:rPr>
      </w:pPr>
      <w:r>
        <w:rPr>
          <w:rFonts w:ascii="Times New Roman" w:hAnsi="Times New Roman"/>
          <w:b/>
          <w:color w:val="000000"/>
          <w:sz w:val="20"/>
        </w:rPr>
        <w:t>Texas San Marcos Treatment Center, L.P.</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Incorporated State: Texas </w:t>
      </w:r>
    </w:p>
    <w:p>
      <w:pPr>
        <w:pStyle w:val="TextBody"/>
        <w:bidi w:val="0"/>
        <w:jc w:val="left"/>
        <w:rPr>
          <w:rFonts w:ascii="Times New Roman" w:hAnsi="Times New Roman"/>
          <w:color w:val="000000"/>
          <w:sz w:val="20"/>
        </w:rPr>
      </w:pPr>
      <w:r>
        <w:rPr>
          <w:rFonts w:ascii="Times New Roman" w:hAnsi="Times New Roman"/>
          <w:color w:val="000000"/>
          <w:sz w:val="20"/>
        </w:rPr>
        <w:t xml:space="preserve">Business Name: San Marcos Treatment Center </w:t>
      </w:r>
    </w:p>
    <w:p>
      <w:pPr>
        <w:pStyle w:val="TextBody"/>
        <w:bidi w:val="0"/>
        <w:jc w:val="left"/>
        <w:rPr>
          <w:rFonts w:ascii="Times New Roman" w:hAnsi="Times New Roman"/>
          <w:sz w:val="20"/>
        </w:rPr>
      </w:pPr>
      <w:r>
        <w:rPr>
          <w:rFonts w:ascii="Times New Roman" w:hAnsi="Times New Roman"/>
          <w:b/>
          <w:color w:val="000000"/>
          <w:sz w:val="20"/>
        </w:rPr>
        <w:t>Texas West Oaks Hospital, L.P.</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Incorporated State: Texas </w:t>
      </w:r>
    </w:p>
    <w:p>
      <w:pPr>
        <w:pStyle w:val="TextBody"/>
        <w:bidi w:val="0"/>
        <w:jc w:val="left"/>
        <w:rPr>
          <w:rFonts w:ascii="Times New Roman" w:hAnsi="Times New Roman"/>
          <w:color w:val="000000"/>
          <w:sz w:val="20"/>
        </w:rPr>
      </w:pPr>
      <w:r>
        <w:rPr>
          <w:rFonts w:ascii="Times New Roman" w:hAnsi="Times New Roman"/>
          <w:color w:val="000000"/>
          <w:sz w:val="20"/>
        </w:rPr>
        <w:t xml:space="preserve">Business Name: West Oaks Hospital </w:t>
      </w:r>
    </w:p>
    <w:p>
      <w:pPr>
        <w:pStyle w:val="TextBody"/>
        <w:bidi w:val="0"/>
        <w:jc w:val="left"/>
        <w:rPr>
          <w:rFonts w:ascii="Times New Roman" w:hAnsi="Times New Roman"/>
          <w:b/>
          <w:color w:val="000000"/>
          <w:sz w:val="20"/>
        </w:rPr>
      </w:pPr>
      <w:r>
        <w:rPr>
          <w:rFonts w:ascii="Times New Roman" w:hAnsi="Times New Roman"/>
          <w:b/>
          <w:color w:val="000000"/>
          <w:sz w:val="20"/>
        </w:rPr>
        <w:t>Texoma Clinical Partners ACO, LLC</w:t>
      </w:r>
    </w:p>
    <w:p>
      <w:pPr>
        <w:pStyle w:val="TextBody"/>
        <w:bidi w:val="0"/>
        <w:jc w:val="left"/>
        <w:rPr>
          <w:rFonts w:ascii="Times New Roman" w:hAnsi="Times New Roman"/>
          <w:color w:val="000000"/>
          <w:sz w:val="20"/>
        </w:rPr>
      </w:pPr>
      <w:r>
        <w:rPr>
          <w:rFonts w:ascii="Times New Roman" w:hAnsi="Times New Roman"/>
          <w:color w:val="000000"/>
          <w:sz w:val="20"/>
        </w:rPr>
        <w:t>Incorporated State: Texas</w:t>
      </w:r>
    </w:p>
    <w:p>
      <w:pPr>
        <w:pStyle w:val="TextBody"/>
        <w:bidi w:val="0"/>
        <w:jc w:val="left"/>
        <w:rPr>
          <w:rFonts w:ascii="Times New Roman" w:hAnsi="Times New Roman"/>
          <w:sz w:val="20"/>
        </w:rPr>
      </w:pPr>
      <w:r>
        <w:rPr>
          <w:rFonts w:ascii="Times New Roman" w:hAnsi="Times New Roman"/>
          <w:b/>
          <w:color w:val="000000"/>
          <w:sz w:val="20"/>
        </w:rPr>
        <w:t>Texoma Healthcare System Receivables, L.L.C.</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Incorporated State: Delaware </w:t>
      </w:r>
    </w:p>
    <w:p>
      <w:pPr>
        <w:pStyle w:val="TextBody"/>
        <w:bidi w:val="0"/>
        <w:jc w:val="left"/>
        <w:rPr>
          <w:rFonts w:ascii="Times New Roman" w:hAnsi="Times New Roman"/>
          <w:sz w:val="20"/>
        </w:rPr>
      </w:pPr>
      <w:r>
        <w:rPr>
          <w:rFonts w:ascii="Times New Roman" w:hAnsi="Times New Roman"/>
          <w:b/>
          <w:color w:val="000000"/>
          <w:sz w:val="20"/>
        </w:rPr>
        <w:t>TexomaCare</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Incorporated State: Texas </w:t>
      </w:r>
    </w:p>
    <w:p>
      <w:pPr>
        <w:pStyle w:val="TextBody"/>
        <w:bidi w:val="0"/>
        <w:jc w:val="left"/>
        <w:rPr>
          <w:rFonts w:ascii="Times New Roman" w:hAnsi="Times New Roman"/>
          <w:sz w:val="20"/>
        </w:rPr>
      </w:pPr>
      <w:r>
        <w:rPr>
          <w:rFonts w:ascii="Times New Roman" w:hAnsi="Times New Roman"/>
          <w:b/>
          <w:color w:val="000000"/>
          <w:sz w:val="20"/>
        </w:rPr>
        <w:t>TexomaCare Specialty Physicians</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Incorporated State: Texas </w:t>
      </w:r>
    </w:p>
    <w:p>
      <w:pPr>
        <w:pStyle w:val="TextBody"/>
        <w:bidi w:val="0"/>
        <w:jc w:val="left"/>
        <w:rPr>
          <w:rFonts w:ascii="Times New Roman" w:hAnsi="Times New Roman"/>
          <w:sz w:val="20"/>
        </w:rPr>
      </w:pPr>
      <w:r>
        <w:rPr>
          <w:rFonts w:ascii="Times New Roman" w:hAnsi="Times New Roman"/>
          <w:b/>
          <w:color w:val="000000"/>
          <w:sz w:val="20"/>
        </w:rPr>
        <w:t>The Arbour, Inc.</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Incorporated State: Massachusetts </w:t>
      </w:r>
    </w:p>
    <w:p>
      <w:pPr>
        <w:pStyle w:val="TextBody"/>
        <w:bidi w:val="0"/>
        <w:jc w:val="left"/>
        <w:rPr>
          <w:rFonts w:ascii="Times New Roman" w:hAnsi="Times New Roman"/>
          <w:color w:val="000000"/>
          <w:sz w:val="20"/>
        </w:rPr>
      </w:pPr>
      <w:r>
        <w:rPr>
          <w:rFonts w:ascii="Times New Roman" w:hAnsi="Times New Roman"/>
          <w:color w:val="000000"/>
          <w:sz w:val="20"/>
        </w:rPr>
        <w:t xml:space="preserve">Business Name: Arbour Hospital </w:t>
      </w:r>
    </w:p>
    <w:p>
      <w:pPr>
        <w:pStyle w:val="TextBody"/>
        <w:bidi w:val="0"/>
        <w:jc w:val="left"/>
        <w:rPr>
          <w:rFonts w:ascii="Times New Roman" w:hAnsi="Times New Roman"/>
          <w:sz w:val="20"/>
        </w:rPr>
      </w:pPr>
      <w:r>
        <w:rPr>
          <w:rFonts w:ascii="Times New Roman" w:hAnsi="Times New Roman"/>
          <w:b/>
          <w:color w:val="000000"/>
          <w:sz w:val="20"/>
        </w:rPr>
        <w:t>The Bridgeway, LLC.</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Incorporated State: Arkansas </w:t>
      </w:r>
    </w:p>
    <w:p>
      <w:pPr>
        <w:pStyle w:val="TextBody"/>
        <w:bidi w:val="0"/>
        <w:jc w:val="left"/>
        <w:rPr>
          <w:rFonts w:ascii="Times New Roman" w:hAnsi="Times New Roman"/>
          <w:color w:val="000000"/>
          <w:sz w:val="20"/>
        </w:rPr>
      </w:pPr>
      <w:r>
        <w:rPr>
          <w:rFonts w:ascii="Times New Roman" w:hAnsi="Times New Roman"/>
          <w:color w:val="000000"/>
          <w:sz w:val="20"/>
        </w:rPr>
        <w:t xml:space="preserve">Business Name: The Bridgeway </w:t>
      </w:r>
    </w:p>
    <w:p>
      <w:pPr>
        <w:pStyle w:val="TextBody"/>
        <w:bidi w:val="0"/>
        <w:jc w:val="left"/>
        <w:rPr>
          <w:rFonts w:ascii="Times New Roman" w:hAnsi="Times New Roman"/>
          <w:b/>
          <w:color w:val="000000"/>
          <w:sz w:val="20"/>
        </w:rPr>
      </w:pPr>
      <w:r>
        <w:rPr>
          <w:rFonts w:ascii="Times New Roman" w:hAnsi="Times New Roman"/>
          <w:b/>
          <w:color w:val="000000"/>
          <w:sz w:val="20"/>
        </w:rPr>
        <w:t>The Canyon at Peace Park, LLC</w:t>
      </w:r>
    </w:p>
    <w:p>
      <w:pPr>
        <w:pStyle w:val="TextBody"/>
        <w:bidi w:val="0"/>
        <w:jc w:val="left"/>
        <w:rPr>
          <w:rFonts w:ascii="Times New Roman" w:hAnsi="Times New Roman"/>
          <w:color w:val="000000"/>
          <w:sz w:val="20"/>
        </w:rPr>
      </w:pPr>
      <w:r>
        <w:rPr>
          <w:rFonts w:ascii="Times New Roman" w:hAnsi="Times New Roman"/>
          <w:color w:val="000000"/>
          <w:sz w:val="20"/>
        </w:rPr>
        <w:t xml:space="preserve">Incorporated State: California </w:t>
      </w:r>
    </w:p>
    <w:p>
      <w:pPr>
        <w:pStyle w:val="TextBody"/>
        <w:bidi w:val="0"/>
        <w:jc w:val="left"/>
        <w:rPr>
          <w:rFonts w:ascii="Times New Roman" w:hAnsi="Times New Roman"/>
          <w:b/>
          <w:color w:val="000000"/>
          <w:sz w:val="20"/>
        </w:rPr>
      </w:pPr>
      <w:r>
        <w:rPr>
          <w:rFonts w:ascii="Times New Roman" w:hAnsi="Times New Roman"/>
          <w:b/>
          <w:color w:val="000000"/>
          <w:sz w:val="20"/>
        </w:rPr>
        <w:t>The Canyon at Santa Monica, LLC</w:t>
      </w:r>
    </w:p>
    <w:p>
      <w:pPr>
        <w:pStyle w:val="TextBody"/>
        <w:bidi w:val="0"/>
        <w:jc w:val="left"/>
        <w:rPr>
          <w:rFonts w:ascii="Times New Roman" w:hAnsi="Times New Roman"/>
          <w:color w:val="000000"/>
          <w:sz w:val="20"/>
        </w:rPr>
      </w:pPr>
      <w:r>
        <w:rPr>
          <w:rFonts w:ascii="Times New Roman" w:hAnsi="Times New Roman"/>
          <w:color w:val="000000"/>
          <w:sz w:val="20"/>
        </w:rPr>
        <w:t>Incorporated State: Delaware</w:t>
      </w:r>
    </w:p>
    <w:p>
      <w:pPr>
        <w:pStyle w:val="TextBody"/>
        <w:bidi w:val="0"/>
        <w:jc w:val="left"/>
        <w:rPr>
          <w:rFonts w:ascii="Times New Roman" w:hAnsi="Times New Roman"/>
          <w:color w:val="000000"/>
          <w:sz w:val="20"/>
        </w:rPr>
      </w:pPr>
      <w:r>
        <w:rPr>
          <w:rFonts w:ascii="Times New Roman" w:hAnsi="Times New Roman"/>
          <w:color w:val="000000"/>
          <w:sz w:val="20"/>
        </w:rPr>
        <w:t xml:space="preserve">Business Name: The Canyon at Santa Monica </w:t>
      </w:r>
    </w:p>
    <w:p>
      <w:pPr>
        <w:pStyle w:val="TextBody"/>
        <w:bidi w:val="0"/>
        <w:jc w:val="left"/>
        <w:rPr>
          <w:rFonts w:ascii="Times New Roman" w:hAnsi="Times New Roman"/>
          <w:sz w:val="20"/>
        </w:rPr>
      </w:pPr>
      <w:r>
        <w:rPr>
          <w:rFonts w:ascii="Times New Roman" w:hAnsi="Times New Roman"/>
          <w:b/>
          <w:color w:val="000000"/>
          <w:sz w:val="20"/>
        </w:rPr>
        <w:t>The Charter School at the National Deaf Academy, Inc.</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Incorporated State: Florida </w:t>
      </w:r>
    </w:p>
    <w:p>
      <w:pPr>
        <w:pStyle w:val="TextBody"/>
        <w:bidi w:val="0"/>
        <w:jc w:val="left"/>
        <w:rPr>
          <w:rFonts w:ascii="Times New Roman" w:hAnsi="Times New Roman"/>
          <w:sz w:val="20"/>
        </w:rPr>
      </w:pPr>
      <w:r>
        <w:rPr>
          <w:rFonts w:ascii="Times New Roman" w:hAnsi="Times New Roman"/>
          <w:b/>
          <w:color w:val="000000"/>
          <w:sz w:val="20"/>
        </w:rPr>
        <w:t>The Friends of Wellington Regional Medical Center, Inc.</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Incorporated State: Florida </w:t>
      </w:r>
    </w:p>
    <w:p>
      <w:pPr>
        <w:pStyle w:val="TextBody"/>
        <w:bidi w:val="0"/>
        <w:jc w:val="left"/>
        <w:rPr>
          <w:rFonts w:ascii="Times New Roman" w:hAnsi="Times New Roman"/>
          <w:sz w:val="20"/>
        </w:rPr>
      </w:pPr>
      <w:r>
        <w:rPr>
          <w:rFonts w:ascii="Times New Roman" w:hAnsi="Times New Roman"/>
          <w:b/>
          <w:color w:val="000000"/>
          <w:sz w:val="20"/>
        </w:rPr>
        <w:t>The National Deaf Academy, LLC</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Incorporated State: Florida </w:t>
      </w:r>
    </w:p>
    <w:p>
      <w:pPr>
        <w:pStyle w:val="TextBody"/>
        <w:bidi w:val="0"/>
        <w:jc w:val="left"/>
        <w:rPr>
          <w:rFonts w:ascii="Times New Roman" w:hAnsi="Times New Roman"/>
          <w:sz w:val="20"/>
        </w:rPr>
      </w:pPr>
      <w:r>
        <w:rPr>
          <w:rFonts w:ascii="Times New Roman" w:hAnsi="Times New Roman"/>
          <w:b/>
          <w:color w:val="000000"/>
          <w:sz w:val="20"/>
        </w:rPr>
        <w:t>The Pavilion Foundation</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Incorporated State: Illinois </w:t>
      </w:r>
    </w:p>
    <w:p>
      <w:pPr>
        <w:pStyle w:val="TextBody"/>
        <w:bidi w:val="0"/>
        <w:jc w:val="left"/>
        <w:rPr>
          <w:rFonts w:ascii="Times New Roman" w:hAnsi="Times New Roman"/>
          <w:color w:val="000000"/>
          <w:sz w:val="20"/>
        </w:rPr>
      </w:pPr>
      <w:r>
        <w:rPr>
          <w:rFonts w:ascii="Times New Roman" w:hAnsi="Times New Roman"/>
          <w:color w:val="000000"/>
          <w:sz w:val="20"/>
        </w:rPr>
        <w:t xml:space="preserve">Business Name: The Pavilion Behavioral Health System </w:t>
      </w:r>
    </w:p>
    <w:p>
      <w:pPr>
        <w:pStyle w:val="TextBody"/>
        <w:bidi w:val="0"/>
        <w:jc w:val="left"/>
        <w:rPr>
          <w:rFonts w:ascii="Times New Roman" w:hAnsi="Times New Roman"/>
          <w:sz w:val="20"/>
        </w:rPr>
      </w:pPr>
      <w:r>
        <w:rPr>
          <w:rFonts w:ascii="Times New Roman" w:hAnsi="Times New Roman"/>
          <w:b/>
          <w:color w:val="000000"/>
          <w:sz w:val="20"/>
        </w:rPr>
        <w:t>The Shores Behavioral Hospital, LLC</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Incorporated State: Florida </w:t>
      </w:r>
    </w:p>
    <w:p>
      <w:pPr>
        <w:pStyle w:val="TextBody"/>
        <w:bidi w:val="0"/>
        <w:jc w:val="left"/>
        <w:rPr>
          <w:rFonts w:ascii="Times New Roman" w:hAnsi="Times New Roman"/>
          <w:b/>
          <w:color w:val="000000"/>
          <w:sz w:val="20"/>
        </w:rPr>
      </w:pPr>
      <w:r>
        <w:rPr>
          <w:rFonts w:ascii="Times New Roman" w:hAnsi="Times New Roman"/>
          <w:b/>
          <w:color w:val="000000"/>
          <w:sz w:val="20"/>
        </w:rPr>
        <w:t>Thousand Branches Business Support Services, LLC</w:t>
      </w:r>
    </w:p>
    <w:p>
      <w:pPr>
        <w:pStyle w:val="TextBody"/>
        <w:bidi w:val="0"/>
        <w:jc w:val="left"/>
        <w:rPr>
          <w:rFonts w:ascii="Times New Roman" w:hAnsi="Times New Roman"/>
          <w:color w:val="000000"/>
          <w:sz w:val="20"/>
        </w:rPr>
      </w:pPr>
      <w:r>
        <w:rPr>
          <w:rFonts w:ascii="Times New Roman" w:hAnsi="Times New Roman"/>
          <w:color w:val="000000"/>
          <w:sz w:val="20"/>
        </w:rPr>
        <w:t>Incorporated State: Delaware</w:t>
      </w:r>
    </w:p>
    <w:p>
      <w:pPr>
        <w:pStyle w:val="TextBody"/>
        <w:bidi w:val="0"/>
        <w:jc w:val="left"/>
        <w:rPr>
          <w:rFonts w:ascii="Times New Roman" w:hAnsi="Times New Roman"/>
          <w:sz w:val="20"/>
        </w:rPr>
      </w:pPr>
      <w:r>
        <w:rPr>
          <w:rFonts w:ascii="Times New Roman" w:hAnsi="Times New Roman"/>
          <w:b/>
          <w:color w:val="000000"/>
          <w:sz w:val="20"/>
        </w:rPr>
        <w:t>Three Rivers Behavioral Health, LLC</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Incorporated State: South Carolina </w:t>
      </w:r>
    </w:p>
    <w:p>
      <w:pPr>
        <w:pStyle w:val="TextBody"/>
        <w:bidi w:val="0"/>
        <w:jc w:val="left"/>
        <w:rPr>
          <w:rFonts w:ascii="Times New Roman" w:hAnsi="Times New Roman"/>
          <w:color w:val="000000"/>
          <w:sz w:val="20"/>
        </w:rPr>
      </w:pPr>
      <w:r>
        <w:rPr>
          <w:rFonts w:ascii="Times New Roman" w:hAnsi="Times New Roman"/>
          <w:color w:val="000000"/>
          <w:sz w:val="20"/>
        </w:rPr>
        <w:t xml:space="preserve">Business Name: Three Rivers Behavioral Health </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sz w:val="20"/>
        </w:rPr>
      </w:pPr>
      <w:r>
        <w:rPr>
          <w:rFonts w:ascii="Times New Roman" w:hAnsi="Times New Roman"/>
          <w:b/>
          <w:color w:val="000000"/>
          <w:sz w:val="20"/>
        </w:rPr>
        <w:t>Three Rivers Healthcare Group, LLC</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Incorporated State: South Carolina </w:t>
      </w:r>
    </w:p>
    <w:p>
      <w:pPr>
        <w:pStyle w:val="TextBody"/>
        <w:bidi w:val="0"/>
        <w:jc w:val="left"/>
        <w:rPr>
          <w:rFonts w:ascii="Times New Roman" w:hAnsi="Times New Roman"/>
          <w:sz w:val="20"/>
        </w:rPr>
      </w:pPr>
      <w:r>
        <w:rPr>
          <w:rFonts w:ascii="Times New Roman" w:hAnsi="Times New Roman"/>
          <w:b/>
          <w:color w:val="000000"/>
          <w:sz w:val="20"/>
        </w:rPr>
        <w:t>Three Rivers Residential Treatment/Midlands Campus, Inc.</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Incorporated State: South Carolina </w:t>
      </w:r>
    </w:p>
    <w:p>
      <w:pPr>
        <w:pStyle w:val="TextBody"/>
        <w:bidi w:val="0"/>
        <w:jc w:val="left"/>
        <w:rPr>
          <w:rFonts w:ascii="Times New Roman" w:hAnsi="Times New Roman"/>
          <w:color w:val="000000"/>
          <w:sz w:val="20"/>
        </w:rPr>
      </w:pPr>
      <w:r>
        <w:rPr>
          <w:rFonts w:ascii="Times New Roman" w:hAnsi="Times New Roman"/>
          <w:color w:val="000000"/>
          <w:sz w:val="20"/>
        </w:rPr>
        <w:t xml:space="preserve">Business Name: Three Rivers Midlands </w:t>
      </w:r>
    </w:p>
    <w:p>
      <w:pPr>
        <w:pStyle w:val="TextBody"/>
        <w:bidi w:val="0"/>
        <w:jc w:val="left"/>
        <w:rPr>
          <w:rFonts w:ascii="Times New Roman" w:hAnsi="Times New Roman"/>
          <w:sz w:val="20"/>
        </w:rPr>
      </w:pPr>
      <w:r>
        <w:rPr>
          <w:rFonts w:ascii="Times New Roman" w:hAnsi="Times New Roman"/>
          <w:b/>
          <w:color w:val="000000"/>
          <w:sz w:val="20"/>
        </w:rPr>
        <w:t>Three Rivers SPE Holding, LLC</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Incorporated State: South Carolina </w:t>
      </w:r>
    </w:p>
    <w:p>
      <w:pPr>
        <w:pStyle w:val="TextBody"/>
        <w:bidi w:val="0"/>
        <w:jc w:val="left"/>
        <w:rPr>
          <w:rFonts w:ascii="Times New Roman" w:hAnsi="Times New Roman"/>
          <w:sz w:val="20"/>
        </w:rPr>
      </w:pPr>
      <w:r>
        <w:rPr>
          <w:rFonts w:ascii="Times New Roman" w:hAnsi="Times New Roman"/>
          <w:b/>
          <w:color w:val="000000"/>
          <w:sz w:val="20"/>
        </w:rPr>
        <w:t>Three Rivers SPE, LLC</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Incorporated State: South Carolina </w:t>
      </w:r>
    </w:p>
    <w:p>
      <w:pPr>
        <w:pStyle w:val="TextBody"/>
        <w:bidi w:val="0"/>
        <w:jc w:val="left"/>
        <w:rPr>
          <w:rFonts w:ascii="Times New Roman" w:hAnsi="Times New Roman"/>
          <w:sz w:val="20"/>
        </w:rPr>
      </w:pPr>
      <w:r>
        <w:rPr>
          <w:rFonts w:ascii="Times New Roman" w:hAnsi="Times New Roman"/>
          <w:b/>
          <w:color w:val="000000"/>
          <w:sz w:val="20"/>
        </w:rPr>
        <w:t>Toledo Holding Co., LLC</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Incorporated State: Delaware </w:t>
      </w:r>
    </w:p>
    <w:p>
      <w:pPr>
        <w:pStyle w:val="TextBody"/>
        <w:bidi w:val="0"/>
        <w:jc w:val="left"/>
        <w:rPr>
          <w:rFonts w:ascii="Times New Roman" w:hAnsi="Times New Roman"/>
          <w:sz w:val="20"/>
        </w:rPr>
      </w:pPr>
      <w:r>
        <w:rPr>
          <w:rFonts w:ascii="Times New Roman" w:hAnsi="Times New Roman"/>
          <w:b/>
          <w:color w:val="000000"/>
          <w:sz w:val="20"/>
        </w:rPr>
        <w:t>Turning Point Care Center, LLC</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Incorporated State: Georgia </w:t>
      </w:r>
    </w:p>
    <w:p>
      <w:pPr>
        <w:pStyle w:val="TextBody"/>
        <w:bidi w:val="0"/>
        <w:jc w:val="left"/>
        <w:rPr>
          <w:rFonts w:ascii="Times New Roman" w:hAnsi="Times New Roman"/>
          <w:color w:val="000000"/>
          <w:sz w:val="20"/>
        </w:rPr>
      </w:pPr>
      <w:r>
        <w:rPr>
          <w:rFonts w:ascii="Times New Roman" w:hAnsi="Times New Roman"/>
          <w:color w:val="000000"/>
          <w:sz w:val="20"/>
        </w:rPr>
        <w:t>Business Name: Turning Point Care Center</w:t>
      </w:r>
    </w:p>
    <w:p>
      <w:pPr>
        <w:pStyle w:val="TextBody"/>
        <w:bidi w:val="0"/>
        <w:jc w:val="left"/>
        <w:rPr>
          <w:rFonts w:ascii="Times New Roman" w:hAnsi="Times New Roman"/>
          <w:sz w:val="20"/>
        </w:rPr>
      </w:pPr>
      <w:r>
        <w:rPr>
          <w:rFonts w:ascii="Times New Roman" w:hAnsi="Times New Roman"/>
          <w:b/>
          <w:color w:val="000000"/>
          <w:sz w:val="20"/>
        </w:rPr>
        <w:t>Two Rivers Psychiatric Hospital, Inc.</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Incorporated State: Delaware </w:t>
      </w:r>
    </w:p>
    <w:p>
      <w:pPr>
        <w:pStyle w:val="TextBody"/>
        <w:bidi w:val="0"/>
        <w:jc w:val="left"/>
        <w:rPr>
          <w:rFonts w:ascii="Times New Roman" w:hAnsi="Times New Roman"/>
          <w:b/>
          <w:color w:val="000000"/>
          <w:sz w:val="20"/>
        </w:rPr>
      </w:pPr>
      <w:r>
        <w:rPr>
          <w:rFonts w:ascii="Times New Roman" w:hAnsi="Times New Roman"/>
          <w:b/>
          <w:color w:val="000000"/>
          <w:sz w:val="20"/>
        </w:rPr>
        <w:t>TXOK Urgent Cares</w:t>
      </w:r>
    </w:p>
    <w:p>
      <w:pPr>
        <w:pStyle w:val="TextBody"/>
        <w:bidi w:val="0"/>
        <w:jc w:val="left"/>
        <w:rPr>
          <w:rFonts w:ascii="Times New Roman" w:hAnsi="Times New Roman"/>
          <w:color w:val="000000"/>
          <w:sz w:val="20"/>
        </w:rPr>
      </w:pPr>
      <w:r>
        <w:rPr>
          <w:rFonts w:ascii="Times New Roman" w:hAnsi="Times New Roman"/>
          <w:color w:val="000000"/>
          <w:sz w:val="20"/>
        </w:rPr>
        <w:t>Incorporated State: Texas</w:t>
      </w:r>
    </w:p>
    <w:p>
      <w:pPr>
        <w:pStyle w:val="TextBody"/>
        <w:bidi w:val="0"/>
        <w:jc w:val="left"/>
        <w:rPr>
          <w:rFonts w:ascii="Times New Roman" w:hAnsi="Times New Roman"/>
          <w:b/>
          <w:color w:val="000000"/>
          <w:sz w:val="20"/>
        </w:rPr>
      </w:pPr>
      <w:r>
        <w:rPr>
          <w:rFonts w:ascii="Times New Roman" w:hAnsi="Times New Roman"/>
          <w:b/>
          <w:color w:val="000000"/>
          <w:sz w:val="20"/>
        </w:rPr>
        <w:t>UB of West FL HoldCo, LLC</w:t>
      </w:r>
    </w:p>
    <w:p>
      <w:pPr>
        <w:pStyle w:val="TextBody"/>
        <w:bidi w:val="0"/>
        <w:jc w:val="left"/>
        <w:rPr>
          <w:rFonts w:ascii="Times New Roman" w:hAnsi="Times New Roman"/>
          <w:color w:val="000000"/>
          <w:sz w:val="20"/>
        </w:rPr>
      </w:pPr>
      <w:r>
        <w:rPr>
          <w:rFonts w:ascii="Times New Roman" w:hAnsi="Times New Roman"/>
          <w:color w:val="000000"/>
          <w:sz w:val="20"/>
        </w:rPr>
        <w:t>Incorporated State: Delaware</w:t>
      </w:r>
    </w:p>
    <w:p>
      <w:pPr>
        <w:pStyle w:val="TextBody"/>
        <w:bidi w:val="0"/>
        <w:jc w:val="left"/>
        <w:rPr>
          <w:rFonts w:ascii="Times New Roman" w:hAnsi="Times New Roman"/>
          <w:b/>
          <w:color w:val="000000"/>
          <w:sz w:val="20"/>
        </w:rPr>
      </w:pPr>
      <w:r>
        <w:rPr>
          <w:rFonts w:ascii="Times New Roman" w:hAnsi="Times New Roman"/>
          <w:b/>
          <w:color w:val="000000"/>
          <w:sz w:val="20"/>
        </w:rPr>
        <w:t>UB of West FL, LLC</w:t>
      </w:r>
    </w:p>
    <w:p>
      <w:pPr>
        <w:pStyle w:val="TextBody"/>
        <w:bidi w:val="0"/>
        <w:jc w:val="left"/>
        <w:rPr>
          <w:rFonts w:ascii="Times New Roman" w:hAnsi="Times New Roman"/>
          <w:color w:val="000000"/>
          <w:sz w:val="20"/>
        </w:rPr>
      </w:pPr>
      <w:r>
        <w:rPr>
          <w:rFonts w:ascii="Times New Roman" w:hAnsi="Times New Roman"/>
          <w:color w:val="000000"/>
          <w:sz w:val="20"/>
        </w:rPr>
        <w:t>Incorporated State: Delaware</w:t>
      </w:r>
    </w:p>
    <w:p>
      <w:pPr>
        <w:pStyle w:val="TextBody"/>
        <w:bidi w:val="0"/>
        <w:jc w:val="left"/>
        <w:rPr>
          <w:rFonts w:ascii="Times New Roman" w:hAnsi="Times New Roman"/>
          <w:b/>
          <w:color w:val="000000"/>
          <w:sz w:val="20"/>
        </w:rPr>
      </w:pPr>
      <w:r>
        <w:rPr>
          <w:rFonts w:ascii="Times New Roman" w:hAnsi="Times New Roman"/>
          <w:b/>
          <w:color w:val="000000"/>
          <w:sz w:val="20"/>
        </w:rPr>
        <w:t>UBH of Oregon, LLC</w:t>
      </w:r>
    </w:p>
    <w:p>
      <w:pPr>
        <w:pStyle w:val="TextBody"/>
        <w:bidi w:val="0"/>
        <w:jc w:val="left"/>
        <w:rPr>
          <w:rFonts w:ascii="Times New Roman" w:hAnsi="Times New Roman"/>
          <w:color w:val="000000"/>
          <w:sz w:val="20"/>
        </w:rPr>
      </w:pPr>
      <w:r>
        <w:rPr>
          <w:rFonts w:ascii="Times New Roman" w:hAnsi="Times New Roman"/>
          <w:color w:val="000000"/>
          <w:sz w:val="20"/>
        </w:rPr>
        <w:t xml:space="preserve">Incorporated State: Delaware </w:t>
      </w:r>
    </w:p>
    <w:p>
      <w:pPr>
        <w:pStyle w:val="TextBody"/>
        <w:bidi w:val="0"/>
        <w:jc w:val="left"/>
        <w:rPr>
          <w:rFonts w:ascii="Times New Roman" w:hAnsi="Times New Roman"/>
          <w:color w:val="000000"/>
          <w:sz w:val="20"/>
        </w:rPr>
      </w:pPr>
      <w:r>
        <w:rPr>
          <w:rFonts w:ascii="Times New Roman" w:hAnsi="Times New Roman"/>
          <w:color w:val="000000"/>
          <w:sz w:val="20"/>
        </w:rPr>
        <w:t xml:space="preserve">Business Name: Cedar Hills Hospital </w:t>
      </w:r>
    </w:p>
    <w:p>
      <w:pPr>
        <w:pStyle w:val="TextBody"/>
        <w:bidi w:val="0"/>
        <w:jc w:val="left"/>
        <w:rPr>
          <w:rFonts w:ascii="Times New Roman" w:hAnsi="Times New Roman"/>
          <w:sz w:val="20"/>
        </w:rPr>
      </w:pPr>
      <w:r>
        <w:rPr>
          <w:rFonts w:ascii="Times New Roman" w:hAnsi="Times New Roman"/>
          <w:b/>
          <w:color w:val="000000"/>
          <w:sz w:val="20"/>
        </w:rPr>
        <w:t>UBH of Phoenix Realty, LLC</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Incorporated State: Delaware </w:t>
      </w:r>
    </w:p>
    <w:p>
      <w:pPr>
        <w:pStyle w:val="TextBody"/>
        <w:bidi w:val="0"/>
        <w:jc w:val="left"/>
        <w:rPr>
          <w:rFonts w:ascii="Times New Roman" w:hAnsi="Times New Roman"/>
          <w:sz w:val="20"/>
        </w:rPr>
      </w:pPr>
      <w:r>
        <w:rPr>
          <w:rFonts w:ascii="Times New Roman" w:hAnsi="Times New Roman"/>
          <w:b/>
          <w:color w:val="000000"/>
          <w:sz w:val="20"/>
        </w:rPr>
        <w:t>UBH of Phoenix, LLC</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Incorporated State: Delaware </w:t>
      </w:r>
    </w:p>
    <w:p>
      <w:pPr>
        <w:pStyle w:val="TextBody"/>
        <w:bidi w:val="0"/>
        <w:jc w:val="left"/>
        <w:rPr>
          <w:rFonts w:ascii="Times New Roman" w:hAnsi="Times New Roman"/>
          <w:color w:val="000000"/>
          <w:sz w:val="20"/>
        </w:rPr>
      </w:pPr>
      <w:r>
        <w:rPr>
          <w:rFonts w:ascii="Times New Roman" w:hAnsi="Times New Roman"/>
          <w:color w:val="000000"/>
          <w:sz w:val="20"/>
        </w:rPr>
        <w:t xml:space="preserve">Business Name: Valley Hospital </w:t>
      </w:r>
    </w:p>
    <w:p>
      <w:pPr>
        <w:pStyle w:val="TextBody"/>
        <w:bidi w:val="0"/>
        <w:jc w:val="left"/>
        <w:rPr>
          <w:rFonts w:ascii="Times New Roman" w:hAnsi="Times New Roman"/>
          <w:b/>
          <w:color w:val="000000"/>
          <w:sz w:val="20"/>
        </w:rPr>
      </w:pPr>
      <w:r>
        <w:rPr>
          <w:rFonts w:ascii="Times New Roman" w:hAnsi="Times New Roman"/>
          <w:b/>
          <w:color w:val="000000"/>
          <w:sz w:val="20"/>
        </w:rPr>
        <w:t>UBMHHA, LLC</w:t>
      </w:r>
    </w:p>
    <w:p>
      <w:pPr>
        <w:pStyle w:val="TextBody"/>
        <w:bidi w:val="0"/>
        <w:jc w:val="left"/>
        <w:rPr>
          <w:rFonts w:ascii="Times New Roman" w:hAnsi="Times New Roman"/>
          <w:color w:val="000000"/>
          <w:sz w:val="20"/>
        </w:rPr>
      </w:pPr>
      <w:r>
        <w:rPr>
          <w:rFonts w:ascii="Times New Roman" w:hAnsi="Times New Roman"/>
          <w:color w:val="000000"/>
          <w:sz w:val="20"/>
        </w:rPr>
        <w:t>Incorporated State: Delaware</w:t>
      </w:r>
    </w:p>
    <w:p>
      <w:pPr>
        <w:pStyle w:val="TextBody"/>
        <w:bidi w:val="0"/>
        <w:jc w:val="left"/>
        <w:rPr>
          <w:rFonts w:ascii="Times New Roman" w:hAnsi="Times New Roman"/>
          <w:sz w:val="20"/>
        </w:rPr>
      </w:pPr>
      <w:r>
        <w:rPr>
          <w:rFonts w:ascii="Times New Roman" w:hAnsi="Times New Roman"/>
          <w:b/>
          <w:color w:val="000000"/>
          <w:sz w:val="20"/>
        </w:rPr>
        <w:t>UHP, LP</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Incorporated State: Delaware </w:t>
      </w:r>
    </w:p>
    <w:p>
      <w:pPr>
        <w:pStyle w:val="TextBody"/>
        <w:bidi w:val="0"/>
        <w:jc w:val="left"/>
        <w:rPr>
          <w:rFonts w:ascii="Times New Roman" w:hAnsi="Times New Roman"/>
          <w:color w:val="000000"/>
          <w:sz w:val="20"/>
        </w:rPr>
      </w:pPr>
      <w:r>
        <w:rPr>
          <w:rFonts w:ascii="Times New Roman" w:hAnsi="Times New Roman"/>
          <w:color w:val="000000"/>
          <w:sz w:val="20"/>
        </w:rPr>
        <w:t xml:space="preserve">Business Name: University Behavioral Health of Denton </w:t>
      </w:r>
    </w:p>
    <w:p>
      <w:pPr>
        <w:pStyle w:val="TextBody"/>
        <w:bidi w:val="0"/>
        <w:jc w:val="left"/>
        <w:rPr>
          <w:rFonts w:ascii="Times New Roman" w:hAnsi="Times New Roman"/>
          <w:b/>
          <w:color w:val="000000"/>
          <w:sz w:val="20"/>
        </w:rPr>
      </w:pPr>
      <w:r>
        <w:rPr>
          <w:rFonts w:ascii="Times New Roman" w:hAnsi="Times New Roman"/>
          <w:b/>
          <w:color w:val="000000"/>
          <w:sz w:val="20"/>
        </w:rPr>
        <w:t>UHS Advisory, Inc.</w:t>
      </w:r>
    </w:p>
    <w:p>
      <w:pPr>
        <w:pStyle w:val="TextBody"/>
        <w:bidi w:val="0"/>
        <w:jc w:val="left"/>
        <w:rPr>
          <w:rFonts w:ascii="Times New Roman" w:hAnsi="Times New Roman"/>
          <w:color w:val="000000"/>
          <w:sz w:val="20"/>
        </w:rPr>
      </w:pPr>
      <w:r>
        <w:rPr>
          <w:rFonts w:ascii="Times New Roman" w:hAnsi="Times New Roman"/>
          <w:color w:val="000000"/>
          <w:sz w:val="20"/>
        </w:rPr>
        <w:t xml:space="preserve">Incorporated State: Delaware </w:t>
      </w:r>
    </w:p>
    <w:p>
      <w:pPr>
        <w:pStyle w:val="TextBody"/>
        <w:bidi w:val="0"/>
        <w:jc w:val="left"/>
        <w:rPr>
          <w:rFonts w:ascii="Times New Roman" w:hAnsi="Times New Roman"/>
          <w:b/>
          <w:color w:val="000000"/>
          <w:sz w:val="20"/>
        </w:rPr>
      </w:pPr>
      <w:r>
        <w:rPr>
          <w:rFonts w:ascii="Times New Roman" w:hAnsi="Times New Roman"/>
          <w:b/>
          <w:color w:val="000000"/>
          <w:sz w:val="20"/>
        </w:rPr>
        <w:t>UHS Altru ND JV, LLC</w:t>
      </w:r>
    </w:p>
    <w:p>
      <w:pPr>
        <w:pStyle w:val="TextBody"/>
        <w:bidi w:val="0"/>
        <w:jc w:val="left"/>
        <w:rPr>
          <w:rFonts w:ascii="Times New Roman" w:hAnsi="Times New Roman"/>
          <w:color w:val="000000"/>
          <w:sz w:val="20"/>
        </w:rPr>
      </w:pPr>
      <w:r>
        <w:rPr>
          <w:rFonts w:ascii="Times New Roman" w:hAnsi="Times New Roman"/>
          <w:color w:val="000000"/>
          <w:sz w:val="20"/>
        </w:rPr>
        <w:t>Incorporated State: Delaware</w:t>
      </w:r>
    </w:p>
    <w:p>
      <w:pPr>
        <w:pStyle w:val="TextBody"/>
        <w:bidi w:val="0"/>
        <w:jc w:val="left"/>
        <w:rPr>
          <w:rFonts w:ascii="Times New Roman" w:hAnsi="Times New Roman"/>
          <w:b/>
          <w:color w:val="000000"/>
          <w:sz w:val="20"/>
        </w:rPr>
      </w:pPr>
      <w:r>
        <w:rPr>
          <w:rFonts w:ascii="Times New Roman" w:hAnsi="Times New Roman"/>
          <w:b/>
          <w:color w:val="000000"/>
          <w:sz w:val="20"/>
        </w:rPr>
        <w:t>UHS Ambulatory Network LLC</w:t>
      </w:r>
    </w:p>
    <w:p>
      <w:pPr>
        <w:pStyle w:val="TextBody"/>
        <w:bidi w:val="0"/>
        <w:jc w:val="left"/>
        <w:rPr>
          <w:rFonts w:ascii="Times New Roman" w:hAnsi="Times New Roman"/>
          <w:color w:val="000000"/>
          <w:sz w:val="20"/>
        </w:rPr>
      </w:pPr>
      <w:r>
        <w:rPr>
          <w:rFonts w:ascii="Times New Roman" w:hAnsi="Times New Roman"/>
          <w:color w:val="000000"/>
          <w:sz w:val="20"/>
        </w:rPr>
        <w:t>Incorporated State: Delaware</w:t>
      </w:r>
    </w:p>
    <w:p>
      <w:pPr>
        <w:pStyle w:val="TextBody"/>
        <w:bidi w:val="0"/>
        <w:jc w:val="left"/>
        <w:rPr>
          <w:rFonts w:ascii="Times New Roman" w:hAnsi="Times New Roman"/>
          <w:b/>
          <w:color w:val="000000"/>
          <w:sz w:val="20"/>
        </w:rPr>
      </w:pPr>
      <w:r>
        <w:rPr>
          <w:rFonts w:ascii="Times New Roman" w:hAnsi="Times New Roman"/>
          <w:b/>
          <w:color w:val="000000"/>
          <w:sz w:val="20"/>
        </w:rPr>
        <w:t>UHS ASC LLC</w:t>
      </w:r>
    </w:p>
    <w:p>
      <w:pPr>
        <w:pStyle w:val="TextBody"/>
        <w:bidi w:val="0"/>
        <w:jc w:val="left"/>
        <w:rPr>
          <w:rFonts w:ascii="Times New Roman" w:hAnsi="Times New Roman"/>
          <w:color w:val="000000"/>
          <w:sz w:val="20"/>
        </w:rPr>
      </w:pPr>
      <w:r>
        <w:rPr>
          <w:rFonts w:ascii="Times New Roman" w:hAnsi="Times New Roman"/>
          <w:color w:val="000000"/>
          <w:sz w:val="20"/>
        </w:rPr>
        <w:t>Incorporated State: Delaware</w:t>
      </w:r>
    </w:p>
    <w:p>
      <w:pPr>
        <w:pStyle w:val="TextBody"/>
        <w:bidi w:val="0"/>
        <w:jc w:val="left"/>
        <w:rPr>
          <w:rFonts w:ascii="Times New Roman" w:hAnsi="Times New Roman"/>
          <w:b/>
          <w:color w:val="000000"/>
          <w:sz w:val="20"/>
        </w:rPr>
      </w:pPr>
      <w:r>
        <w:rPr>
          <w:rFonts w:ascii="Times New Roman" w:hAnsi="Times New Roman"/>
          <w:b/>
          <w:color w:val="000000"/>
          <w:sz w:val="20"/>
        </w:rPr>
        <w:t>UHS Assurance Company Ltd.</w:t>
      </w:r>
    </w:p>
    <w:p>
      <w:pPr>
        <w:pStyle w:val="TextBody"/>
        <w:bidi w:val="0"/>
        <w:jc w:val="left"/>
        <w:rPr>
          <w:rFonts w:ascii="Times New Roman" w:hAnsi="Times New Roman"/>
          <w:color w:val="000000"/>
          <w:sz w:val="20"/>
        </w:rPr>
      </w:pPr>
      <w:r>
        <w:rPr>
          <w:rFonts w:ascii="Times New Roman" w:hAnsi="Times New Roman"/>
          <w:color w:val="000000"/>
          <w:sz w:val="20"/>
        </w:rPr>
        <w:t>Incorporated State: Bermuda</w:t>
      </w:r>
    </w:p>
    <w:p>
      <w:pPr>
        <w:pStyle w:val="TextBody"/>
        <w:bidi w:val="0"/>
        <w:jc w:val="left"/>
        <w:rPr>
          <w:rFonts w:ascii="Times New Roman" w:hAnsi="Times New Roman"/>
          <w:b/>
          <w:color w:val="000000"/>
          <w:sz w:val="20"/>
        </w:rPr>
      </w:pPr>
      <w:r>
        <w:rPr>
          <w:rFonts w:ascii="Times New Roman" w:hAnsi="Times New Roman"/>
          <w:b/>
          <w:color w:val="000000"/>
          <w:sz w:val="20"/>
        </w:rPr>
        <w:t>UHS BH Internship Aggregator, LLC</w:t>
      </w:r>
    </w:p>
    <w:p>
      <w:pPr>
        <w:pStyle w:val="TextBody"/>
        <w:bidi w:val="0"/>
        <w:jc w:val="left"/>
        <w:rPr>
          <w:rFonts w:ascii="Times New Roman" w:hAnsi="Times New Roman"/>
          <w:color w:val="000000"/>
          <w:sz w:val="20"/>
        </w:rPr>
      </w:pPr>
      <w:r>
        <w:rPr>
          <w:rFonts w:ascii="Times New Roman" w:hAnsi="Times New Roman"/>
          <w:color w:val="000000"/>
          <w:sz w:val="20"/>
        </w:rPr>
        <w:t>Incorporated State: Arizona</w:t>
      </w:r>
    </w:p>
    <w:p>
      <w:pPr>
        <w:pStyle w:val="TextBody"/>
        <w:bidi w:val="0"/>
        <w:jc w:val="left"/>
        <w:rPr>
          <w:rFonts w:ascii="Times New Roman" w:hAnsi="Times New Roman"/>
          <w:b/>
          <w:color w:val="000000"/>
          <w:sz w:val="20"/>
        </w:rPr>
      </w:pPr>
      <w:r>
        <w:rPr>
          <w:rFonts w:ascii="Times New Roman" w:hAnsi="Times New Roman"/>
          <w:b/>
          <w:color w:val="000000"/>
          <w:sz w:val="20"/>
        </w:rPr>
        <w:t>UHS BH PA JV, LLC</w:t>
      </w:r>
    </w:p>
    <w:p>
      <w:pPr>
        <w:pStyle w:val="TextBody"/>
        <w:bidi w:val="0"/>
        <w:jc w:val="left"/>
        <w:rPr>
          <w:rFonts w:ascii="Times New Roman" w:hAnsi="Times New Roman"/>
          <w:color w:val="000000"/>
          <w:sz w:val="20"/>
        </w:rPr>
      </w:pPr>
      <w:r>
        <w:rPr>
          <w:rFonts w:ascii="Times New Roman" w:hAnsi="Times New Roman"/>
          <w:color w:val="000000"/>
          <w:sz w:val="20"/>
        </w:rPr>
        <w:t>Incorporated State: Pennsylvania</w:t>
      </w:r>
    </w:p>
    <w:p>
      <w:pPr>
        <w:pStyle w:val="TextBody"/>
        <w:bidi w:val="0"/>
        <w:jc w:val="left"/>
        <w:rPr>
          <w:rFonts w:ascii="Times New Roman" w:hAnsi="Times New Roman"/>
          <w:b/>
          <w:color w:val="000000"/>
          <w:sz w:val="20"/>
        </w:rPr>
      </w:pPr>
      <w:r>
        <w:rPr>
          <w:rFonts w:ascii="Times New Roman" w:hAnsi="Times New Roman"/>
          <w:b/>
          <w:color w:val="000000"/>
          <w:sz w:val="20"/>
        </w:rPr>
        <w:t>UHS BH Telepsych, LLC</w:t>
      </w:r>
    </w:p>
    <w:p>
      <w:pPr>
        <w:pStyle w:val="TextBody"/>
        <w:bidi w:val="0"/>
        <w:jc w:val="left"/>
        <w:rPr>
          <w:rFonts w:ascii="Times New Roman" w:hAnsi="Times New Roman"/>
          <w:color w:val="000000"/>
          <w:sz w:val="20"/>
        </w:rPr>
      </w:pPr>
      <w:r>
        <w:rPr>
          <w:rFonts w:ascii="Times New Roman" w:hAnsi="Times New Roman"/>
          <w:color w:val="000000"/>
          <w:sz w:val="20"/>
        </w:rPr>
        <w:t>Incorporated State: Delaware</w:t>
      </w:r>
    </w:p>
    <w:p>
      <w:pPr>
        <w:pStyle w:val="TextBody"/>
        <w:bidi w:val="0"/>
        <w:jc w:val="left"/>
        <w:rPr>
          <w:rFonts w:ascii="Times New Roman" w:hAnsi="Times New Roman"/>
          <w:sz w:val="20"/>
        </w:rPr>
      </w:pPr>
      <w:r>
        <w:rPr>
          <w:rFonts w:ascii="Times New Roman" w:hAnsi="Times New Roman"/>
          <w:b/>
          <w:color w:val="000000"/>
          <w:sz w:val="20"/>
        </w:rPr>
        <w:t>UHS Building Solutions, Inc.</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Incorporation State: Delaware </w:t>
      </w:r>
    </w:p>
    <w:p>
      <w:pPr>
        <w:pStyle w:val="TextBody"/>
        <w:bidi w:val="0"/>
        <w:jc w:val="left"/>
        <w:rPr>
          <w:rFonts w:ascii="Times New Roman" w:hAnsi="Times New Roman"/>
          <w:b/>
          <w:color w:val="000000"/>
          <w:sz w:val="20"/>
        </w:rPr>
      </w:pPr>
      <w:r>
        <w:rPr>
          <w:rFonts w:ascii="Times New Roman" w:hAnsi="Times New Roman"/>
          <w:b/>
          <w:color w:val="000000"/>
          <w:sz w:val="20"/>
        </w:rPr>
        <w:t>UHS Capitol Acquisition, LLC</w:t>
      </w:r>
    </w:p>
    <w:p>
      <w:pPr>
        <w:pStyle w:val="TextBody"/>
        <w:bidi w:val="0"/>
        <w:jc w:val="left"/>
        <w:rPr>
          <w:rFonts w:ascii="Times New Roman" w:hAnsi="Times New Roman"/>
          <w:color w:val="000000"/>
          <w:sz w:val="20"/>
        </w:rPr>
      </w:pPr>
      <w:r>
        <w:rPr>
          <w:rFonts w:ascii="Times New Roman" w:hAnsi="Times New Roman"/>
          <w:color w:val="000000"/>
          <w:sz w:val="20"/>
        </w:rPr>
        <w:t>Incorporated State: Delaware</w:t>
      </w:r>
    </w:p>
    <w:p>
      <w:pPr>
        <w:pStyle w:val="TextBody"/>
        <w:bidi w:val="0"/>
        <w:jc w:val="left"/>
        <w:rPr>
          <w:rFonts w:ascii="Times New Roman" w:hAnsi="Times New Roman"/>
          <w:sz w:val="20"/>
        </w:rPr>
      </w:pPr>
      <w:r>
        <w:rPr>
          <w:rFonts w:ascii="Times New Roman" w:hAnsi="Times New Roman"/>
          <w:b/>
          <w:color w:val="000000"/>
          <w:sz w:val="20"/>
        </w:rPr>
        <w:t>UHS Children Services, Inc.</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Incorporated State: Delaware</w:t>
      </w:r>
    </w:p>
    <w:p>
      <w:pPr>
        <w:pStyle w:val="TextBody"/>
        <w:bidi w:val="0"/>
        <w:jc w:val="left"/>
        <w:rPr>
          <w:rFonts w:ascii="Times New Roman" w:hAnsi="Times New Roman"/>
          <w:b/>
          <w:color w:val="000000"/>
          <w:sz w:val="20"/>
        </w:rPr>
      </w:pPr>
      <w:r>
        <w:rPr>
          <w:rFonts w:ascii="Times New Roman" w:hAnsi="Times New Roman"/>
          <w:b/>
          <w:color w:val="000000"/>
          <w:sz w:val="20"/>
        </w:rPr>
        <w:t>UHS Colorado Springs OUD, LLC</w:t>
      </w:r>
    </w:p>
    <w:p>
      <w:pPr>
        <w:pStyle w:val="TextBody"/>
        <w:bidi w:val="0"/>
        <w:jc w:val="left"/>
        <w:rPr>
          <w:rFonts w:ascii="Times New Roman" w:hAnsi="Times New Roman"/>
          <w:color w:val="000000"/>
          <w:sz w:val="20"/>
        </w:rPr>
      </w:pPr>
      <w:r>
        <w:rPr>
          <w:rFonts w:ascii="Times New Roman" w:hAnsi="Times New Roman"/>
          <w:color w:val="000000"/>
          <w:sz w:val="20"/>
        </w:rPr>
        <w:t>Incorporated State: Delaware</w:t>
      </w:r>
    </w:p>
    <w:p>
      <w:pPr>
        <w:pStyle w:val="TextBody"/>
        <w:bidi w:val="0"/>
        <w:jc w:val="left"/>
        <w:rPr>
          <w:rFonts w:ascii="Times New Roman" w:hAnsi="Times New Roman"/>
          <w:b/>
          <w:color w:val="000000"/>
          <w:sz w:val="20"/>
        </w:rPr>
      </w:pPr>
      <w:r>
        <w:rPr>
          <w:rFonts w:ascii="Times New Roman" w:hAnsi="Times New Roman"/>
          <w:b/>
          <w:color w:val="000000"/>
          <w:sz w:val="20"/>
        </w:rPr>
        <w:t>UHS East End Corporation</w:t>
      </w:r>
    </w:p>
    <w:p>
      <w:pPr>
        <w:pStyle w:val="TextBody"/>
        <w:bidi w:val="0"/>
        <w:jc w:val="left"/>
        <w:rPr>
          <w:rFonts w:ascii="Times New Roman" w:hAnsi="Times New Roman"/>
          <w:color w:val="000000"/>
          <w:sz w:val="20"/>
        </w:rPr>
      </w:pPr>
      <w:r>
        <w:rPr>
          <w:rFonts w:ascii="Times New Roman" w:hAnsi="Times New Roman"/>
          <w:color w:val="000000"/>
          <w:sz w:val="20"/>
        </w:rPr>
        <w:t>Incorporated State: District of Columbia</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b/>
          <w:color w:val="000000"/>
          <w:sz w:val="20"/>
        </w:rPr>
      </w:pPr>
      <w:r>
        <w:rPr>
          <w:rFonts w:ascii="Times New Roman" w:hAnsi="Times New Roman"/>
          <w:b/>
          <w:color w:val="000000"/>
          <w:sz w:val="20"/>
        </w:rPr>
        <w:t>UHS East End Sub, LLC</w:t>
      </w:r>
    </w:p>
    <w:p>
      <w:pPr>
        <w:pStyle w:val="TextBody"/>
        <w:bidi w:val="0"/>
        <w:jc w:val="left"/>
        <w:rPr>
          <w:rFonts w:ascii="Times New Roman" w:hAnsi="Times New Roman"/>
          <w:color w:val="000000"/>
          <w:sz w:val="20"/>
        </w:rPr>
      </w:pPr>
      <w:r>
        <w:rPr>
          <w:rFonts w:ascii="Times New Roman" w:hAnsi="Times New Roman"/>
          <w:color w:val="000000"/>
          <w:sz w:val="20"/>
        </w:rPr>
        <w:t>Incorporated State: District of Columbia</w:t>
      </w:r>
    </w:p>
    <w:p>
      <w:pPr>
        <w:pStyle w:val="TextBody"/>
        <w:bidi w:val="0"/>
        <w:jc w:val="left"/>
        <w:rPr>
          <w:rFonts w:ascii="Times New Roman" w:hAnsi="Times New Roman"/>
          <w:color w:val="000000"/>
          <w:sz w:val="20"/>
        </w:rPr>
      </w:pPr>
      <w:r>
        <w:rPr>
          <w:rFonts w:ascii="Times New Roman" w:hAnsi="Times New Roman"/>
          <w:color w:val="000000"/>
          <w:sz w:val="20"/>
        </w:rPr>
        <w:t>Business Name: Cedar Hill Regional Medical Center GW Health</w:t>
      </w:r>
    </w:p>
    <w:p>
      <w:pPr>
        <w:pStyle w:val="TextBody"/>
        <w:bidi w:val="0"/>
        <w:jc w:val="left"/>
        <w:rPr>
          <w:rFonts w:ascii="Times New Roman" w:hAnsi="Times New Roman"/>
          <w:b/>
          <w:color w:val="000000"/>
          <w:sz w:val="20"/>
        </w:rPr>
      </w:pPr>
      <w:r>
        <w:rPr>
          <w:rFonts w:ascii="Times New Roman" w:hAnsi="Times New Roman"/>
          <w:b/>
          <w:color w:val="000000"/>
          <w:sz w:val="20"/>
        </w:rPr>
        <w:t>UHS Florida MA JV Holdings, LLC</w:t>
      </w:r>
    </w:p>
    <w:p>
      <w:pPr>
        <w:pStyle w:val="TextBody"/>
        <w:bidi w:val="0"/>
        <w:jc w:val="left"/>
        <w:rPr>
          <w:rFonts w:ascii="Times New Roman" w:hAnsi="Times New Roman"/>
          <w:color w:val="000000"/>
          <w:sz w:val="20"/>
        </w:rPr>
      </w:pPr>
      <w:r>
        <w:rPr>
          <w:rFonts w:ascii="Times New Roman" w:hAnsi="Times New Roman"/>
          <w:color w:val="000000"/>
          <w:sz w:val="20"/>
        </w:rPr>
        <w:t>Incorporated State: Florida</w:t>
      </w:r>
    </w:p>
    <w:p>
      <w:pPr>
        <w:pStyle w:val="TextBody"/>
        <w:bidi w:val="0"/>
        <w:jc w:val="left"/>
        <w:rPr>
          <w:rFonts w:ascii="Times New Roman" w:hAnsi="Times New Roman"/>
          <w:b/>
          <w:color w:val="000000"/>
          <w:sz w:val="20"/>
        </w:rPr>
      </w:pPr>
      <w:r>
        <w:rPr>
          <w:rFonts w:ascii="Times New Roman" w:hAnsi="Times New Roman"/>
          <w:b/>
          <w:color w:val="000000"/>
          <w:sz w:val="20"/>
        </w:rPr>
        <w:t>UHS Florida Regional Office, LLC</w:t>
      </w:r>
    </w:p>
    <w:p>
      <w:pPr>
        <w:pStyle w:val="TextBody"/>
        <w:bidi w:val="0"/>
        <w:jc w:val="left"/>
        <w:rPr>
          <w:rFonts w:ascii="Times New Roman" w:hAnsi="Times New Roman"/>
          <w:color w:val="000000"/>
          <w:sz w:val="20"/>
        </w:rPr>
      </w:pPr>
      <w:r>
        <w:rPr>
          <w:rFonts w:ascii="Times New Roman" w:hAnsi="Times New Roman"/>
          <w:color w:val="000000"/>
          <w:sz w:val="20"/>
        </w:rPr>
        <w:t>Incorporated State: Florida</w:t>
      </w:r>
    </w:p>
    <w:p>
      <w:pPr>
        <w:pStyle w:val="TextBody"/>
        <w:bidi w:val="0"/>
        <w:jc w:val="left"/>
        <w:rPr>
          <w:rFonts w:ascii="Times New Roman" w:hAnsi="Times New Roman"/>
          <w:b/>
          <w:color w:val="000000"/>
          <w:sz w:val="20"/>
        </w:rPr>
      </w:pPr>
      <w:r>
        <w:rPr>
          <w:rFonts w:ascii="Times New Roman" w:hAnsi="Times New Roman"/>
          <w:b/>
          <w:color w:val="000000"/>
          <w:sz w:val="20"/>
        </w:rPr>
        <w:t>UHS FLPG Florida, LLC</w:t>
      </w:r>
    </w:p>
    <w:p>
      <w:pPr>
        <w:pStyle w:val="TextBody"/>
        <w:bidi w:val="0"/>
        <w:jc w:val="left"/>
        <w:rPr>
          <w:rFonts w:ascii="Times New Roman" w:hAnsi="Times New Roman"/>
          <w:color w:val="000000"/>
          <w:sz w:val="20"/>
        </w:rPr>
      </w:pPr>
      <w:r>
        <w:rPr>
          <w:rFonts w:ascii="Times New Roman" w:hAnsi="Times New Roman"/>
          <w:color w:val="000000"/>
          <w:sz w:val="20"/>
        </w:rPr>
        <w:t>Incorporated State: Delaware</w:t>
      </w:r>
    </w:p>
    <w:p>
      <w:pPr>
        <w:pStyle w:val="TextBody"/>
        <w:bidi w:val="0"/>
        <w:jc w:val="left"/>
        <w:rPr>
          <w:rFonts w:ascii="Times New Roman" w:hAnsi="Times New Roman"/>
          <w:b/>
          <w:color w:val="000000"/>
          <w:sz w:val="20"/>
        </w:rPr>
      </w:pPr>
      <w:r>
        <w:rPr>
          <w:rFonts w:ascii="Times New Roman" w:hAnsi="Times New Roman"/>
          <w:b/>
          <w:color w:val="000000"/>
          <w:sz w:val="20"/>
        </w:rPr>
        <w:t>UHS Funding, LLC</w:t>
      </w:r>
    </w:p>
    <w:p>
      <w:pPr>
        <w:pStyle w:val="TextBody"/>
        <w:bidi w:val="0"/>
        <w:jc w:val="left"/>
        <w:rPr>
          <w:rFonts w:ascii="Times New Roman" w:hAnsi="Times New Roman"/>
          <w:color w:val="000000"/>
          <w:sz w:val="20"/>
        </w:rPr>
      </w:pPr>
      <w:r>
        <w:rPr>
          <w:rFonts w:ascii="Times New Roman" w:hAnsi="Times New Roman"/>
          <w:color w:val="000000"/>
          <w:sz w:val="20"/>
        </w:rPr>
        <w:t xml:space="preserve">Incorporated State: Delaware </w:t>
      </w:r>
    </w:p>
    <w:p>
      <w:pPr>
        <w:pStyle w:val="TextBody"/>
        <w:bidi w:val="0"/>
        <w:jc w:val="left"/>
        <w:rPr>
          <w:rFonts w:ascii="Times New Roman" w:hAnsi="Times New Roman"/>
          <w:sz w:val="20"/>
        </w:rPr>
      </w:pPr>
      <w:r>
        <w:rPr>
          <w:rFonts w:ascii="Times New Roman" w:hAnsi="Times New Roman"/>
          <w:b/>
          <w:color w:val="000000"/>
          <w:sz w:val="20"/>
        </w:rPr>
        <w:t>UHS Good Samaritan, L.L.C.</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Incorporated State: Delaware </w:t>
      </w:r>
    </w:p>
    <w:p>
      <w:pPr>
        <w:pStyle w:val="TextBody"/>
        <w:bidi w:val="0"/>
        <w:jc w:val="left"/>
        <w:rPr>
          <w:rFonts w:ascii="Times New Roman" w:hAnsi="Times New Roman"/>
          <w:sz w:val="20"/>
        </w:rPr>
      </w:pPr>
      <w:r>
        <w:rPr>
          <w:rFonts w:ascii="Times New Roman" w:hAnsi="Times New Roman"/>
          <w:b/>
          <w:color w:val="000000"/>
          <w:sz w:val="20"/>
        </w:rPr>
        <w:t>UHS Green Bay OUD, LLC</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Incorporated State: Delaware </w:t>
      </w:r>
    </w:p>
    <w:p>
      <w:pPr>
        <w:pStyle w:val="TextBody"/>
        <w:bidi w:val="0"/>
        <w:jc w:val="left"/>
        <w:rPr>
          <w:rFonts w:ascii="Times New Roman" w:hAnsi="Times New Roman"/>
          <w:b/>
          <w:color w:val="000000"/>
          <w:sz w:val="20"/>
        </w:rPr>
      </w:pPr>
      <w:r>
        <w:rPr>
          <w:rFonts w:ascii="Times New Roman" w:hAnsi="Times New Roman"/>
          <w:b/>
          <w:color w:val="000000"/>
          <w:sz w:val="20"/>
        </w:rPr>
        <w:t>UHS High Point OUD, LLC</w:t>
      </w:r>
    </w:p>
    <w:p>
      <w:pPr>
        <w:pStyle w:val="TextBody"/>
        <w:bidi w:val="0"/>
        <w:jc w:val="left"/>
        <w:rPr>
          <w:rFonts w:ascii="Times New Roman" w:hAnsi="Times New Roman"/>
          <w:color w:val="000000"/>
          <w:sz w:val="20"/>
        </w:rPr>
      </w:pPr>
      <w:r>
        <w:rPr>
          <w:rFonts w:ascii="Times New Roman" w:hAnsi="Times New Roman"/>
          <w:color w:val="000000"/>
          <w:sz w:val="20"/>
        </w:rPr>
        <w:t>Incorporated State: Delaware</w:t>
      </w:r>
    </w:p>
    <w:p>
      <w:pPr>
        <w:pStyle w:val="TextBody"/>
        <w:bidi w:val="0"/>
        <w:jc w:val="left"/>
        <w:rPr>
          <w:rFonts w:ascii="Times New Roman" w:hAnsi="Times New Roman"/>
          <w:sz w:val="20"/>
        </w:rPr>
      </w:pPr>
      <w:r>
        <w:rPr>
          <w:rFonts w:ascii="Times New Roman" w:hAnsi="Times New Roman"/>
          <w:b/>
          <w:color w:val="000000"/>
          <w:sz w:val="20"/>
        </w:rPr>
        <w:t>UHS Holding Company, Inc.</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Incorporated State: Nevada</w:t>
      </w:r>
    </w:p>
    <w:p>
      <w:pPr>
        <w:pStyle w:val="TextBody"/>
        <w:bidi w:val="0"/>
        <w:jc w:val="left"/>
        <w:rPr>
          <w:rFonts w:ascii="Times New Roman" w:hAnsi="Times New Roman"/>
          <w:b/>
          <w:color w:val="000000"/>
          <w:sz w:val="20"/>
        </w:rPr>
      </w:pPr>
      <w:r>
        <w:rPr>
          <w:rFonts w:ascii="Times New Roman" w:hAnsi="Times New Roman"/>
          <w:b/>
          <w:color w:val="000000"/>
          <w:sz w:val="20"/>
        </w:rPr>
        <w:t>UHS Home Health LLC</w:t>
      </w:r>
    </w:p>
    <w:p>
      <w:pPr>
        <w:pStyle w:val="TextBody"/>
        <w:bidi w:val="0"/>
        <w:jc w:val="left"/>
        <w:rPr>
          <w:rFonts w:ascii="Times New Roman" w:hAnsi="Times New Roman"/>
          <w:color w:val="000000"/>
          <w:sz w:val="20"/>
        </w:rPr>
      </w:pPr>
      <w:r>
        <w:rPr>
          <w:rFonts w:ascii="Times New Roman" w:hAnsi="Times New Roman"/>
          <w:color w:val="000000"/>
          <w:sz w:val="20"/>
        </w:rPr>
        <w:t>Incorporated State: Delaware</w:t>
      </w:r>
    </w:p>
    <w:p>
      <w:pPr>
        <w:pStyle w:val="TextBody"/>
        <w:bidi w:val="0"/>
        <w:jc w:val="left"/>
        <w:rPr>
          <w:rFonts w:ascii="Times New Roman" w:hAnsi="Times New Roman"/>
          <w:b/>
          <w:color w:val="000000"/>
          <w:sz w:val="20"/>
        </w:rPr>
      </w:pPr>
      <w:r>
        <w:rPr>
          <w:rFonts w:ascii="Times New Roman" w:hAnsi="Times New Roman"/>
          <w:b/>
          <w:color w:val="000000"/>
          <w:sz w:val="20"/>
        </w:rPr>
        <w:t>UHS Imaging LLC</w:t>
      </w:r>
    </w:p>
    <w:p>
      <w:pPr>
        <w:pStyle w:val="TextBody"/>
        <w:bidi w:val="0"/>
        <w:jc w:val="left"/>
        <w:rPr>
          <w:rFonts w:ascii="Times New Roman" w:hAnsi="Times New Roman"/>
          <w:color w:val="000000"/>
          <w:sz w:val="20"/>
        </w:rPr>
      </w:pPr>
      <w:r>
        <w:rPr>
          <w:rFonts w:ascii="Times New Roman" w:hAnsi="Times New Roman"/>
          <w:color w:val="000000"/>
          <w:sz w:val="20"/>
        </w:rPr>
        <w:t>Incorporated State: Delaware</w:t>
      </w:r>
    </w:p>
    <w:p>
      <w:pPr>
        <w:pStyle w:val="TextBody"/>
        <w:bidi w:val="0"/>
        <w:jc w:val="left"/>
        <w:rPr>
          <w:rFonts w:ascii="Times New Roman" w:hAnsi="Times New Roman"/>
          <w:b/>
          <w:color w:val="000000"/>
          <w:sz w:val="20"/>
        </w:rPr>
      </w:pPr>
      <w:r>
        <w:rPr>
          <w:rFonts w:ascii="Times New Roman" w:hAnsi="Times New Roman"/>
          <w:b/>
          <w:color w:val="000000"/>
          <w:sz w:val="20"/>
        </w:rPr>
        <w:t>UHS Integrated Management, LLC</w:t>
      </w:r>
    </w:p>
    <w:p>
      <w:pPr>
        <w:pStyle w:val="TextBody"/>
        <w:bidi w:val="0"/>
        <w:jc w:val="left"/>
        <w:rPr>
          <w:rFonts w:ascii="Times New Roman" w:hAnsi="Times New Roman"/>
          <w:color w:val="000000"/>
          <w:sz w:val="20"/>
        </w:rPr>
      </w:pPr>
      <w:r>
        <w:rPr>
          <w:rFonts w:ascii="Times New Roman" w:hAnsi="Times New Roman"/>
          <w:color w:val="000000"/>
          <w:sz w:val="20"/>
        </w:rPr>
        <w:t xml:space="preserve">Incorporated State: Delaware </w:t>
      </w:r>
    </w:p>
    <w:p>
      <w:pPr>
        <w:pStyle w:val="TextBody"/>
        <w:bidi w:val="0"/>
        <w:jc w:val="left"/>
        <w:rPr>
          <w:rFonts w:ascii="Times New Roman" w:hAnsi="Times New Roman"/>
          <w:sz w:val="20"/>
        </w:rPr>
      </w:pPr>
      <w:r>
        <w:rPr>
          <w:rFonts w:ascii="Times New Roman" w:hAnsi="Times New Roman"/>
          <w:b/>
          <w:color w:val="000000"/>
          <w:sz w:val="20"/>
        </w:rPr>
        <w:t>UHS International, Inc.</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Incorporated State: Delaware </w:t>
      </w:r>
    </w:p>
    <w:p>
      <w:pPr>
        <w:pStyle w:val="TextBody"/>
        <w:bidi w:val="0"/>
        <w:jc w:val="left"/>
        <w:rPr>
          <w:rFonts w:ascii="Times New Roman" w:hAnsi="Times New Roman"/>
          <w:sz w:val="20"/>
        </w:rPr>
      </w:pPr>
      <w:r>
        <w:rPr>
          <w:rFonts w:ascii="Times New Roman" w:hAnsi="Times New Roman"/>
          <w:b/>
          <w:color w:val="000000"/>
          <w:sz w:val="20"/>
        </w:rPr>
        <w:t>UHS Kentucky Holdings, L.L.C.</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Incorporated State: Delaware</w:t>
      </w:r>
    </w:p>
    <w:p>
      <w:pPr>
        <w:pStyle w:val="TextBody"/>
        <w:bidi w:val="0"/>
        <w:jc w:val="left"/>
        <w:rPr>
          <w:rFonts w:ascii="Times New Roman" w:hAnsi="Times New Roman"/>
          <w:b/>
          <w:color w:val="000000"/>
          <w:sz w:val="20"/>
        </w:rPr>
      </w:pPr>
      <w:r>
        <w:rPr>
          <w:rFonts w:ascii="Times New Roman" w:hAnsi="Times New Roman"/>
          <w:b/>
          <w:color w:val="000000"/>
          <w:sz w:val="20"/>
        </w:rPr>
        <w:t>UHS Manitowoc OUD, LLC</w:t>
      </w:r>
    </w:p>
    <w:p>
      <w:pPr>
        <w:pStyle w:val="TextBody"/>
        <w:bidi w:val="0"/>
        <w:jc w:val="left"/>
        <w:rPr>
          <w:rFonts w:ascii="Times New Roman" w:hAnsi="Times New Roman"/>
          <w:color w:val="000000"/>
          <w:sz w:val="20"/>
        </w:rPr>
      </w:pPr>
      <w:r>
        <w:rPr>
          <w:rFonts w:ascii="Times New Roman" w:hAnsi="Times New Roman"/>
          <w:color w:val="000000"/>
          <w:sz w:val="20"/>
        </w:rPr>
        <w:t xml:space="preserve">Incorporated State: Delaware </w:t>
      </w:r>
    </w:p>
    <w:p>
      <w:pPr>
        <w:pStyle w:val="TextBody"/>
        <w:bidi w:val="0"/>
        <w:jc w:val="left"/>
        <w:rPr>
          <w:rFonts w:ascii="Times New Roman" w:hAnsi="Times New Roman"/>
          <w:b/>
          <w:color w:val="000000"/>
          <w:sz w:val="20"/>
        </w:rPr>
      </w:pPr>
      <w:r>
        <w:rPr>
          <w:rFonts w:ascii="Times New Roman" w:hAnsi="Times New Roman"/>
          <w:b/>
          <w:color w:val="000000"/>
          <w:sz w:val="20"/>
        </w:rPr>
        <w:t>UHS Midwest Behavioral Health, LLC</w:t>
      </w:r>
    </w:p>
    <w:p>
      <w:pPr>
        <w:pStyle w:val="TextBody"/>
        <w:bidi w:val="0"/>
        <w:jc w:val="left"/>
        <w:rPr>
          <w:rFonts w:ascii="Times New Roman" w:hAnsi="Times New Roman"/>
          <w:color w:val="000000"/>
          <w:sz w:val="20"/>
        </w:rPr>
      </w:pPr>
      <w:r>
        <w:rPr>
          <w:rFonts w:ascii="Times New Roman" w:hAnsi="Times New Roman"/>
          <w:color w:val="000000"/>
          <w:sz w:val="20"/>
        </w:rPr>
        <w:t xml:space="preserve">Incorporated State: Delaware </w:t>
      </w:r>
    </w:p>
    <w:p>
      <w:pPr>
        <w:pStyle w:val="TextBody"/>
        <w:bidi w:val="0"/>
        <w:jc w:val="left"/>
        <w:rPr>
          <w:rFonts w:ascii="Times New Roman" w:hAnsi="Times New Roman"/>
          <w:sz w:val="20"/>
        </w:rPr>
      </w:pPr>
      <w:r>
        <w:rPr>
          <w:rFonts w:ascii="Times New Roman" w:hAnsi="Times New Roman"/>
          <w:b/>
          <w:color w:val="000000"/>
          <w:sz w:val="20"/>
        </w:rPr>
        <w:t>UHS Midwest Center for Youth and Families, LLC</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Incorporated State: Indiana </w:t>
      </w:r>
    </w:p>
    <w:p>
      <w:pPr>
        <w:pStyle w:val="TextBody"/>
        <w:bidi w:val="0"/>
        <w:jc w:val="left"/>
        <w:rPr>
          <w:rFonts w:ascii="Times New Roman" w:hAnsi="Times New Roman"/>
          <w:color w:val="000000"/>
          <w:sz w:val="20"/>
        </w:rPr>
      </w:pPr>
      <w:r>
        <w:rPr>
          <w:rFonts w:ascii="Times New Roman" w:hAnsi="Times New Roman"/>
          <w:color w:val="000000"/>
          <w:sz w:val="20"/>
        </w:rPr>
        <w:t xml:space="preserve">Business Name: Midwest Center for Youth and Families </w:t>
      </w:r>
    </w:p>
    <w:p>
      <w:pPr>
        <w:pStyle w:val="TextBody"/>
        <w:bidi w:val="0"/>
        <w:jc w:val="left"/>
        <w:rPr>
          <w:rFonts w:ascii="Times New Roman" w:hAnsi="Times New Roman"/>
          <w:b/>
          <w:color w:val="000000"/>
          <w:sz w:val="20"/>
        </w:rPr>
      </w:pPr>
      <w:r>
        <w:rPr>
          <w:rFonts w:ascii="Times New Roman" w:hAnsi="Times New Roman"/>
          <w:b/>
          <w:color w:val="000000"/>
          <w:sz w:val="20"/>
        </w:rPr>
        <w:t>UHS of Alpine Lakes, LLC</w:t>
      </w:r>
    </w:p>
    <w:p>
      <w:pPr>
        <w:pStyle w:val="TextBody"/>
        <w:bidi w:val="0"/>
        <w:jc w:val="left"/>
        <w:rPr>
          <w:rFonts w:ascii="Times New Roman" w:hAnsi="Times New Roman"/>
          <w:color w:val="000000"/>
          <w:sz w:val="20"/>
        </w:rPr>
      </w:pPr>
      <w:r>
        <w:rPr>
          <w:rFonts w:ascii="Times New Roman" w:hAnsi="Times New Roman"/>
          <w:color w:val="000000"/>
          <w:sz w:val="20"/>
        </w:rPr>
        <w:t>Incorporated State: Delaware</w:t>
      </w:r>
    </w:p>
    <w:p>
      <w:pPr>
        <w:pStyle w:val="TextBody"/>
        <w:bidi w:val="0"/>
        <w:jc w:val="left"/>
        <w:rPr>
          <w:rFonts w:ascii="Times New Roman" w:hAnsi="Times New Roman"/>
          <w:sz w:val="20"/>
        </w:rPr>
      </w:pPr>
      <w:r>
        <w:rPr>
          <w:rFonts w:ascii="Times New Roman" w:hAnsi="Times New Roman"/>
          <w:b/>
          <w:color w:val="000000"/>
          <w:sz w:val="20"/>
        </w:rPr>
        <w:t>UHS of Anchor, L.P.</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Incorporated State: Delaware </w:t>
      </w:r>
    </w:p>
    <w:p>
      <w:pPr>
        <w:pStyle w:val="TextBody"/>
        <w:bidi w:val="0"/>
        <w:jc w:val="left"/>
        <w:rPr>
          <w:rFonts w:ascii="Times New Roman" w:hAnsi="Times New Roman"/>
          <w:color w:val="000000"/>
          <w:sz w:val="20"/>
        </w:rPr>
      </w:pPr>
      <w:r>
        <w:rPr>
          <w:rFonts w:ascii="Times New Roman" w:hAnsi="Times New Roman"/>
          <w:color w:val="000000"/>
          <w:sz w:val="20"/>
        </w:rPr>
        <w:t xml:space="preserve">Business Name: Anchor Hospital </w:t>
      </w:r>
    </w:p>
    <w:p>
      <w:pPr>
        <w:pStyle w:val="TextBody"/>
        <w:bidi w:val="0"/>
        <w:jc w:val="left"/>
        <w:rPr>
          <w:rFonts w:ascii="Times New Roman" w:hAnsi="Times New Roman"/>
          <w:sz w:val="20"/>
        </w:rPr>
      </w:pPr>
      <w:r>
        <w:rPr>
          <w:rFonts w:ascii="Times New Roman" w:hAnsi="Times New Roman"/>
          <w:b/>
          <w:color w:val="000000"/>
          <w:sz w:val="20"/>
        </w:rPr>
        <w:t>UHS of Benton Day School and Treatment Program, Inc.</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Incorporated State: Delaware </w:t>
      </w:r>
    </w:p>
    <w:p>
      <w:pPr>
        <w:pStyle w:val="TextBody"/>
        <w:bidi w:val="0"/>
        <w:jc w:val="left"/>
        <w:rPr>
          <w:rFonts w:ascii="Times New Roman" w:hAnsi="Times New Roman"/>
          <w:b/>
          <w:color w:val="000000"/>
          <w:sz w:val="20"/>
        </w:rPr>
      </w:pPr>
      <w:r>
        <w:rPr>
          <w:rFonts w:ascii="Times New Roman" w:hAnsi="Times New Roman"/>
          <w:b/>
          <w:color w:val="000000"/>
          <w:sz w:val="20"/>
        </w:rPr>
        <w:t>UHS of Benton, LLC</w:t>
      </w:r>
    </w:p>
    <w:p>
      <w:pPr>
        <w:pStyle w:val="TextBody"/>
        <w:bidi w:val="0"/>
        <w:jc w:val="left"/>
        <w:rPr>
          <w:rFonts w:ascii="Times New Roman" w:hAnsi="Times New Roman"/>
          <w:color w:val="000000"/>
          <w:sz w:val="20"/>
        </w:rPr>
      </w:pPr>
      <w:r>
        <w:rPr>
          <w:rFonts w:ascii="Times New Roman" w:hAnsi="Times New Roman"/>
          <w:color w:val="000000"/>
          <w:sz w:val="20"/>
        </w:rPr>
        <w:t xml:space="preserve">Incorporated State: Delaware </w:t>
      </w:r>
    </w:p>
    <w:p>
      <w:pPr>
        <w:pStyle w:val="TextBody"/>
        <w:bidi w:val="0"/>
        <w:jc w:val="left"/>
        <w:rPr>
          <w:rFonts w:ascii="Times New Roman" w:hAnsi="Times New Roman"/>
          <w:color w:val="000000"/>
          <w:sz w:val="20"/>
        </w:rPr>
      </w:pPr>
      <w:r>
        <w:rPr>
          <w:rFonts w:ascii="Times New Roman" w:hAnsi="Times New Roman"/>
          <w:color w:val="000000"/>
          <w:sz w:val="20"/>
        </w:rPr>
        <w:t xml:space="preserve">Business Name: Rivendell Behavioral Health Services of Arkansas </w:t>
      </w:r>
    </w:p>
    <w:p>
      <w:pPr>
        <w:pStyle w:val="TextBody"/>
        <w:bidi w:val="0"/>
        <w:jc w:val="left"/>
        <w:rPr>
          <w:rFonts w:ascii="Times New Roman" w:hAnsi="Times New Roman"/>
          <w:sz w:val="20"/>
        </w:rPr>
      </w:pPr>
      <w:r>
        <w:rPr>
          <w:rFonts w:ascii="Times New Roman" w:hAnsi="Times New Roman"/>
          <w:b/>
          <w:color w:val="000000"/>
          <w:sz w:val="20"/>
        </w:rPr>
        <w:t>UHS of Bowling Green, LLC</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Incorporated State: Delaware </w:t>
      </w:r>
    </w:p>
    <w:p>
      <w:pPr>
        <w:pStyle w:val="TextBody"/>
        <w:bidi w:val="0"/>
        <w:jc w:val="left"/>
        <w:rPr>
          <w:rFonts w:ascii="Times New Roman" w:hAnsi="Times New Roman"/>
          <w:color w:val="000000"/>
          <w:sz w:val="20"/>
        </w:rPr>
      </w:pPr>
      <w:r>
        <w:rPr>
          <w:rFonts w:ascii="Times New Roman" w:hAnsi="Times New Roman"/>
          <w:color w:val="000000"/>
          <w:sz w:val="20"/>
        </w:rPr>
        <w:t>Business Name: Rivendell Behavioral Health Hospital</w:t>
      </w:r>
    </w:p>
    <w:p>
      <w:pPr>
        <w:pStyle w:val="TextBody"/>
        <w:bidi w:val="0"/>
        <w:jc w:val="left"/>
        <w:rPr>
          <w:rFonts w:ascii="Times New Roman" w:hAnsi="Times New Roman"/>
          <w:sz w:val="20"/>
        </w:rPr>
      </w:pPr>
      <w:r>
        <w:rPr>
          <w:rFonts w:ascii="Times New Roman" w:hAnsi="Times New Roman"/>
          <w:b/>
          <w:color w:val="000000"/>
          <w:sz w:val="20"/>
        </w:rPr>
        <w:t>UHS of Centennial Peaks, LLC</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Incorporation State: Delaware </w:t>
      </w:r>
    </w:p>
    <w:p>
      <w:pPr>
        <w:pStyle w:val="TextBody"/>
        <w:bidi w:val="0"/>
        <w:jc w:val="left"/>
        <w:rPr>
          <w:rFonts w:ascii="Times New Roman" w:hAnsi="Times New Roman"/>
          <w:color w:val="000000"/>
          <w:sz w:val="20"/>
        </w:rPr>
      </w:pPr>
      <w:r>
        <w:rPr>
          <w:rFonts w:ascii="Times New Roman" w:hAnsi="Times New Roman"/>
          <w:color w:val="000000"/>
          <w:sz w:val="20"/>
        </w:rPr>
        <w:t xml:space="preserve">Business Name: Centennial Peaks Hospital </w:t>
      </w:r>
    </w:p>
    <w:p>
      <w:pPr>
        <w:pStyle w:val="TextBody"/>
        <w:bidi w:val="0"/>
        <w:jc w:val="left"/>
        <w:rPr>
          <w:rFonts w:ascii="Times New Roman" w:hAnsi="Times New Roman"/>
          <w:sz w:val="20"/>
        </w:rPr>
      </w:pPr>
      <w:r>
        <w:rPr>
          <w:rFonts w:ascii="Times New Roman" w:hAnsi="Times New Roman"/>
          <w:b/>
          <w:color w:val="000000"/>
          <w:sz w:val="20"/>
        </w:rPr>
        <w:t>UHS of Cornerstone Holdings, Inc.</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Incorporated State: Delaware </w:t>
      </w:r>
    </w:p>
    <w:p>
      <w:pPr>
        <w:pStyle w:val="TextBody"/>
        <w:bidi w:val="0"/>
        <w:jc w:val="left"/>
        <w:rPr>
          <w:rFonts w:ascii="Times New Roman" w:hAnsi="Times New Roman"/>
          <w:sz w:val="20"/>
        </w:rPr>
      </w:pPr>
      <w:r>
        <w:rPr>
          <w:rFonts w:ascii="Times New Roman" w:hAnsi="Times New Roman"/>
          <w:b/>
          <w:color w:val="000000"/>
          <w:sz w:val="20"/>
        </w:rPr>
        <w:t>UHS of Cornerstone, Inc.</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Incorporated State: Delaware </w:t>
      </w:r>
    </w:p>
    <w:p>
      <w:pPr>
        <w:pStyle w:val="TextBody"/>
        <w:bidi w:val="0"/>
        <w:jc w:val="left"/>
        <w:rPr>
          <w:rFonts w:ascii="Times New Roman" w:hAnsi="Times New Roman"/>
          <w:sz w:val="20"/>
        </w:rPr>
      </w:pPr>
      <w:r>
        <w:rPr>
          <w:rFonts w:ascii="Times New Roman" w:hAnsi="Times New Roman"/>
          <w:b/>
          <w:color w:val="000000"/>
          <w:sz w:val="20"/>
        </w:rPr>
        <w:t>UHS of D.C., Inc.</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Incorporated State: Delaware </w:t>
      </w:r>
    </w:p>
    <w:p>
      <w:pPr>
        <w:pStyle w:val="TextBody"/>
        <w:bidi w:val="0"/>
        <w:jc w:val="left"/>
        <w:rPr>
          <w:rFonts w:ascii="Times New Roman" w:hAnsi="Times New Roman"/>
          <w:sz w:val="20"/>
        </w:rPr>
      </w:pPr>
      <w:r>
        <w:rPr>
          <w:rFonts w:ascii="Times New Roman" w:hAnsi="Times New Roman"/>
          <w:b/>
          <w:color w:val="000000"/>
          <w:sz w:val="20"/>
        </w:rPr>
        <w:t>UHS of Delaware, Inc.</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Incorporated State: Delaware </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sz w:val="20"/>
        </w:rPr>
      </w:pPr>
      <w:r>
        <w:rPr>
          <w:rFonts w:ascii="Times New Roman" w:hAnsi="Times New Roman"/>
          <w:b/>
          <w:color w:val="000000"/>
          <w:sz w:val="20"/>
        </w:rPr>
        <w:t>UHS of Denver, Inc.</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Incorporated State: Delaware </w:t>
      </w:r>
    </w:p>
    <w:p>
      <w:pPr>
        <w:pStyle w:val="TextBody"/>
        <w:bidi w:val="0"/>
        <w:jc w:val="left"/>
        <w:rPr>
          <w:rFonts w:ascii="Times New Roman" w:hAnsi="Times New Roman"/>
          <w:color w:val="000000"/>
          <w:sz w:val="20"/>
        </w:rPr>
      </w:pPr>
      <w:r>
        <w:rPr>
          <w:rFonts w:ascii="Times New Roman" w:hAnsi="Times New Roman"/>
          <w:color w:val="000000"/>
          <w:sz w:val="20"/>
        </w:rPr>
        <w:t xml:space="preserve">Business Name: Highlands Behavioral Health System </w:t>
      </w:r>
    </w:p>
    <w:p>
      <w:pPr>
        <w:pStyle w:val="TextBody"/>
        <w:bidi w:val="0"/>
        <w:jc w:val="left"/>
        <w:rPr>
          <w:rFonts w:ascii="Times New Roman" w:hAnsi="Times New Roman"/>
          <w:b/>
          <w:color w:val="000000"/>
          <w:sz w:val="20"/>
        </w:rPr>
      </w:pPr>
      <w:r>
        <w:rPr>
          <w:rFonts w:ascii="Times New Roman" w:hAnsi="Times New Roman"/>
          <w:b/>
          <w:color w:val="000000"/>
          <w:sz w:val="20"/>
        </w:rPr>
        <w:t>UHS of Desert Springs, Inc.</w:t>
      </w:r>
    </w:p>
    <w:p>
      <w:pPr>
        <w:pStyle w:val="TextBody"/>
        <w:bidi w:val="0"/>
        <w:jc w:val="left"/>
        <w:rPr>
          <w:rFonts w:ascii="Times New Roman" w:hAnsi="Times New Roman"/>
          <w:color w:val="000000"/>
          <w:sz w:val="20"/>
        </w:rPr>
      </w:pPr>
      <w:r>
        <w:rPr>
          <w:rFonts w:ascii="Times New Roman" w:hAnsi="Times New Roman"/>
          <w:color w:val="000000"/>
          <w:sz w:val="20"/>
        </w:rPr>
        <w:t>Incorporated State; Nevada</w:t>
      </w:r>
    </w:p>
    <w:p>
      <w:pPr>
        <w:pStyle w:val="TextBody"/>
        <w:bidi w:val="0"/>
        <w:jc w:val="left"/>
        <w:rPr>
          <w:rFonts w:ascii="Times New Roman" w:hAnsi="Times New Roman"/>
          <w:sz w:val="20"/>
        </w:rPr>
      </w:pPr>
      <w:r>
        <w:rPr>
          <w:rFonts w:ascii="Times New Roman" w:hAnsi="Times New Roman"/>
          <w:b/>
          <w:color w:val="000000"/>
          <w:sz w:val="20"/>
        </w:rPr>
        <w:t>UHS of Dover, L.L.C.</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Incorporated State: Delaware </w:t>
      </w:r>
    </w:p>
    <w:p>
      <w:pPr>
        <w:pStyle w:val="TextBody"/>
        <w:bidi w:val="0"/>
        <w:jc w:val="left"/>
        <w:rPr>
          <w:rFonts w:ascii="Times New Roman" w:hAnsi="Times New Roman"/>
          <w:color w:val="000000"/>
          <w:sz w:val="20"/>
        </w:rPr>
      </w:pPr>
      <w:r>
        <w:rPr>
          <w:rFonts w:ascii="Times New Roman" w:hAnsi="Times New Roman"/>
          <w:color w:val="000000"/>
          <w:sz w:val="20"/>
        </w:rPr>
        <w:t xml:space="preserve">Business Name: Dover Behavioral Health System </w:t>
      </w:r>
    </w:p>
    <w:p>
      <w:pPr>
        <w:pStyle w:val="TextBody"/>
        <w:bidi w:val="0"/>
        <w:jc w:val="left"/>
        <w:rPr>
          <w:rFonts w:ascii="Times New Roman" w:hAnsi="Times New Roman"/>
          <w:sz w:val="20"/>
        </w:rPr>
      </w:pPr>
      <w:r>
        <w:rPr>
          <w:rFonts w:ascii="Times New Roman" w:hAnsi="Times New Roman"/>
          <w:b/>
          <w:color w:val="000000"/>
          <w:sz w:val="20"/>
        </w:rPr>
        <w:t>UHS of Doylestown, L.L.C.</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Incorporated State: Delaware </w:t>
      </w:r>
    </w:p>
    <w:p>
      <w:pPr>
        <w:pStyle w:val="TextBody"/>
        <w:bidi w:val="0"/>
        <w:jc w:val="left"/>
        <w:rPr>
          <w:rFonts w:ascii="Times New Roman" w:hAnsi="Times New Roman"/>
          <w:color w:val="000000"/>
          <w:sz w:val="20"/>
        </w:rPr>
      </w:pPr>
      <w:r>
        <w:rPr>
          <w:rFonts w:ascii="Times New Roman" w:hAnsi="Times New Roman"/>
          <w:color w:val="000000"/>
          <w:sz w:val="20"/>
        </w:rPr>
        <w:t xml:space="preserve">Business Name: Foundations Behavioral Health </w:t>
      </w:r>
    </w:p>
    <w:p>
      <w:pPr>
        <w:pStyle w:val="TextBody"/>
        <w:bidi w:val="0"/>
        <w:jc w:val="left"/>
        <w:rPr>
          <w:rFonts w:ascii="Times New Roman" w:hAnsi="Times New Roman"/>
          <w:sz w:val="20"/>
        </w:rPr>
      </w:pPr>
      <w:r>
        <w:rPr>
          <w:rFonts w:ascii="Times New Roman" w:hAnsi="Times New Roman"/>
          <w:b/>
          <w:color w:val="000000"/>
          <w:sz w:val="20"/>
        </w:rPr>
        <w:t>UHS of Fairmount, Inc.</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Incorporated State: Delaware </w:t>
      </w:r>
    </w:p>
    <w:p>
      <w:pPr>
        <w:pStyle w:val="TextBody"/>
        <w:bidi w:val="0"/>
        <w:jc w:val="left"/>
        <w:rPr>
          <w:rFonts w:ascii="Times New Roman" w:hAnsi="Times New Roman"/>
          <w:color w:val="000000"/>
          <w:sz w:val="20"/>
        </w:rPr>
      </w:pPr>
      <w:r>
        <w:rPr>
          <w:rFonts w:ascii="Times New Roman" w:hAnsi="Times New Roman"/>
          <w:color w:val="000000"/>
          <w:sz w:val="20"/>
        </w:rPr>
        <w:t xml:space="preserve">Business Name: Fairmount Behavioral Health System </w:t>
      </w:r>
    </w:p>
    <w:p>
      <w:pPr>
        <w:pStyle w:val="TextBody"/>
        <w:bidi w:val="0"/>
        <w:jc w:val="left"/>
        <w:rPr>
          <w:rFonts w:ascii="Times New Roman" w:hAnsi="Times New Roman"/>
          <w:sz w:val="20"/>
        </w:rPr>
      </w:pPr>
      <w:r>
        <w:rPr>
          <w:rFonts w:ascii="Times New Roman" w:hAnsi="Times New Roman"/>
          <w:b/>
          <w:color w:val="000000"/>
          <w:sz w:val="20"/>
        </w:rPr>
        <w:t>UHS of Fuller, Inc.</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Incorporated State: Massachusetts </w:t>
      </w:r>
    </w:p>
    <w:p>
      <w:pPr>
        <w:pStyle w:val="TextBody"/>
        <w:bidi w:val="0"/>
        <w:jc w:val="left"/>
        <w:rPr>
          <w:rFonts w:ascii="Times New Roman" w:hAnsi="Times New Roman"/>
          <w:color w:val="000000"/>
          <w:sz w:val="20"/>
        </w:rPr>
      </w:pPr>
      <w:r>
        <w:rPr>
          <w:rFonts w:ascii="Times New Roman" w:hAnsi="Times New Roman"/>
          <w:color w:val="000000"/>
          <w:sz w:val="20"/>
        </w:rPr>
        <w:t xml:space="preserve">Business Name: Fuller Hospital </w:t>
      </w:r>
    </w:p>
    <w:p>
      <w:pPr>
        <w:pStyle w:val="TextBody"/>
        <w:bidi w:val="0"/>
        <w:jc w:val="left"/>
        <w:rPr>
          <w:rFonts w:ascii="Times New Roman" w:hAnsi="Times New Roman"/>
          <w:b/>
          <w:color w:val="000000"/>
          <w:sz w:val="20"/>
        </w:rPr>
      </w:pPr>
      <w:r>
        <w:rPr>
          <w:rFonts w:ascii="Times New Roman" w:hAnsi="Times New Roman"/>
          <w:b/>
          <w:color w:val="000000"/>
          <w:sz w:val="20"/>
        </w:rPr>
        <w:t>UHS of GB, Inc.</w:t>
      </w:r>
    </w:p>
    <w:p>
      <w:pPr>
        <w:pStyle w:val="TextBody"/>
        <w:bidi w:val="0"/>
        <w:jc w:val="left"/>
        <w:rPr>
          <w:rFonts w:ascii="Times New Roman" w:hAnsi="Times New Roman"/>
          <w:color w:val="000000"/>
          <w:sz w:val="20"/>
        </w:rPr>
      </w:pPr>
      <w:r>
        <w:rPr>
          <w:rFonts w:ascii="Times New Roman" w:hAnsi="Times New Roman"/>
          <w:color w:val="000000"/>
          <w:sz w:val="20"/>
        </w:rPr>
        <w:t>Incorporated State: Delaware</w:t>
      </w:r>
    </w:p>
    <w:p>
      <w:pPr>
        <w:pStyle w:val="TextBody"/>
        <w:bidi w:val="0"/>
        <w:jc w:val="left"/>
        <w:rPr>
          <w:rFonts w:ascii="Times New Roman" w:hAnsi="Times New Roman"/>
          <w:sz w:val="20"/>
        </w:rPr>
      </w:pPr>
      <w:r>
        <w:rPr>
          <w:rFonts w:ascii="Times New Roman" w:hAnsi="Times New Roman"/>
          <w:b/>
          <w:color w:val="000000"/>
          <w:sz w:val="20"/>
        </w:rPr>
        <w:t>UHS of Georgia Holdings, Inc.</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Incorporated State: Delaware </w:t>
      </w:r>
    </w:p>
    <w:p>
      <w:pPr>
        <w:pStyle w:val="TextBody"/>
        <w:bidi w:val="0"/>
        <w:jc w:val="left"/>
        <w:rPr>
          <w:rFonts w:ascii="Times New Roman" w:hAnsi="Times New Roman"/>
          <w:sz w:val="20"/>
        </w:rPr>
      </w:pPr>
      <w:r>
        <w:rPr>
          <w:rFonts w:ascii="Times New Roman" w:hAnsi="Times New Roman"/>
          <w:b/>
          <w:color w:val="000000"/>
          <w:sz w:val="20"/>
        </w:rPr>
        <w:t>UHS of Georgia, Inc.</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Incorporated State: Delaware </w:t>
      </w:r>
    </w:p>
    <w:p>
      <w:pPr>
        <w:pStyle w:val="TextBody"/>
        <w:bidi w:val="0"/>
        <w:jc w:val="left"/>
        <w:rPr>
          <w:rFonts w:ascii="Times New Roman" w:hAnsi="Times New Roman"/>
          <w:sz w:val="20"/>
        </w:rPr>
      </w:pPr>
      <w:r>
        <w:rPr>
          <w:rFonts w:ascii="Times New Roman" w:hAnsi="Times New Roman"/>
          <w:b/>
          <w:color w:val="000000"/>
          <w:sz w:val="20"/>
        </w:rPr>
        <w:t>UHS of Greenville, LLC.</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Incorporated State: Delaware </w:t>
      </w:r>
    </w:p>
    <w:p>
      <w:pPr>
        <w:pStyle w:val="TextBody"/>
        <w:bidi w:val="0"/>
        <w:jc w:val="left"/>
        <w:rPr>
          <w:rFonts w:ascii="Times New Roman" w:hAnsi="Times New Roman"/>
          <w:color w:val="000000"/>
          <w:sz w:val="20"/>
        </w:rPr>
      </w:pPr>
      <w:r>
        <w:rPr>
          <w:rFonts w:ascii="Times New Roman" w:hAnsi="Times New Roman"/>
          <w:color w:val="000000"/>
          <w:sz w:val="20"/>
        </w:rPr>
        <w:t xml:space="preserve">Business Name: The Carolina Center for Behavioral Health </w:t>
      </w:r>
    </w:p>
    <w:p>
      <w:pPr>
        <w:pStyle w:val="TextBody"/>
        <w:bidi w:val="0"/>
        <w:jc w:val="left"/>
        <w:rPr>
          <w:rFonts w:ascii="Times New Roman" w:hAnsi="Times New Roman"/>
          <w:sz w:val="20"/>
        </w:rPr>
      </w:pPr>
      <w:r>
        <w:rPr>
          <w:rFonts w:ascii="Times New Roman" w:hAnsi="Times New Roman"/>
          <w:b/>
          <w:color w:val="000000"/>
          <w:sz w:val="20"/>
        </w:rPr>
        <w:t>UHS of Hampton Learning Center, Inc.</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Incorporated State: New Jersey </w:t>
      </w:r>
    </w:p>
    <w:p>
      <w:pPr>
        <w:pStyle w:val="TextBody"/>
        <w:bidi w:val="0"/>
        <w:jc w:val="left"/>
        <w:rPr>
          <w:rFonts w:ascii="Times New Roman" w:hAnsi="Times New Roman"/>
          <w:sz w:val="20"/>
        </w:rPr>
      </w:pPr>
      <w:r>
        <w:rPr>
          <w:rFonts w:ascii="Times New Roman" w:hAnsi="Times New Roman"/>
          <w:b/>
          <w:color w:val="000000"/>
          <w:sz w:val="20"/>
        </w:rPr>
        <w:t>UHS of Hampton, Inc.</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Incorporated State: New Jersey </w:t>
      </w:r>
    </w:p>
    <w:p>
      <w:pPr>
        <w:pStyle w:val="TextBody"/>
        <w:bidi w:val="0"/>
        <w:jc w:val="left"/>
        <w:rPr>
          <w:rFonts w:ascii="Times New Roman" w:hAnsi="Times New Roman"/>
          <w:color w:val="000000"/>
          <w:sz w:val="20"/>
        </w:rPr>
      </w:pPr>
      <w:r>
        <w:rPr>
          <w:rFonts w:ascii="Times New Roman" w:hAnsi="Times New Roman"/>
          <w:color w:val="000000"/>
          <w:sz w:val="20"/>
        </w:rPr>
        <w:t xml:space="preserve">Business Name: Hampton Behavioral Health Center </w:t>
      </w:r>
    </w:p>
    <w:p>
      <w:pPr>
        <w:pStyle w:val="TextBody"/>
        <w:bidi w:val="0"/>
        <w:jc w:val="left"/>
        <w:rPr>
          <w:rFonts w:ascii="Times New Roman" w:hAnsi="Times New Roman"/>
          <w:sz w:val="20"/>
        </w:rPr>
      </w:pPr>
      <w:r>
        <w:rPr>
          <w:rFonts w:ascii="Times New Roman" w:hAnsi="Times New Roman"/>
          <w:b/>
          <w:color w:val="000000"/>
          <w:sz w:val="20"/>
        </w:rPr>
        <w:t>UHS of Hartgrove, Inc.</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Incorporated State: Illinois </w:t>
      </w:r>
    </w:p>
    <w:p>
      <w:pPr>
        <w:pStyle w:val="TextBody"/>
        <w:bidi w:val="0"/>
        <w:jc w:val="left"/>
        <w:rPr>
          <w:rFonts w:ascii="Times New Roman" w:hAnsi="Times New Roman"/>
          <w:color w:val="000000"/>
          <w:sz w:val="20"/>
        </w:rPr>
      </w:pPr>
      <w:r>
        <w:rPr>
          <w:rFonts w:ascii="Times New Roman" w:hAnsi="Times New Roman"/>
          <w:color w:val="000000"/>
          <w:sz w:val="20"/>
        </w:rPr>
        <w:t>Business Name: Hartgrove Behavioral Health System</w:t>
      </w:r>
    </w:p>
    <w:p>
      <w:pPr>
        <w:pStyle w:val="TextBody"/>
        <w:bidi w:val="0"/>
        <w:jc w:val="left"/>
        <w:rPr>
          <w:rFonts w:ascii="Times New Roman" w:hAnsi="Times New Roman"/>
          <w:sz w:val="20"/>
        </w:rPr>
      </w:pPr>
      <w:r>
        <w:rPr>
          <w:rFonts w:ascii="Times New Roman" w:hAnsi="Times New Roman"/>
          <w:b/>
          <w:color w:val="000000"/>
          <w:sz w:val="20"/>
        </w:rPr>
        <w:t>UHS of Indiana, Inc.</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Incorporated State: Indiana </w:t>
      </w:r>
    </w:p>
    <w:p>
      <w:pPr>
        <w:pStyle w:val="TextBody"/>
        <w:bidi w:val="0"/>
        <w:jc w:val="left"/>
        <w:rPr>
          <w:rFonts w:ascii="Times New Roman" w:hAnsi="Times New Roman"/>
          <w:b/>
          <w:color w:val="000000"/>
          <w:sz w:val="20"/>
        </w:rPr>
      </w:pPr>
      <w:r>
        <w:rPr>
          <w:rFonts w:ascii="Times New Roman" w:hAnsi="Times New Roman"/>
          <w:b/>
          <w:color w:val="000000"/>
          <w:sz w:val="20"/>
        </w:rPr>
        <w:t>UHS of Kansas City, LLC</w:t>
      </w:r>
    </w:p>
    <w:p>
      <w:pPr>
        <w:pStyle w:val="TextBody"/>
        <w:bidi w:val="0"/>
        <w:jc w:val="left"/>
        <w:rPr>
          <w:rFonts w:ascii="Times New Roman" w:hAnsi="Times New Roman"/>
          <w:color w:val="000000"/>
          <w:sz w:val="20"/>
        </w:rPr>
      </w:pPr>
      <w:r>
        <w:rPr>
          <w:rFonts w:ascii="Times New Roman" w:hAnsi="Times New Roman"/>
          <w:color w:val="000000"/>
          <w:sz w:val="20"/>
        </w:rPr>
        <w:t>Incorporated State: Delaware</w:t>
      </w:r>
    </w:p>
    <w:p>
      <w:pPr>
        <w:pStyle w:val="TextBody"/>
        <w:bidi w:val="0"/>
        <w:jc w:val="left"/>
        <w:rPr>
          <w:rFonts w:ascii="Times New Roman" w:hAnsi="Times New Roman"/>
          <w:sz w:val="20"/>
        </w:rPr>
      </w:pPr>
      <w:r>
        <w:rPr>
          <w:rFonts w:ascii="Times New Roman" w:hAnsi="Times New Roman"/>
          <w:b/>
          <w:color w:val="000000"/>
          <w:sz w:val="20"/>
        </w:rPr>
        <w:t>UHS of Kootenai River, Inc.</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Incorporated State: Delaware </w:t>
      </w:r>
    </w:p>
    <w:p>
      <w:pPr>
        <w:pStyle w:val="TextBody"/>
        <w:bidi w:val="0"/>
        <w:jc w:val="left"/>
        <w:rPr>
          <w:rFonts w:ascii="Times New Roman" w:hAnsi="Times New Roman"/>
          <w:sz w:val="20"/>
        </w:rPr>
      </w:pPr>
      <w:r>
        <w:rPr>
          <w:rFonts w:ascii="Times New Roman" w:hAnsi="Times New Roman"/>
          <w:b/>
          <w:color w:val="000000"/>
          <w:sz w:val="20"/>
        </w:rPr>
        <w:t>UHS of Lakeside, LLC</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Incorporated State: Delaware </w:t>
      </w:r>
    </w:p>
    <w:p>
      <w:pPr>
        <w:pStyle w:val="TextBody"/>
        <w:bidi w:val="0"/>
        <w:jc w:val="left"/>
        <w:rPr>
          <w:rFonts w:ascii="Times New Roman" w:hAnsi="Times New Roman"/>
          <w:color w:val="000000"/>
          <w:sz w:val="20"/>
        </w:rPr>
      </w:pPr>
      <w:r>
        <w:rPr>
          <w:rFonts w:ascii="Times New Roman" w:hAnsi="Times New Roman"/>
          <w:color w:val="000000"/>
          <w:sz w:val="20"/>
        </w:rPr>
        <w:t xml:space="preserve">Business Name: Lakeside Behavioral Health System </w:t>
      </w:r>
    </w:p>
    <w:p>
      <w:pPr>
        <w:pStyle w:val="TextBody"/>
        <w:bidi w:val="0"/>
        <w:jc w:val="left"/>
        <w:rPr>
          <w:rFonts w:ascii="Times New Roman" w:hAnsi="Times New Roman"/>
          <w:b/>
          <w:color w:val="000000"/>
          <w:sz w:val="20"/>
        </w:rPr>
      </w:pPr>
      <w:r>
        <w:rPr>
          <w:rFonts w:ascii="Times New Roman" w:hAnsi="Times New Roman"/>
          <w:b/>
          <w:color w:val="000000"/>
          <w:sz w:val="20"/>
        </w:rPr>
        <w:t>UHS of Lancaster, LLC</w:t>
      </w:r>
    </w:p>
    <w:p>
      <w:pPr>
        <w:pStyle w:val="TextBody"/>
        <w:bidi w:val="0"/>
        <w:jc w:val="left"/>
        <w:rPr>
          <w:rFonts w:ascii="Times New Roman" w:hAnsi="Times New Roman"/>
          <w:color w:val="000000"/>
          <w:sz w:val="20"/>
        </w:rPr>
      </w:pPr>
      <w:r>
        <w:rPr>
          <w:rFonts w:ascii="Times New Roman" w:hAnsi="Times New Roman"/>
          <w:color w:val="000000"/>
          <w:sz w:val="20"/>
        </w:rPr>
        <w:t>Incorporated State: Pennsylvania</w:t>
      </w:r>
    </w:p>
    <w:p>
      <w:pPr>
        <w:pStyle w:val="TextBody"/>
        <w:bidi w:val="0"/>
        <w:jc w:val="left"/>
        <w:rPr>
          <w:rFonts w:ascii="Times New Roman" w:hAnsi="Times New Roman"/>
          <w:sz w:val="20"/>
        </w:rPr>
      </w:pPr>
      <w:r>
        <w:rPr>
          <w:rFonts w:ascii="Times New Roman" w:hAnsi="Times New Roman"/>
          <w:b/>
          <w:color w:val="000000"/>
          <w:sz w:val="20"/>
        </w:rPr>
        <w:t>UHS of Laurel Heights, L.P.</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Incorporated State: Delaware </w:t>
      </w:r>
    </w:p>
    <w:p>
      <w:pPr>
        <w:pStyle w:val="TextBody"/>
        <w:bidi w:val="0"/>
        <w:jc w:val="left"/>
        <w:rPr>
          <w:rFonts w:ascii="Times New Roman" w:hAnsi="Times New Roman"/>
          <w:color w:val="000000"/>
          <w:sz w:val="20"/>
        </w:rPr>
      </w:pPr>
      <w:r>
        <w:rPr>
          <w:rFonts w:ascii="Times New Roman" w:hAnsi="Times New Roman"/>
          <w:color w:val="000000"/>
          <w:sz w:val="20"/>
        </w:rPr>
        <w:t xml:space="preserve">Business Name: Laurel Heights Hospital </w:t>
      </w:r>
    </w:p>
    <w:p>
      <w:pPr>
        <w:pStyle w:val="TextBody"/>
        <w:bidi w:val="0"/>
        <w:jc w:val="left"/>
        <w:rPr>
          <w:rFonts w:ascii="Times New Roman" w:hAnsi="Times New Roman"/>
          <w:b/>
          <w:color w:val="000000"/>
          <w:sz w:val="20"/>
        </w:rPr>
      </w:pPr>
      <w:r>
        <w:rPr>
          <w:rFonts w:ascii="Times New Roman" w:hAnsi="Times New Roman"/>
          <w:b/>
          <w:color w:val="000000"/>
          <w:sz w:val="20"/>
        </w:rPr>
        <w:t>UHS of Madera, Inc.</w:t>
      </w:r>
    </w:p>
    <w:p>
      <w:pPr>
        <w:pStyle w:val="TextBody"/>
        <w:bidi w:val="0"/>
        <w:jc w:val="left"/>
        <w:rPr>
          <w:rFonts w:ascii="Times New Roman" w:hAnsi="Times New Roman"/>
          <w:color w:val="000000"/>
          <w:sz w:val="20"/>
        </w:rPr>
      </w:pPr>
      <w:r>
        <w:rPr>
          <w:rFonts w:ascii="Times New Roman" w:hAnsi="Times New Roman"/>
          <w:color w:val="000000"/>
          <w:sz w:val="20"/>
        </w:rPr>
        <w:t>Incorporated State: Delaware</w:t>
      </w:r>
    </w:p>
    <w:p>
      <w:pPr>
        <w:pStyle w:val="TextBody"/>
        <w:bidi w:val="0"/>
        <w:jc w:val="left"/>
        <w:rPr>
          <w:rFonts w:ascii="Times New Roman" w:hAnsi="Times New Roman"/>
          <w:color w:val="000000"/>
          <w:sz w:val="20"/>
        </w:rPr>
      </w:pPr>
      <w:r>
        <w:rPr>
          <w:rFonts w:ascii="Times New Roman" w:hAnsi="Times New Roman"/>
          <w:color w:val="000000"/>
          <w:sz w:val="20"/>
        </w:rPr>
        <w:t>Business Name: River Vista Behavioral Health</w:t>
      </w:r>
    </w:p>
    <w:p>
      <w:pPr>
        <w:pStyle w:val="TextBody"/>
        <w:bidi w:val="0"/>
        <w:jc w:val="left"/>
        <w:rPr>
          <w:rFonts w:ascii="Times New Roman" w:hAnsi="Times New Roman"/>
          <w:sz w:val="20"/>
        </w:rPr>
      </w:pPr>
      <w:r>
        <w:rPr>
          <w:rFonts w:ascii="Times New Roman" w:hAnsi="Times New Roman"/>
          <w:b/>
          <w:color w:val="000000"/>
          <w:sz w:val="20"/>
        </w:rPr>
        <w:t>UHS of New Orleans, LLC</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Incorporated State: Louisiana </w:t>
      </w:r>
    </w:p>
    <w:p>
      <w:pPr>
        <w:pStyle w:val="TextBody"/>
        <w:bidi w:val="0"/>
        <w:jc w:val="left"/>
        <w:rPr>
          <w:rFonts w:ascii="Times New Roman" w:hAnsi="Times New Roman"/>
          <w:sz w:val="20"/>
        </w:rPr>
      </w:pPr>
      <w:r>
        <w:rPr>
          <w:rFonts w:ascii="Times New Roman" w:hAnsi="Times New Roman"/>
          <w:b/>
          <w:color w:val="000000"/>
          <w:sz w:val="20"/>
        </w:rPr>
        <w:t>UHS of No. Nevada, LLC</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Incorporated State: Nevada </w:t>
      </w:r>
    </w:p>
    <w:p>
      <w:pPr>
        <w:pStyle w:val="TextBody"/>
        <w:bidi w:val="0"/>
        <w:jc w:val="left"/>
        <w:rPr>
          <w:rFonts w:ascii="Times New Roman" w:hAnsi="Times New Roman"/>
          <w:sz w:val="20"/>
        </w:rPr>
      </w:pPr>
      <w:r>
        <w:rPr>
          <w:rFonts w:ascii="Times New Roman" w:hAnsi="Times New Roman"/>
          <w:b/>
          <w:color w:val="000000"/>
          <w:sz w:val="20"/>
        </w:rPr>
        <w:t>UHS of Oklahoma Receivables, L.L.C</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Incorporated State: Delaware </w:t>
      </w:r>
    </w:p>
    <w:p>
      <w:pPr>
        <w:pStyle w:val="TextBody"/>
        <w:bidi w:val="0"/>
        <w:jc w:val="left"/>
        <w:rPr>
          <w:rFonts w:ascii="Times New Roman" w:hAnsi="Times New Roman"/>
          <w:b/>
          <w:color w:val="000000"/>
          <w:sz w:val="20"/>
        </w:rPr>
      </w:pPr>
      <w:r>
        <w:rPr>
          <w:rFonts w:ascii="Times New Roman" w:hAnsi="Times New Roman"/>
          <w:b/>
          <w:color w:val="000000"/>
          <w:sz w:val="20"/>
        </w:rPr>
        <w:t>UHS of Oklahoma, LLC</w:t>
      </w:r>
    </w:p>
    <w:p>
      <w:pPr>
        <w:pStyle w:val="TextBody"/>
        <w:bidi w:val="0"/>
        <w:jc w:val="left"/>
        <w:rPr>
          <w:rFonts w:ascii="Times New Roman" w:hAnsi="Times New Roman"/>
          <w:color w:val="000000"/>
          <w:sz w:val="20"/>
        </w:rPr>
      </w:pPr>
      <w:r>
        <w:rPr>
          <w:rFonts w:ascii="Times New Roman" w:hAnsi="Times New Roman"/>
          <w:color w:val="000000"/>
          <w:sz w:val="20"/>
        </w:rPr>
        <w:t xml:space="preserve">Incorporated State: Oklahoma </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color w:val="000000"/>
          <w:sz w:val="20"/>
        </w:rPr>
      </w:pPr>
      <w:r>
        <w:rPr>
          <w:rFonts w:ascii="Times New Roman" w:hAnsi="Times New Roman"/>
          <w:color w:val="000000"/>
          <w:sz w:val="20"/>
        </w:rPr>
        <w:t>Business Name: St. Mary’s Regional Medical Center</w:t>
      </w:r>
    </w:p>
    <w:p>
      <w:pPr>
        <w:pStyle w:val="TextBody"/>
        <w:bidi w:val="0"/>
        <w:jc w:val="left"/>
        <w:rPr>
          <w:rFonts w:ascii="Times New Roman" w:hAnsi="Times New Roman"/>
          <w:sz w:val="20"/>
        </w:rPr>
      </w:pPr>
      <w:r>
        <w:rPr>
          <w:rFonts w:ascii="Times New Roman" w:hAnsi="Times New Roman"/>
          <w:b/>
          <w:color w:val="000000"/>
          <w:sz w:val="20"/>
        </w:rPr>
        <w:t>UHS of Parkwood, Inc.</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Incorporated State: Delaware </w:t>
      </w:r>
    </w:p>
    <w:p>
      <w:pPr>
        <w:pStyle w:val="TextBody"/>
        <w:bidi w:val="0"/>
        <w:jc w:val="left"/>
        <w:rPr>
          <w:rFonts w:ascii="Times New Roman" w:hAnsi="Times New Roman"/>
          <w:color w:val="000000"/>
          <w:sz w:val="20"/>
        </w:rPr>
      </w:pPr>
      <w:r>
        <w:rPr>
          <w:rFonts w:ascii="Times New Roman" w:hAnsi="Times New Roman"/>
          <w:color w:val="000000"/>
          <w:sz w:val="20"/>
        </w:rPr>
        <w:t xml:space="preserve">Business Name: Parkwood Behavioral Health System </w:t>
      </w:r>
    </w:p>
    <w:p>
      <w:pPr>
        <w:pStyle w:val="TextBody"/>
        <w:bidi w:val="0"/>
        <w:jc w:val="left"/>
        <w:rPr>
          <w:rFonts w:ascii="Times New Roman" w:hAnsi="Times New Roman"/>
          <w:sz w:val="20"/>
        </w:rPr>
      </w:pPr>
      <w:r>
        <w:rPr>
          <w:rFonts w:ascii="Times New Roman" w:hAnsi="Times New Roman"/>
          <w:b/>
          <w:color w:val="000000"/>
          <w:sz w:val="20"/>
        </w:rPr>
        <w:t>UHS of Peachford, L.P.</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Incorporated State: Delaware </w:t>
      </w:r>
    </w:p>
    <w:p>
      <w:pPr>
        <w:pStyle w:val="TextBody"/>
        <w:bidi w:val="0"/>
        <w:jc w:val="left"/>
        <w:rPr>
          <w:rFonts w:ascii="Times New Roman" w:hAnsi="Times New Roman"/>
          <w:color w:val="000000"/>
          <w:sz w:val="20"/>
        </w:rPr>
      </w:pPr>
      <w:r>
        <w:rPr>
          <w:rFonts w:ascii="Times New Roman" w:hAnsi="Times New Roman"/>
          <w:color w:val="000000"/>
          <w:sz w:val="20"/>
        </w:rPr>
        <w:t xml:space="preserve">Business Name: Peachford Hospital </w:t>
      </w:r>
    </w:p>
    <w:p>
      <w:pPr>
        <w:pStyle w:val="TextBody"/>
        <w:bidi w:val="0"/>
        <w:jc w:val="left"/>
        <w:rPr>
          <w:rFonts w:ascii="Times New Roman" w:hAnsi="Times New Roman"/>
          <w:sz w:val="20"/>
        </w:rPr>
      </w:pPr>
      <w:r>
        <w:rPr>
          <w:rFonts w:ascii="Times New Roman" w:hAnsi="Times New Roman"/>
          <w:b/>
          <w:color w:val="000000"/>
          <w:sz w:val="20"/>
        </w:rPr>
        <w:t>UHS of Pennsylvania, Inc.</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Incorporated State: Pennsylvania </w:t>
      </w:r>
    </w:p>
    <w:p>
      <w:pPr>
        <w:pStyle w:val="TextBody"/>
        <w:bidi w:val="0"/>
        <w:jc w:val="left"/>
        <w:rPr>
          <w:rFonts w:ascii="Times New Roman" w:hAnsi="Times New Roman"/>
          <w:color w:val="000000"/>
          <w:sz w:val="20"/>
        </w:rPr>
      </w:pPr>
      <w:r>
        <w:rPr>
          <w:rFonts w:ascii="Times New Roman" w:hAnsi="Times New Roman"/>
          <w:color w:val="000000"/>
          <w:sz w:val="20"/>
        </w:rPr>
        <w:t xml:space="preserve">Business Name: Clarion Psychiatric Center, The Horsham Clinic, The Meadows Psychiatric Center and Roxbury Treatment Center </w:t>
      </w:r>
    </w:p>
    <w:p>
      <w:pPr>
        <w:pStyle w:val="TextBody"/>
        <w:bidi w:val="0"/>
        <w:jc w:val="left"/>
        <w:rPr>
          <w:rFonts w:ascii="Times New Roman" w:hAnsi="Times New Roman"/>
          <w:sz w:val="20"/>
        </w:rPr>
      </w:pPr>
      <w:r>
        <w:rPr>
          <w:rFonts w:ascii="Times New Roman" w:hAnsi="Times New Roman"/>
          <w:b/>
          <w:color w:val="000000"/>
          <w:sz w:val="20"/>
        </w:rPr>
        <w:t>UHS of Phoenix, LLC</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Incorporated State: Delaware </w:t>
      </w:r>
    </w:p>
    <w:p>
      <w:pPr>
        <w:pStyle w:val="TextBody"/>
        <w:bidi w:val="0"/>
        <w:jc w:val="left"/>
        <w:rPr>
          <w:rFonts w:ascii="Times New Roman" w:hAnsi="Times New Roman"/>
          <w:color w:val="000000"/>
          <w:sz w:val="20"/>
        </w:rPr>
      </w:pPr>
      <w:r>
        <w:rPr>
          <w:rFonts w:ascii="Times New Roman" w:hAnsi="Times New Roman"/>
          <w:color w:val="000000"/>
          <w:sz w:val="20"/>
        </w:rPr>
        <w:t xml:space="preserve">Business Name: Quail Run Behavioral Health </w:t>
      </w:r>
    </w:p>
    <w:p>
      <w:pPr>
        <w:pStyle w:val="TextBody"/>
        <w:bidi w:val="0"/>
        <w:jc w:val="left"/>
        <w:rPr>
          <w:rFonts w:ascii="Times New Roman" w:hAnsi="Times New Roman"/>
          <w:sz w:val="20"/>
        </w:rPr>
      </w:pPr>
      <w:r>
        <w:rPr>
          <w:rFonts w:ascii="Times New Roman" w:hAnsi="Times New Roman"/>
          <w:b/>
          <w:color w:val="000000"/>
          <w:sz w:val="20"/>
        </w:rPr>
        <w:t>UHS of Provo Canyon, Inc.</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Incorporated State: Delaware </w:t>
      </w:r>
    </w:p>
    <w:p>
      <w:pPr>
        <w:pStyle w:val="TextBody"/>
        <w:bidi w:val="0"/>
        <w:jc w:val="left"/>
        <w:rPr>
          <w:rFonts w:ascii="Times New Roman" w:hAnsi="Times New Roman"/>
          <w:color w:val="000000"/>
          <w:sz w:val="20"/>
        </w:rPr>
      </w:pPr>
      <w:r>
        <w:rPr>
          <w:rFonts w:ascii="Times New Roman" w:hAnsi="Times New Roman"/>
          <w:color w:val="000000"/>
          <w:sz w:val="20"/>
        </w:rPr>
        <w:t xml:space="preserve">Business Name: Provo Canyon School and Aspen Grove Behavioral Hospital </w:t>
      </w:r>
    </w:p>
    <w:p>
      <w:pPr>
        <w:pStyle w:val="TextBody"/>
        <w:bidi w:val="0"/>
        <w:jc w:val="left"/>
        <w:rPr>
          <w:rFonts w:ascii="Times New Roman" w:hAnsi="Times New Roman"/>
          <w:sz w:val="20"/>
        </w:rPr>
      </w:pPr>
      <w:r>
        <w:rPr>
          <w:rFonts w:ascii="Times New Roman" w:hAnsi="Times New Roman"/>
          <w:b/>
          <w:color w:val="000000"/>
          <w:sz w:val="20"/>
        </w:rPr>
        <w:t>UHS of Puerto Rico, Inc.</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Incorporated State: Delaware </w:t>
      </w:r>
    </w:p>
    <w:p>
      <w:pPr>
        <w:pStyle w:val="TextBody"/>
        <w:bidi w:val="0"/>
        <w:jc w:val="left"/>
        <w:rPr>
          <w:rFonts w:ascii="Times New Roman" w:hAnsi="Times New Roman"/>
          <w:sz w:val="20"/>
        </w:rPr>
      </w:pPr>
      <w:r>
        <w:rPr>
          <w:rFonts w:ascii="Times New Roman" w:hAnsi="Times New Roman"/>
          <w:b/>
          <w:color w:val="000000"/>
          <w:sz w:val="20"/>
        </w:rPr>
        <w:t>UHS of Ridge, LLC</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Incorporated State: Delaware </w:t>
      </w:r>
    </w:p>
    <w:p>
      <w:pPr>
        <w:pStyle w:val="TextBody"/>
        <w:bidi w:val="0"/>
        <w:jc w:val="left"/>
        <w:rPr>
          <w:rFonts w:ascii="Times New Roman" w:hAnsi="Times New Roman"/>
          <w:color w:val="000000"/>
          <w:sz w:val="20"/>
        </w:rPr>
      </w:pPr>
      <w:r>
        <w:rPr>
          <w:rFonts w:ascii="Times New Roman" w:hAnsi="Times New Roman"/>
          <w:color w:val="000000"/>
          <w:sz w:val="20"/>
        </w:rPr>
        <w:t xml:space="preserve">Business Name: The Ridge Behavioral Health System </w:t>
      </w:r>
    </w:p>
    <w:p>
      <w:pPr>
        <w:pStyle w:val="TextBody"/>
        <w:bidi w:val="0"/>
        <w:jc w:val="left"/>
        <w:rPr>
          <w:rFonts w:ascii="Times New Roman" w:hAnsi="Times New Roman"/>
          <w:sz w:val="20"/>
        </w:rPr>
      </w:pPr>
      <w:r>
        <w:rPr>
          <w:rFonts w:ascii="Times New Roman" w:hAnsi="Times New Roman"/>
          <w:b/>
          <w:color w:val="000000"/>
          <w:sz w:val="20"/>
        </w:rPr>
        <w:t>UHS of River Parishes, Inc.</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Incorporated State: Louisiana </w:t>
      </w:r>
    </w:p>
    <w:p>
      <w:pPr>
        <w:pStyle w:val="TextBody"/>
        <w:bidi w:val="0"/>
        <w:jc w:val="left"/>
        <w:rPr>
          <w:rFonts w:ascii="Times New Roman" w:hAnsi="Times New Roman"/>
          <w:sz w:val="20"/>
        </w:rPr>
      </w:pPr>
      <w:r>
        <w:rPr>
          <w:rFonts w:ascii="Times New Roman" w:hAnsi="Times New Roman"/>
          <w:b/>
          <w:color w:val="000000"/>
          <w:sz w:val="20"/>
        </w:rPr>
        <w:t>UHS of Rockford, LLC</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Incorporated State: Delaware </w:t>
      </w:r>
    </w:p>
    <w:p>
      <w:pPr>
        <w:pStyle w:val="TextBody"/>
        <w:bidi w:val="0"/>
        <w:jc w:val="left"/>
        <w:rPr>
          <w:rFonts w:ascii="Times New Roman" w:hAnsi="Times New Roman"/>
          <w:color w:val="000000"/>
          <w:sz w:val="20"/>
        </w:rPr>
      </w:pPr>
      <w:r>
        <w:rPr>
          <w:rFonts w:ascii="Times New Roman" w:hAnsi="Times New Roman"/>
          <w:color w:val="000000"/>
          <w:sz w:val="20"/>
        </w:rPr>
        <w:t xml:space="preserve">Business Name: Rockford Center </w:t>
      </w:r>
    </w:p>
    <w:p>
      <w:pPr>
        <w:pStyle w:val="TextBody"/>
        <w:bidi w:val="0"/>
        <w:jc w:val="left"/>
        <w:rPr>
          <w:rFonts w:ascii="Times New Roman" w:hAnsi="Times New Roman"/>
          <w:sz w:val="20"/>
        </w:rPr>
      </w:pPr>
      <w:r>
        <w:rPr>
          <w:rFonts w:ascii="Times New Roman" w:hAnsi="Times New Roman"/>
          <w:b/>
          <w:color w:val="000000"/>
          <w:sz w:val="20"/>
        </w:rPr>
        <w:t>UHS of Salt Lake City, L.L.C.</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Incorporated State: Delaware </w:t>
      </w:r>
    </w:p>
    <w:p>
      <w:pPr>
        <w:pStyle w:val="TextBody"/>
        <w:bidi w:val="0"/>
        <w:jc w:val="left"/>
        <w:rPr>
          <w:rFonts w:ascii="Times New Roman" w:hAnsi="Times New Roman"/>
          <w:sz w:val="20"/>
        </w:rPr>
      </w:pPr>
      <w:r>
        <w:rPr>
          <w:rFonts w:ascii="Times New Roman" w:hAnsi="Times New Roman"/>
          <w:b/>
          <w:color w:val="000000"/>
          <w:sz w:val="20"/>
        </w:rPr>
        <w:t>UHS of Savannah, L.L.C.</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Incorporated State: Delaware </w:t>
      </w:r>
    </w:p>
    <w:p>
      <w:pPr>
        <w:pStyle w:val="TextBody"/>
        <w:bidi w:val="0"/>
        <w:jc w:val="left"/>
        <w:rPr>
          <w:rFonts w:ascii="Times New Roman" w:hAnsi="Times New Roman"/>
          <w:color w:val="000000"/>
          <w:sz w:val="20"/>
        </w:rPr>
      </w:pPr>
      <w:r>
        <w:rPr>
          <w:rFonts w:ascii="Times New Roman" w:hAnsi="Times New Roman"/>
          <w:color w:val="000000"/>
          <w:sz w:val="20"/>
        </w:rPr>
        <w:t xml:space="preserve">Business Name: Coastal Harbor Treatment Center and Coastal Behavioral Health </w:t>
      </w:r>
    </w:p>
    <w:p>
      <w:pPr>
        <w:pStyle w:val="TextBody"/>
        <w:bidi w:val="0"/>
        <w:jc w:val="left"/>
        <w:rPr>
          <w:rFonts w:ascii="Times New Roman" w:hAnsi="Times New Roman"/>
          <w:sz w:val="20"/>
        </w:rPr>
      </w:pPr>
      <w:r>
        <w:rPr>
          <w:rFonts w:ascii="Times New Roman" w:hAnsi="Times New Roman"/>
          <w:b/>
          <w:color w:val="000000"/>
          <w:sz w:val="20"/>
        </w:rPr>
        <w:t>UHS of Spring Mountain, Inc.</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Incorporated State: Delaware </w:t>
      </w:r>
    </w:p>
    <w:p>
      <w:pPr>
        <w:pStyle w:val="TextBody"/>
        <w:bidi w:val="0"/>
        <w:jc w:val="left"/>
        <w:rPr>
          <w:rFonts w:ascii="Times New Roman" w:hAnsi="Times New Roman"/>
          <w:sz w:val="20"/>
        </w:rPr>
      </w:pPr>
      <w:r>
        <w:rPr>
          <w:rFonts w:ascii="Times New Roman" w:hAnsi="Times New Roman"/>
          <w:b/>
          <w:color w:val="000000"/>
          <w:sz w:val="20"/>
        </w:rPr>
        <w:t>UHS of Springwoods, L.L.C.</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Incorporated State: Delaware </w:t>
      </w:r>
    </w:p>
    <w:p>
      <w:pPr>
        <w:pStyle w:val="TextBody"/>
        <w:bidi w:val="0"/>
        <w:jc w:val="left"/>
        <w:rPr>
          <w:rFonts w:ascii="Times New Roman" w:hAnsi="Times New Roman"/>
          <w:color w:val="000000"/>
          <w:sz w:val="20"/>
        </w:rPr>
      </w:pPr>
      <w:r>
        <w:rPr>
          <w:rFonts w:ascii="Times New Roman" w:hAnsi="Times New Roman"/>
          <w:color w:val="000000"/>
          <w:sz w:val="20"/>
        </w:rPr>
        <w:t xml:space="preserve">Business Name: Springwoods Behavioral Health </w:t>
      </w:r>
    </w:p>
    <w:p>
      <w:pPr>
        <w:pStyle w:val="TextBody"/>
        <w:bidi w:val="0"/>
        <w:jc w:val="left"/>
        <w:rPr>
          <w:rFonts w:ascii="Times New Roman" w:hAnsi="Times New Roman"/>
          <w:sz w:val="20"/>
        </w:rPr>
      </w:pPr>
      <w:r>
        <w:rPr>
          <w:rFonts w:ascii="Times New Roman" w:hAnsi="Times New Roman"/>
          <w:b/>
          <w:color w:val="000000"/>
          <w:sz w:val="20"/>
        </w:rPr>
        <w:t>UHS of SummitRidge, L.L.C.</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Incorporation State: Delaware </w:t>
      </w:r>
    </w:p>
    <w:p>
      <w:pPr>
        <w:pStyle w:val="TextBody"/>
        <w:bidi w:val="0"/>
        <w:jc w:val="left"/>
        <w:rPr>
          <w:rFonts w:ascii="Times New Roman" w:hAnsi="Times New Roman"/>
          <w:color w:val="000000"/>
          <w:sz w:val="20"/>
        </w:rPr>
      </w:pPr>
      <w:r>
        <w:rPr>
          <w:rFonts w:ascii="Times New Roman" w:hAnsi="Times New Roman"/>
          <w:color w:val="000000"/>
          <w:sz w:val="20"/>
        </w:rPr>
        <w:t xml:space="preserve">Business Name: SummitRidge Hospital </w:t>
      </w:r>
    </w:p>
    <w:p>
      <w:pPr>
        <w:pStyle w:val="TextBody"/>
        <w:bidi w:val="0"/>
        <w:jc w:val="left"/>
        <w:rPr>
          <w:rFonts w:ascii="Times New Roman" w:hAnsi="Times New Roman"/>
          <w:sz w:val="20"/>
        </w:rPr>
      </w:pPr>
      <w:r>
        <w:rPr>
          <w:rFonts w:ascii="Times New Roman" w:hAnsi="Times New Roman"/>
          <w:b/>
          <w:color w:val="000000"/>
          <w:sz w:val="20"/>
        </w:rPr>
        <w:t>UHS of Sutton, Inc.</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Incorporated State: Delaware </w:t>
      </w:r>
    </w:p>
    <w:p>
      <w:pPr>
        <w:pStyle w:val="TextBody"/>
        <w:bidi w:val="0"/>
        <w:jc w:val="left"/>
        <w:rPr>
          <w:rFonts w:ascii="Times New Roman" w:hAnsi="Times New Roman"/>
          <w:sz w:val="20"/>
        </w:rPr>
      </w:pPr>
      <w:r>
        <w:rPr>
          <w:rFonts w:ascii="Times New Roman" w:hAnsi="Times New Roman"/>
          <w:b/>
          <w:color w:val="000000"/>
          <w:sz w:val="20"/>
        </w:rPr>
        <w:t>UHS of Talbot, L.P.</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Incorporated State: Delaware </w:t>
      </w:r>
    </w:p>
    <w:p>
      <w:pPr>
        <w:pStyle w:val="TextBody"/>
        <w:bidi w:val="0"/>
        <w:jc w:val="left"/>
        <w:rPr>
          <w:rFonts w:ascii="Times New Roman" w:hAnsi="Times New Roman"/>
          <w:color w:val="000000"/>
          <w:sz w:val="20"/>
        </w:rPr>
      </w:pPr>
      <w:r>
        <w:rPr>
          <w:rFonts w:ascii="Times New Roman" w:hAnsi="Times New Roman"/>
          <w:color w:val="000000"/>
          <w:sz w:val="20"/>
        </w:rPr>
        <w:t xml:space="preserve">Business Name: Talbott Recovery and Talbott Recovery Dunwoody </w:t>
      </w:r>
    </w:p>
    <w:p>
      <w:pPr>
        <w:pStyle w:val="TextBody"/>
        <w:bidi w:val="0"/>
        <w:jc w:val="left"/>
        <w:rPr>
          <w:rFonts w:ascii="Times New Roman" w:hAnsi="Times New Roman"/>
          <w:sz w:val="20"/>
        </w:rPr>
      </w:pPr>
      <w:r>
        <w:rPr>
          <w:rFonts w:ascii="Times New Roman" w:hAnsi="Times New Roman"/>
          <w:b/>
          <w:color w:val="000000"/>
          <w:sz w:val="20"/>
        </w:rPr>
        <w:t>UHS of Texoma, Inc.</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Incorporated State: Delaware </w:t>
      </w:r>
    </w:p>
    <w:p>
      <w:pPr>
        <w:pStyle w:val="TextBody"/>
        <w:bidi w:val="0"/>
        <w:jc w:val="left"/>
        <w:rPr>
          <w:rFonts w:ascii="Times New Roman" w:hAnsi="Times New Roman"/>
          <w:color w:val="000000"/>
          <w:sz w:val="20"/>
        </w:rPr>
      </w:pPr>
      <w:r>
        <w:rPr>
          <w:rFonts w:ascii="Times New Roman" w:hAnsi="Times New Roman"/>
          <w:color w:val="000000"/>
          <w:sz w:val="20"/>
        </w:rPr>
        <w:t xml:space="preserve">Business Name: Texoma Medical Center, TMC Behavioral Health Center, ER at Sherman, a Service of Texoma Medical Center and ER at Anna, a Service of Texoma Medical Center </w:t>
      </w:r>
    </w:p>
    <w:p>
      <w:pPr>
        <w:pStyle w:val="TextBody"/>
        <w:bidi w:val="0"/>
        <w:jc w:val="left"/>
        <w:rPr>
          <w:rFonts w:ascii="Times New Roman" w:hAnsi="Times New Roman"/>
          <w:sz w:val="20"/>
        </w:rPr>
      </w:pPr>
      <w:r>
        <w:rPr>
          <w:rFonts w:ascii="Times New Roman" w:hAnsi="Times New Roman"/>
          <w:b/>
          <w:color w:val="000000"/>
          <w:sz w:val="20"/>
        </w:rPr>
        <w:t>UHS of Timberlawn, Inc.</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Incorporated State: Texas </w:t>
      </w:r>
    </w:p>
    <w:p>
      <w:pPr>
        <w:pStyle w:val="TextBody"/>
        <w:bidi w:val="0"/>
        <w:jc w:val="left"/>
        <w:rPr>
          <w:rFonts w:ascii="Times New Roman" w:hAnsi="Times New Roman"/>
          <w:sz w:val="20"/>
        </w:rPr>
      </w:pPr>
      <w:r>
        <w:rPr>
          <w:rFonts w:ascii="Times New Roman" w:hAnsi="Times New Roman"/>
          <w:b/>
          <w:color w:val="000000"/>
          <w:sz w:val="20"/>
        </w:rPr>
        <w:t>UHS of Timpanogos, Inc.</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Incorporated State: Delaware </w:t>
      </w:r>
    </w:p>
    <w:p>
      <w:pPr>
        <w:pStyle w:val="TextBody"/>
        <w:bidi w:val="0"/>
        <w:jc w:val="left"/>
        <w:rPr>
          <w:rFonts w:ascii="Times New Roman" w:hAnsi="Times New Roman"/>
          <w:color w:val="000000"/>
          <w:sz w:val="20"/>
        </w:rPr>
      </w:pPr>
      <w:r>
        <w:rPr>
          <w:rFonts w:ascii="Times New Roman" w:hAnsi="Times New Roman"/>
          <w:color w:val="000000"/>
          <w:sz w:val="20"/>
        </w:rPr>
        <w:t xml:space="preserve">Business Name: Center for Change </w:t>
      </w:r>
    </w:p>
    <w:p>
      <w:pPr>
        <w:pStyle w:val="TextBody"/>
        <w:bidi w:val="0"/>
        <w:jc w:val="left"/>
        <w:rPr>
          <w:rFonts w:ascii="Times New Roman" w:hAnsi="Times New Roman"/>
          <w:b/>
          <w:color w:val="000000"/>
          <w:sz w:val="20"/>
        </w:rPr>
      </w:pPr>
      <w:r>
        <w:rPr>
          <w:rFonts w:ascii="Times New Roman" w:hAnsi="Times New Roman"/>
          <w:b/>
          <w:color w:val="000000"/>
          <w:sz w:val="20"/>
        </w:rPr>
        <w:t>UHS of Tucson, LLC</w:t>
      </w:r>
    </w:p>
    <w:p>
      <w:pPr>
        <w:pStyle w:val="TextBody"/>
        <w:bidi w:val="0"/>
        <w:jc w:val="left"/>
        <w:rPr>
          <w:rFonts w:ascii="Times New Roman" w:hAnsi="Times New Roman"/>
          <w:color w:val="000000"/>
          <w:sz w:val="20"/>
        </w:rPr>
      </w:pPr>
      <w:r>
        <w:rPr>
          <w:rFonts w:ascii="Times New Roman" w:hAnsi="Times New Roman"/>
          <w:color w:val="000000"/>
          <w:sz w:val="20"/>
        </w:rPr>
        <w:t>Incorporated State: Delaware</w:t>
      </w:r>
    </w:p>
    <w:p>
      <w:pPr>
        <w:pStyle w:val="TextBody"/>
        <w:bidi w:val="0"/>
        <w:jc w:val="left"/>
        <w:rPr>
          <w:rFonts w:ascii="Times New Roman" w:hAnsi="Times New Roman"/>
          <w:color w:val="000000"/>
          <w:sz w:val="20"/>
        </w:rPr>
      </w:pPr>
      <w:r>
        <w:rPr>
          <w:rFonts w:ascii="Times New Roman" w:hAnsi="Times New Roman"/>
          <w:color w:val="000000"/>
          <w:sz w:val="20"/>
        </w:rPr>
        <w:t xml:space="preserve">Business Name: Palo Verde Behavioral Health </w:t>
      </w:r>
    </w:p>
    <w:p>
      <w:pPr>
        <w:pStyle w:val="TextBody"/>
        <w:bidi w:val="0"/>
        <w:jc w:val="left"/>
        <w:rPr>
          <w:rFonts w:ascii="Times New Roman" w:hAnsi="Times New Roman"/>
          <w:sz w:val="20"/>
        </w:rPr>
      </w:pPr>
      <w:r>
        <w:rPr>
          <w:rFonts w:ascii="Times New Roman" w:hAnsi="Times New Roman"/>
          <w:b/>
          <w:color w:val="000000"/>
          <w:sz w:val="20"/>
        </w:rPr>
        <w:t>UHS of Westwood Pembroke, Inc.</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Incorporated State: Massachusetts </w:t>
      </w:r>
    </w:p>
    <w:p>
      <w:pPr>
        <w:pStyle w:val="TextBody"/>
        <w:bidi w:val="0"/>
        <w:jc w:val="left"/>
        <w:rPr>
          <w:rFonts w:ascii="Times New Roman" w:hAnsi="Times New Roman"/>
          <w:color w:val="000000"/>
          <w:sz w:val="20"/>
        </w:rPr>
      </w:pPr>
      <w:r>
        <w:rPr>
          <w:rFonts w:ascii="Times New Roman" w:hAnsi="Times New Roman"/>
          <w:color w:val="000000"/>
          <w:sz w:val="20"/>
        </w:rPr>
        <w:t xml:space="preserve">Business Name: Pembroke Hospital </w:t>
      </w:r>
    </w:p>
    <w:p>
      <w:pPr>
        <w:pStyle w:val="TextBody"/>
        <w:bidi w:val="0"/>
        <w:jc w:val="left"/>
        <w:rPr>
          <w:rFonts w:ascii="Times New Roman" w:hAnsi="Times New Roman"/>
          <w:sz w:val="20"/>
        </w:rPr>
      </w:pPr>
      <w:r>
        <w:rPr>
          <w:rFonts w:ascii="Times New Roman" w:hAnsi="Times New Roman"/>
          <w:b/>
          <w:color w:val="000000"/>
          <w:sz w:val="20"/>
        </w:rPr>
        <w:t>UHS of Wyoming, Inc.</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Incorporated State: Delaware </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color w:val="000000"/>
          <w:sz w:val="20"/>
        </w:rPr>
      </w:pPr>
      <w:r>
        <w:rPr>
          <w:rFonts w:ascii="Times New Roman" w:hAnsi="Times New Roman"/>
          <w:color w:val="000000"/>
          <w:sz w:val="20"/>
        </w:rPr>
        <w:t xml:space="preserve">Business Name: Wyoming Behavioral Institute </w:t>
      </w:r>
    </w:p>
    <w:p>
      <w:pPr>
        <w:pStyle w:val="TextBody"/>
        <w:bidi w:val="0"/>
        <w:jc w:val="left"/>
        <w:rPr>
          <w:rFonts w:ascii="Times New Roman" w:hAnsi="Times New Roman"/>
          <w:sz w:val="20"/>
        </w:rPr>
      </w:pPr>
      <w:r>
        <w:rPr>
          <w:rFonts w:ascii="Times New Roman" w:hAnsi="Times New Roman"/>
          <w:b/>
          <w:color w:val="000000"/>
          <w:sz w:val="20"/>
        </w:rPr>
        <w:t>UHS Oklahoma City LLC</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Incorporated State: Oklahoma </w:t>
      </w:r>
    </w:p>
    <w:p>
      <w:pPr>
        <w:pStyle w:val="TextBody"/>
        <w:bidi w:val="0"/>
        <w:jc w:val="left"/>
        <w:rPr>
          <w:rFonts w:ascii="Times New Roman" w:hAnsi="Times New Roman"/>
          <w:color w:val="000000"/>
          <w:sz w:val="20"/>
        </w:rPr>
      </w:pPr>
      <w:r>
        <w:rPr>
          <w:rFonts w:ascii="Times New Roman" w:hAnsi="Times New Roman"/>
          <w:color w:val="000000"/>
          <w:sz w:val="20"/>
        </w:rPr>
        <w:t>Business Name: Cedar Ridge Behavioral Hospital, Cedar Ridge Residential Treatment Center and Cedar Ridge Behavioral Hospital at Bethany</w:t>
      </w:r>
    </w:p>
    <w:p>
      <w:pPr>
        <w:pStyle w:val="TextBody"/>
        <w:bidi w:val="0"/>
        <w:jc w:val="left"/>
        <w:rPr>
          <w:rFonts w:ascii="Times New Roman" w:hAnsi="Times New Roman"/>
          <w:b/>
          <w:color w:val="000000"/>
          <w:sz w:val="20"/>
        </w:rPr>
      </w:pPr>
      <w:r>
        <w:rPr>
          <w:rFonts w:ascii="Times New Roman" w:hAnsi="Times New Roman"/>
          <w:b/>
          <w:color w:val="000000"/>
          <w:sz w:val="20"/>
        </w:rPr>
        <w:t>UHS OUD Business Support Services, LLC</w:t>
      </w:r>
    </w:p>
    <w:p>
      <w:pPr>
        <w:pStyle w:val="TextBody"/>
        <w:bidi w:val="0"/>
        <w:jc w:val="left"/>
        <w:rPr>
          <w:rFonts w:ascii="Times New Roman" w:hAnsi="Times New Roman"/>
          <w:color w:val="000000"/>
          <w:sz w:val="20"/>
        </w:rPr>
      </w:pPr>
      <w:r>
        <w:rPr>
          <w:rFonts w:ascii="Times New Roman" w:hAnsi="Times New Roman"/>
          <w:color w:val="000000"/>
          <w:sz w:val="20"/>
        </w:rPr>
        <w:t>Incorporated State: Delaware</w:t>
      </w:r>
    </w:p>
    <w:p>
      <w:pPr>
        <w:pStyle w:val="TextBody"/>
        <w:bidi w:val="0"/>
        <w:jc w:val="left"/>
        <w:rPr>
          <w:rFonts w:ascii="Times New Roman" w:hAnsi="Times New Roman"/>
          <w:b/>
          <w:color w:val="000000"/>
          <w:sz w:val="20"/>
        </w:rPr>
      </w:pPr>
      <w:r>
        <w:rPr>
          <w:rFonts w:ascii="Times New Roman" w:hAnsi="Times New Roman"/>
          <w:b/>
          <w:color w:val="000000"/>
          <w:sz w:val="20"/>
        </w:rPr>
        <w:t>UHS OUD Specialty Hold Co., LLC</w:t>
      </w:r>
    </w:p>
    <w:p>
      <w:pPr>
        <w:pStyle w:val="TextBody"/>
        <w:bidi w:val="0"/>
        <w:jc w:val="left"/>
        <w:rPr>
          <w:rFonts w:ascii="Times New Roman" w:hAnsi="Times New Roman"/>
          <w:color w:val="000000"/>
          <w:sz w:val="20"/>
        </w:rPr>
      </w:pPr>
      <w:r>
        <w:rPr>
          <w:rFonts w:ascii="Times New Roman" w:hAnsi="Times New Roman"/>
          <w:color w:val="000000"/>
          <w:sz w:val="20"/>
        </w:rPr>
        <w:t>Incorporated State: Delaware</w:t>
      </w:r>
    </w:p>
    <w:p>
      <w:pPr>
        <w:pStyle w:val="TextBody"/>
        <w:bidi w:val="0"/>
        <w:jc w:val="left"/>
        <w:rPr>
          <w:rFonts w:ascii="Times New Roman" w:hAnsi="Times New Roman"/>
          <w:b/>
          <w:color w:val="000000"/>
          <w:sz w:val="20"/>
        </w:rPr>
      </w:pPr>
      <w:r>
        <w:rPr>
          <w:rFonts w:ascii="Times New Roman" w:hAnsi="Times New Roman"/>
          <w:b/>
          <w:color w:val="000000"/>
          <w:sz w:val="20"/>
        </w:rPr>
        <w:t>UHS Outpatient, LLC</w:t>
      </w:r>
    </w:p>
    <w:p>
      <w:pPr>
        <w:pStyle w:val="TextBody"/>
        <w:bidi w:val="0"/>
        <w:jc w:val="left"/>
        <w:rPr>
          <w:rFonts w:ascii="Times New Roman" w:hAnsi="Times New Roman"/>
          <w:color w:val="000000"/>
          <w:sz w:val="20"/>
        </w:rPr>
      </w:pPr>
      <w:r>
        <w:rPr>
          <w:rFonts w:ascii="Times New Roman" w:hAnsi="Times New Roman"/>
          <w:color w:val="000000"/>
          <w:sz w:val="20"/>
        </w:rPr>
        <w:t>Incorporated State: Delaware</w:t>
      </w:r>
    </w:p>
    <w:p>
      <w:pPr>
        <w:pStyle w:val="TextBody"/>
        <w:bidi w:val="0"/>
        <w:jc w:val="left"/>
        <w:rPr>
          <w:rFonts w:ascii="Times New Roman" w:hAnsi="Times New Roman"/>
          <w:b/>
          <w:color w:val="000000"/>
          <w:sz w:val="20"/>
        </w:rPr>
      </w:pPr>
      <w:r>
        <w:rPr>
          <w:rFonts w:ascii="Times New Roman" w:hAnsi="Times New Roman"/>
          <w:b/>
          <w:color w:val="000000"/>
          <w:sz w:val="20"/>
        </w:rPr>
        <w:t>UHS Outpatient CA, LLC</w:t>
      </w:r>
    </w:p>
    <w:p>
      <w:pPr>
        <w:pStyle w:val="TextBody"/>
        <w:bidi w:val="0"/>
        <w:jc w:val="left"/>
        <w:rPr>
          <w:rFonts w:ascii="Times New Roman" w:hAnsi="Times New Roman"/>
          <w:color w:val="000000"/>
          <w:sz w:val="20"/>
        </w:rPr>
      </w:pPr>
      <w:r>
        <w:rPr>
          <w:rFonts w:ascii="Times New Roman" w:hAnsi="Times New Roman"/>
          <w:color w:val="000000"/>
          <w:sz w:val="20"/>
        </w:rPr>
        <w:t xml:space="preserve">Incorporated State: Delaware </w:t>
      </w:r>
    </w:p>
    <w:p>
      <w:pPr>
        <w:pStyle w:val="TextBody"/>
        <w:bidi w:val="0"/>
        <w:jc w:val="left"/>
        <w:rPr>
          <w:rFonts w:ascii="Times New Roman" w:hAnsi="Times New Roman"/>
          <w:color w:val="000000"/>
          <w:sz w:val="20"/>
        </w:rPr>
      </w:pPr>
      <w:r>
        <w:rPr>
          <w:rFonts w:ascii="Times New Roman" w:hAnsi="Times New Roman"/>
          <w:color w:val="000000"/>
          <w:sz w:val="20"/>
        </w:rPr>
        <w:t>Business Name: Thousand Branches Mission Valley</w:t>
      </w:r>
    </w:p>
    <w:p>
      <w:pPr>
        <w:pStyle w:val="TextBody"/>
        <w:bidi w:val="0"/>
        <w:jc w:val="left"/>
        <w:rPr>
          <w:rFonts w:ascii="Times New Roman" w:hAnsi="Times New Roman"/>
          <w:b/>
          <w:color w:val="000000"/>
          <w:sz w:val="20"/>
        </w:rPr>
      </w:pPr>
      <w:r>
        <w:rPr>
          <w:rFonts w:ascii="Times New Roman" w:hAnsi="Times New Roman"/>
          <w:b/>
          <w:color w:val="000000"/>
          <w:sz w:val="20"/>
        </w:rPr>
        <w:t>UHS Outpatient GA, LLC</w:t>
      </w:r>
    </w:p>
    <w:p>
      <w:pPr>
        <w:pStyle w:val="TextBody"/>
        <w:bidi w:val="0"/>
        <w:jc w:val="left"/>
        <w:rPr>
          <w:rFonts w:ascii="Times New Roman" w:hAnsi="Times New Roman"/>
          <w:color w:val="000000"/>
          <w:sz w:val="20"/>
        </w:rPr>
      </w:pPr>
      <w:r>
        <w:rPr>
          <w:rFonts w:ascii="Times New Roman" w:hAnsi="Times New Roman"/>
          <w:color w:val="000000"/>
          <w:sz w:val="20"/>
        </w:rPr>
        <w:t>Incorporated State: Delaware</w:t>
      </w:r>
    </w:p>
    <w:p>
      <w:pPr>
        <w:pStyle w:val="TextBody"/>
        <w:bidi w:val="0"/>
        <w:jc w:val="left"/>
        <w:rPr>
          <w:rFonts w:ascii="Times New Roman" w:hAnsi="Times New Roman"/>
          <w:b/>
          <w:color w:val="000000"/>
          <w:sz w:val="20"/>
        </w:rPr>
      </w:pPr>
      <w:r>
        <w:rPr>
          <w:rFonts w:ascii="Times New Roman" w:hAnsi="Times New Roman"/>
          <w:b/>
          <w:color w:val="000000"/>
          <w:sz w:val="20"/>
        </w:rPr>
        <w:t>UHS Outpatient MN, LLC</w:t>
      </w:r>
    </w:p>
    <w:p>
      <w:pPr>
        <w:pStyle w:val="TextBody"/>
        <w:bidi w:val="0"/>
        <w:jc w:val="left"/>
        <w:rPr>
          <w:rFonts w:ascii="Times New Roman" w:hAnsi="Times New Roman"/>
          <w:color w:val="000000"/>
          <w:sz w:val="20"/>
        </w:rPr>
      </w:pPr>
      <w:r>
        <w:rPr>
          <w:rFonts w:ascii="Times New Roman" w:hAnsi="Times New Roman"/>
          <w:color w:val="000000"/>
          <w:sz w:val="20"/>
        </w:rPr>
        <w:t>Incorporated State: Delaware</w:t>
      </w:r>
    </w:p>
    <w:p>
      <w:pPr>
        <w:pStyle w:val="TextBody"/>
        <w:bidi w:val="0"/>
        <w:jc w:val="left"/>
        <w:rPr>
          <w:rFonts w:ascii="Times New Roman" w:hAnsi="Times New Roman"/>
          <w:b/>
          <w:color w:val="000000"/>
          <w:sz w:val="20"/>
        </w:rPr>
      </w:pPr>
      <w:r>
        <w:rPr>
          <w:rFonts w:ascii="Times New Roman" w:hAnsi="Times New Roman"/>
          <w:b/>
          <w:color w:val="000000"/>
          <w:sz w:val="20"/>
        </w:rPr>
        <w:t>UHS Outpatient TX, LLC</w:t>
      </w:r>
    </w:p>
    <w:p>
      <w:pPr>
        <w:pStyle w:val="TextBody"/>
        <w:bidi w:val="0"/>
        <w:jc w:val="left"/>
        <w:rPr>
          <w:rFonts w:ascii="Times New Roman" w:hAnsi="Times New Roman"/>
          <w:color w:val="000000"/>
          <w:sz w:val="20"/>
        </w:rPr>
      </w:pPr>
      <w:r>
        <w:rPr>
          <w:rFonts w:ascii="Times New Roman" w:hAnsi="Times New Roman"/>
          <w:color w:val="000000"/>
          <w:sz w:val="20"/>
        </w:rPr>
        <w:t>Incorporated State: Delaware</w:t>
      </w:r>
    </w:p>
    <w:p>
      <w:pPr>
        <w:pStyle w:val="TextBody"/>
        <w:bidi w:val="0"/>
        <w:jc w:val="left"/>
        <w:rPr>
          <w:rFonts w:ascii="Times New Roman" w:hAnsi="Times New Roman"/>
          <w:b/>
          <w:color w:val="000000"/>
          <w:sz w:val="20"/>
        </w:rPr>
      </w:pPr>
      <w:r>
        <w:rPr>
          <w:rFonts w:ascii="Times New Roman" w:hAnsi="Times New Roman"/>
          <w:b/>
          <w:color w:val="000000"/>
          <w:sz w:val="20"/>
        </w:rPr>
        <w:t>UHS Petersburg OUD, LLC</w:t>
      </w:r>
    </w:p>
    <w:p>
      <w:pPr>
        <w:pStyle w:val="TextBody"/>
        <w:bidi w:val="0"/>
        <w:jc w:val="left"/>
        <w:rPr>
          <w:rFonts w:ascii="Times New Roman" w:hAnsi="Times New Roman"/>
          <w:color w:val="000000"/>
          <w:sz w:val="20"/>
        </w:rPr>
      </w:pPr>
      <w:r>
        <w:rPr>
          <w:rFonts w:ascii="Times New Roman" w:hAnsi="Times New Roman"/>
          <w:color w:val="000000"/>
          <w:sz w:val="20"/>
        </w:rPr>
        <w:t>Incorporated State: Delaware</w:t>
      </w:r>
    </w:p>
    <w:p>
      <w:pPr>
        <w:pStyle w:val="TextBody"/>
        <w:bidi w:val="0"/>
        <w:jc w:val="left"/>
        <w:rPr>
          <w:rFonts w:ascii="Times New Roman" w:hAnsi="Times New Roman"/>
          <w:sz w:val="20"/>
        </w:rPr>
      </w:pPr>
      <w:r>
        <w:rPr>
          <w:rFonts w:ascii="Times New Roman" w:hAnsi="Times New Roman"/>
          <w:b/>
          <w:color w:val="000000"/>
          <w:sz w:val="20"/>
        </w:rPr>
        <w:t>UHS-Corona Receivables, L.L.C</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Incorporated State: Delaware </w:t>
      </w:r>
    </w:p>
    <w:p>
      <w:pPr>
        <w:pStyle w:val="TextBody"/>
        <w:bidi w:val="0"/>
        <w:jc w:val="left"/>
        <w:rPr>
          <w:rFonts w:ascii="Times New Roman" w:hAnsi="Times New Roman"/>
          <w:sz w:val="20"/>
        </w:rPr>
      </w:pPr>
      <w:r>
        <w:rPr>
          <w:rFonts w:ascii="Times New Roman" w:hAnsi="Times New Roman"/>
          <w:b/>
          <w:color w:val="000000"/>
          <w:sz w:val="20"/>
        </w:rPr>
        <w:t>UHS-Corona, Inc.</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Incorporated State: Delaware </w:t>
      </w:r>
    </w:p>
    <w:p>
      <w:pPr>
        <w:pStyle w:val="TextBody"/>
        <w:bidi w:val="0"/>
        <w:jc w:val="left"/>
        <w:rPr>
          <w:rFonts w:ascii="Times New Roman" w:hAnsi="Times New Roman"/>
          <w:color w:val="000000"/>
          <w:sz w:val="20"/>
        </w:rPr>
      </w:pPr>
      <w:r>
        <w:rPr>
          <w:rFonts w:ascii="Times New Roman" w:hAnsi="Times New Roman"/>
          <w:color w:val="000000"/>
          <w:sz w:val="20"/>
        </w:rPr>
        <w:t xml:space="preserve">Business Name: Corona Regional Medical Center </w:t>
      </w:r>
    </w:p>
    <w:p>
      <w:pPr>
        <w:pStyle w:val="TextBody"/>
        <w:bidi w:val="0"/>
        <w:jc w:val="left"/>
        <w:rPr>
          <w:rFonts w:ascii="Times New Roman" w:hAnsi="Times New Roman"/>
          <w:b/>
          <w:color w:val="000000"/>
          <w:sz w:val="20"/>
        </w:rPr>
      </w:pPr>
      <w:r>
        <w:rPr>
          <w:rFonts w:ascii="Times New Roman" w:hAnsi="Times New Roman"/>
          <w:b/>
          <w:color w:val="000000"/>
          <w:sz w:val="20"/>
        </w:rPr>
        <w:t>UHS-Evolution Homecare, LLC</w:t>
      </w:r>
    </w:p>
    <w:p>
      <w:pPr>
        <w:pStyle w:val="TextBody"/>
        <w:bidi w:val="0"/>
        <w:jc w:val="left"/>
        <w:rPr>
          <w:rFonts w:ascii="Times New Roman" w:hAnsi="Times New Roman"/>
          <w:color w:val="000000"/>
          <w:sz w:val="20"/>
        </w:rPr>
      </w:pPr>
      <w:r>
        <w:rPr>
          <w:rFonts w:ascii="Times New Roman" w:hAnsi="Times New Roman"/>
          <w:color w:val="000000"/>
          <w:sz w:val="20"/>
        </w:rPr>
        <w:t>Incorporated State: Delaware</w:t>
      </w:r>
    </w:p>
    <w:p>
      <w:pPr>
        <w:pStyle w:val="TextBody"/>
        <w:bidi w:val="0"/>
        <w:jc w:val="left"/>
        <w:rPr>
          <w:rFonts w:ascii="Times New Roman" w:hAnsi="Times New Roman"/>
          <w:sz w:val="20"/>
        </w:rPr>
      </w:pPr>
      <w:r>
        <w:rPr>
          <w:rFonts w:ascii="Times New Roman" w:hAnsi="Times New Roman"/>
          <w:b/>
          <w:color w:val="000000"/>
          <w:sz w:val="20"/>
        </w:rPr>
        <w:t>UHS-Lakeland Medical Center, L.L.C.</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Incorporated State: Delaware </w:t>
      </w:r>
    </w:p>
    <w:p>
      <w:pPr>
        <w:pStyle w:val="TextBody"/>
        <w:bidi w:val="0"/>
        <w:jc w:val="left"/>
        <w:rPr>
          <w:rFonts w:ascii="Times New Roman" w:hAnsi="Times New Roman"/>
          <w:b/>
          <w:color w:val="000000"/>
          <w:sz w:val="20"/>
        </w:rPr>
      </w:pPr>
      <w:r>
        <w:rPr>
          <w:rFonts w:ascii="Times New Roman" w:hAnsi="Times New Roman"/>
          <w:b/>
          <w:color w:val="000000"/>
          <w:sz w:val="20"/>
        </w:rPr>
        <w:t>UHS-LVHN JV, LLC</w:t>
      </w:r>
    </w:p>
    <w:p>
      <w:pPr>
        <w:pStyle w:val="TextBody"/>
        <w:bidi w:val="0"/>
        <w:jc w:val="left"/>
        <w:rPr>
          <w:rFonts w:ascii="Times New Roman" w:hAnsi="Times New Roman"/>
          <w:color w:val="000000"/>
          <w:sz w:val="20"/>
        </w:rPr>
      </w:pPr>
      <w:r>
        <w:rPr>
          <w:rFonts w:ascii="Times New Roman" w:hAnsi="Times New Roman"/>
          <w:color w:val="000000"/>
          <w:sz w:val="20"/>
        </w:rPr>
        <w:t>Incorporated State: Pennsylvania</w:t>
      </w:r>
    </w:p>
    <w:p>
      <w:pPr>
        <w:pStyle w:val="TextBody"/>
        <w:bidi w:val="0"/>
        <w:jc w:val="left"/>
        <w:rPr>
          <w:rFonts w:ascii="Times New Roman" w:hAnsi="Times New Roman"/>
          <w:color w:val="000000"/>
          <w:sz w:val="20"/>
        </w:rPr>
      </w:pPr>
      <w:r>
        <w:rPr>
          <w:rFonts w:ascii="Times New Roman" w:hAnsi="Times New Roman"/>
          <w:color w:val="000000"/>
          <w:sz w:val="20"/>
        </w:rPr>
        <w:t>Business Name: Hanover Hill Behavioral Health</w:t>
      </w:r>
    </w:p>
    <w:p>
      <w:pPr>
        <w:pStyle w:val="TextBody"/>
        <w:bidi w:val="0"/>
        <w:jc w:val="left"/>
        <w:rPr>
          <w:rFonts w:ascii="Times New Roman" w:hAnsi="Times New Roman"/>
          <w:b/>
          <w:color w:val="000000"/>
          <w:sz w:val="20"/>
        </w:rPr>
      </w:pPr>
      <w:r>
        <w:rPr>
          <w:rFonts w:ascii="Times New Roman" w:hAnsi="Times New Roman"/>
          <w:b/>
          <w:color w:val="000000"/>
          <w:sz w:val="20"/>
        </w:rPr>
        <w:t>UHSB International SRL</w:t>
      </w:r>
    </w:p>
    <w:p>
      <w:pPr>
        <w:pStyle w:val="TextBody"/>
        <w:bidi w:val="0"/>
        <w:jc w:val="left"/>
        <w:rPr>
          <w:rFonts w:ascii="Times New Roman" w:hAnsi="Times New Roman"/>
          <w:color w:val="000000"/>
          <w:sz w:val="20"/>
        </w:rPr>
      </w:pPr>
      <w:r>
        <w:rPr>
          <w:rFonts w:ascii="Times New Roman" w:hAnsi="Times New Roman"/>
          <w:color w:val="000000"/>
          <w:sz w:val="20"/>
        </w:rPr>
        <w:t xml:space="preserve">Incorporated State: Barbados </w:t>
      </w:r>
    </w:p>
    <w:p>
      <w:pPr>
        <w:pStyle w:val="TextBody"/>
        <w:bidi w:val="0"/>
        <w:jc w:val="left"/>
        <w:rPr>
          <w:rFonts w:ascii="Times New Roman" w:hAnsi="Times New Roman"/>
          <w:b/>
          <w:color w:val="000000"/>
          <w:sz w:val="20"/>
        </w:rPr>
      </w:pPr>
      <w:r>
        <w:rPr>
          <w:rFonts w:ascii="Times New Roman" w:hAnsi="Times New Roman"/>
          <w:b/>
          <w:color w:val="000000"/>
          <w:sz w:val="20"/>
        </w:rPr>
        <w:t>UHSB International II SRL</w:t>
      </w:r>
    </w:p>
    <w:p>
      <w:pPr>
        <w:pStyle w:val="TextBody"/>
        <w:bidi w:val="0"/>
        <w:jc w:val="left"/>
        <w:rPr>
          <w:rFonts w:ascii="Times New Roman" w:hAnsi="Times New Roman"/>
          <w:color w:val="000000"/>
          <w:sz w:val="20"/>
        </w:rPr>
      </w:pPr>
      <w:r>
        <w:rPr>
          <w:rFonts w:ascii="Times New Roman" w:hAnsi="Times New Roman"/>
          <w:color w:val="000000"/>
          <w:sz w:val="20"/>
        </w:rPr>
        <w:t>Incorporated State: Barbados</w:t>
      </w:r>
    </w:p>
    <w:p>
      <w:pPr>
        <w:pStyle w:val="TextBody"/>
        <w:bidi w:val="0"/>
        <w:jc w:val="left"/>
        <w:rPr>
          <w:rFonts w:ascii="Times New Roman" w:hAnsi="Times New Roman"/>
          <w:sz w:val="20"/>
        </w:rPr>
      </w:pPr>
      <w:r>
        <w:rPr>
          <w:rFonts w:ascii="Times New Roman" w:hAnsi="Times New Roman"/>
          <w:b/>
          <w:color w:val="000000"/>
          <w:sz w:val="20"/>
        </w:rPr>
        <w:t>UHSD, L.L.C.</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Incorporated State: Nevada </w:t>
      </w:r>
    </w:p>
    <w:p>
      <w:pPr>
        <w:pStyle w:val="TextBody"/>
        <w:bidi w:val="0"/>
        <w:jc w:val="left"/>
        <w:rPr>
          <w:rFonts w:ascii="Times New Roman" w:hAnsi="Times New Roman"/>
          <w:sz w:val="20"/>
        </w:rPr>
      </w:pPr>
      <w:r>
        <w:rPr>
          <w:rFonts w:ascii="Times New Roman" w:hAnsi="Times New Roman"/>
          <w:b/>
          <w:color w:val="000000"/>
          <w:sz w:val="20"/>
        </w:rPr>
        <w:t>UHSF, L.L.C.</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Incorporated State: Delaware </w:t>
      </w:r>
    </w:p>
    <w:p>
      <w:pPr>
        <w:pStyle w:val="TextBody"/>
        <w:bidi w:val="0"/>
        <w:jc w:val="left"/>
        <w:rPr>
          <w:rFonts w:ascii="Times New Roman" w:hAnsi="Times New Roman"/>
          <w:sz w:val="20"/>
        </w:rPr>
      </w:pPr>
      <w:r>
        <w:rPr>
          <w:rFonts w:ascii="Times New Roman" w:hAnsi="Times New Roman"/>
          <w:b/>
          <w:color w:val="000000"/>
          <w:sz w:val="20"/>
        </w:rPr>
        <w:t>UHSL, L.L.C.</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Incorporated State: Nevada </w:t>
      </w:r>
    </w:p>
    <w:p>
      <w:pPr>
        <w:pStyle w:val="TextBody"/>
        <w:bidi w:val="0"/>
        <w:jc w:val="left"/>
        <w:rPr>
          <w:rFonts w:ascii="Times New Roman" w:hAnsi="Times New Roman"/>
          <w:sz w:val="20"/>
        </w:rPr>
      </w:pPr>
      <w:r>
        <w:rPr>
          <w:rFonts w:ascii="Times New Roman" w:hAnsi="Times New Roman"/>
          <w:b/>
          <w:color w:val="000000"/>
          <w:sz w:val="20"/>
        </w:rPr>
        <w:t>UHS Receivables Corporation</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Incorporated State: Delaware </w:t>
      </w:r>
    </w:p>
    <w:p>
      <w:pPr>
        <w:pStyle w:val="TextBody"/>
        <w:bidi w:val="0"/>
        <w:jc w:val="left"/>
        <w:rPr>
          <w:rFonts w:ascii="Times New Roman" w:hAnsi="Times New Roman"/>
          <w:sz w:val="20"/>
        </w:rPr>
      </w:pPr>
      <w:r>
        <w:rPr>
          <w:rFonts w:ascii="Times New Roman" w:hAnsi="Times New Roman"/>
          <w:b/>
          <w:color w:val="000000"/>
          <w:sz w:val="20"/>
        </w:rPr>
        <w:t>UHS Recovery Foundation, Inc.</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Incorporated State: Pennsylvania </w:t>
      </w:r>
    </w:p>
    <w:p>
      <w:pPr>
        <w:pStyle w:val="TextBody"/>
        <w:bidi w:val="0"/>
        <w:jc w:val="left"/>
        <w:rPr>
          <w:rFonts w:ascii="Times New Roman" w:hAnsi="Times New Roman"/>
          <w:color w:val="000000"/>
          <w:sz w:val="20"/>
        </w:rPr>
      </w:pPr>
      <w:r>
        <w:rPr>
          <w:rFonts w:ascii="Times New Roman" w:hAnsi="Times New Roman"/>
          <w:color w:val="000000"/>
          <w:sz w:val="20"/>
        </w:rPr>
        <w:t>Business Name: Keystone Center</w:t>
      </w:r>
    </w:p>
    <w:p>
      <w:pPr>
        <w:pStyle w:val="TextBody"/>
        <w:bidi w:val="0"/>
        <w:jc w:val="left"/>
        <w:rPr>
          <w:rFonts w:ascii="Times New Roman" w:hAnsi="Times New Roman"/>
          <w:b/>
          <w:color w:val="000000"/>
          <w:sz w:val="20"/>
        </w:rPr>
      </w:pPr>
      <w:r>
        <w:rPr>
          <w:rFonts w:ascii="Times New Roman" w:hAnsi="Times New Roman"/>
          <w:b/>
          <w:color w:val="000000"/>
          <w:sz w:val="20"/>
        </w:rPr>
        <w:t>UHS Retail Pharmacy LLC</w:t>
      </w:r>
    </w:p>
    <w:p>
      <w:pPr>
        <w:pStyle w:val="TextBody"/>
        <w:bidi w:val="0"/>
        <w:jc w:val="left"/>
        <w:rPr>
          <w:rFonts w:ascii="Times New Roman" w:hAnsi="Times New Roman"/>
          <w:color w:val="000000"/>
          <w:sz w:val="20"/>
        </w:rPr>
      </w:pPr>
      <w:r>
        <w:rPr>
          <w:rFonts w:ascii="Times New Roman" w:hAnsi="Times New Roman"/>
          <w:color w:val="000000"/>
          <w:sz w:val="20"/>
        </w:rPr>
        <w:t xml:space="preserve">Incorporated State: Delaware </w:t>
      </w:r>
    </w:p>
    <w:p>
      <w:pPr>
        <w:pStyle w:val="TextBody"/>
        <w:bidi w:val="0"/>
        <w:jc w:val="left"/>
        <w:rPr>
          <w:rFonts w:ascii="Times New Roman" w:hAnsi="Times New Roman"/>
          <w:b/>
          <w:color w:val="000000"/>
          <w:sz w:val="20"/>
        </w:rPr>
      </w:pPr>
      <w:r>
        <w:rPr>
          <w:rFonts w:ascii="Times New Roman" w:hAnsi="Times New Roman"/>
          <w:b/>
          <w:color w:val="000000"/>
          <w:sz w:val="20"/>
        </w:rPr>
        <w:t>UHS S TX Investco, LLC</w:t>
      </w:r>
    </w:p>
    <w:p>
      <w:pPr>
        <w:pStyle w:val="TextBody"/>
        <w:bidi w:val="0"/>
        <w:jc w:val="left"/>
        <w:rPr>
          <w:rFonts w:ascii="Times New Roman" w:hAnsi="Times New Roman"/>
          <w:color w:val="000000"/>
          <w:sz w:val="20"/>
        </w:rPr>
      </w:pPr>
      <w:r>
        <w:rPr>
          <w:rFonts w:ascii="Times New Roman" w:hAnsi="Times New Roman"/>
          <w:color w:val="000000"/>
          <w:sz w:val="20"/>
        </w:rPr>
        <w:t>Incorporated State: Delaware</w:t>
      </w:r>
    </w:p>
    <w:p>
      <w:pPr>
        <w:pStyle w:val="TextBody"/>
        <w:bidi w:val="0"/>
        <w:jc w:val="left"/>
        <w:rPr>
          <w:rFonts w:ascii="Times New Roman" w:hAnsi="Times New Roman"/>
          <w:sz w:val="20"/>
        </w:rPr>
      </w:pPr>
      <w:r>
        <w:rPr>
          <w:rFonts w:ascii="Times New Roman" w:hAnsi="Times New Roman"/>
          <w:b/>
          <w:color w:val="000000"/>
          <w:sz w:val="20"/>
        </w:rPr>
        <w:t>UHS Sahara, Inc.</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Incorporated State: Delaware </w:t>
      </w:r>
    </w:p>
    <w:p>
      <w:pPr>
        <w:pStyle w:val="TextBody"/>
        <w:bidi w:val="0"/>
        <w:jc w:val="left"/>
        <w:rPr>
          <w:rFonts w:ascii="Times New Roman" w:hAnsi="Times New Roman"/>
          <w:b/>
          <w:color w:val="000000"/>
          <w:sz w:val="20"/>
        </w:rPr>
      </w:pPr>
      <w:r>
        <w:rPr>
          <w:rFonts w:ascii="Times New Roman" w:hAnsi="Times New Roman"/>
          <w:b/>
          <w:color w:val="000000"/>
          <w:sz w:val="20"/>
        </w:rPr>
        <w:t>UHS Southern California Medical Education Consortium, LLC</w:t>
      </w:r>
    </w:p>
    <w:p>
      <w:pPr>
        <w:pStyle w:val="TextBody"/>
        <w:bidi w:val="0"/>
        <w:jc w:val="left"/>
        <w:rPr>
          <w:rFonts w:ascii="Times New Roman" w:hAnsi="Times New Roman"/>
          <w:color w:val="000000"/>
          <w:sz w:val="20"/>
        </w:rPr>
      </w:pPr>
      <w:r>
        <w:rPr>
          <w:rFonts w:ascii="Times New Roman" w:hAnsi="Times New Roman"/>
          <w:color w:val="000000"/>
          <w:sz w:val="20"/>
        </w:rPr>
        <w:t>Incorporated State: Delaware</w:t>
      </w:r>
    </w:p>
    <w:p>
      <w:pPr>
        <w:pStyle w:val="TextBody"/>
        <w:bidi w:val="0"/>
        <w:jc w:val="left"/>
        <w:rPr>
          <w:rFonts w:ascii="Times New Roman" w:hAnsi="Times New Roman"/>
          <w:b/>
          <w:color w:val="000000"/>
          <w:sz w:val="20"/>
        </w:rPr>
      </w:pPr>
      <w:r>
        <w:rPr>
          <w:rFonts w:ascii="Times New Roman" w:hAnsi="Times New Roman"/>
          <w:b/>
          <w:color w:val="000000"/>
          <w:sz w:val="20"/>
        </w:rPr>
        <w:t>UHS Sub III, LLC</w:t>
      </w:r>
    </w:p>
    <w:p>
      <w:pPr>
        <w:pStyle w:val="TextBody"/>
        <w:bidi w:val="0"/>
        <w:jc w:val="left"/>
        <w:rPr>
          <w:rFonts w:ascii="Times New Roman" w:hAnsi="Times New Roman"/>
          <w:color w:val="000000"/>
          <w:sz w:val="20"/>
        </w:rPr>
      </w:pPr>
      <w:r>
        <w:rPr>
          <w:rFonts w:ascii="Times New Roman" w:hAnsi="Times New Roman"/>
          <w:color w:val="000000"/>
          <w:sz w:val="20"/>
        </w:rPr>
        <w:t xml:space="preserve">Incorporated State: Delaware </w:t>
      </w:r>
    </w:p>
    <w:p>
      <w:pPr>
        <w:pStyle w:val="TextBody"/>
        <w:bidi w:val="0"/>
        <w:jc w:val="left"/>
        <w:rPr>
          <w:rFonts w:ascii="Times New Roman" w:hAnsi="Times New Roman"/>
          <w:sz w:val="20"/>
        </w:rPr>
      </w:pPr>
      <w:r>
        <w:rPr>
          <w:rFonts w:ascii="Times New Roman" w:hAnsi="Times New Roman"/>
          <w:b/>
          <w:color w:val="000000"/>
          <w:sz w:val="20"/>
        </w:rPr>
        <w:t>UHS Surgical Hospital of Texoma, LLC</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Incorporated State: Texas </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b/>
          <w:color w:val="000000"/>
          <w:sz w:val="20"/>
        </w:rPr>
      </w:pPr>
      <w:r>
        <w:rPr>
          <w:rFonts w:ascii="Times New Roman" w:hAnsi="Times New Roman"/>
          <w:b/>
          <w:color w:val="000000"/>
          <w:sz w:val="20"/>
        </w:rPr>
        <w:t>UHS TeleHealth LLC</w:t>
      </w:r>
    </w:p>
    <w:p>
      <w:pPr>
        <w:pStyle w:val="TextBody"/>
        <w:bidi w:val="0"/>
        <w:jc w:val="left"/>
        <w:rPr>
          <w:rFonts w:ascii="Times New Roman" w:hAnsi="Times New Roman"/>
          <w:color w:val="000000"/>
          <w:sz w:val="20"/>
        </w:rPr>
      </w:pPr>
      <w:r>
        <w:rPr>
          <w:rFonts w:ascii="Times New Roman" w:hAnsi="Times New Roman"/>
          <w:color w:val="000000"/>
          <w:sz w:val="20"/>
        </w:rPr>
        <w:t>Incorporated State: Delaware</w:t>
      </w:r>
    </w:p>
    <w:p>
      <w:pPr>
        <w:pStyle w:val="TextBody"/>
        <w:bidi w:val="0"/>
        <w:jc w:val="left"/>
        <w:rPr>
          <w:rFonts w:ascii="Times New Roman" w:hAnsi="Times New Roman"/>
          <w:b/>
          <w:color w:val="000000"/>
          <w:sz w:val="20"/>
        </w:rPr>
      </w:pPr>
      <w:r>
        <w:rPr>
          <w:rFonts w:ascii="Times New Roman" w:hAnsi="Times New Roman"/>
          <w:b/>
          <w:color w:val="000000"/>
          <w:sz w:val="20"/>
        </w:rPr>
        <w:t>UHS Telehealth Product, LLC</w:t>
      </w:r>
    </w:p>
    <w:p>
      <w:pPr>
        <w:pStyle w:val="TextBody"/>
        <w:bidi w:val="0"/>
        <w:jc w:val="left"/>
        <w:rPr>
          <w:rFonts w:ascii="Times New Roman" w:hAnsi="Times New Roman"/>
          <w:color w:val="000000"/>
          <w:sz w:val="20"/>
        </w:rPr>
      </w:pPr>
      <w:r>
        <w:rPr>
          <w:rFonts w:ascii="Times New Roman" w:hAnsi="Times New Roman"/>
          <w:color w:val="000000"/>
          <w:sz w:val="20"/>
        </w:rPr>
        <w:t>Incorporated State: Delaware</w:t>
      </w:r>
    </w:p>
    <w:p>
      <w:pPr>
        <w:pStyle w:val="TextBody"/>
        <w:bidi w:val="0"/>
        <w:jc w:val="left"/>
        <w:rPr>
          <w:rFonts w:ascii="Times New Roman" w:hAnsi="Times New Roman"/>
          <w:b/>
          <w:color w:val="000000"/>
          <w:sz w:val="20"/>
        </w:rPr>
      </w:pPr>
      <w:r>
        <w:rPr>
          <w:rFonts w:ascii="Times New Roman" w:hAnsi="Times New Roman"/>
          <w:b/>
          <w:color w:val="000000"/>
          <w:sz w:val="20"/>
        </w:rPr>
        <w:t>UHS THP Holdings, LLC</w:t>
      </w:r>
    </w:p>
    <w:p>
      <w:pPr>
        <w:pStyle w:val="TextBody"/>
        <w:bidi w:val="0"/>
        <w:jc w:val="left"/>
        <w:rPr>
          <w:rFonts w:ascii="Times New Roman" w:hAnsi="Times New Roman"/>
          <w:color w:val="000000"/>
          <w:sz w:val="20"/>
        </w:rPr>
      </w:pPr>
      <w:r>
        <w:rPr>
          <w:rFonts w:ascii="Times New Roman" w:hAnsi="Times New Roman"/>
          <w:color w:val="000000"/>
          <w:sz w:val="20"/>
        </w:rPr>
        <w:t>Incorporated State: Texas</w:t>
      </w:r>
    </w:p>
    <w:p>
      <w:pPr>
        <w:pStyle w:val="TextBody"/>
        <w:bidi w:val="0"/>
        <w:jc w:val="left"/>
        <w:rPr>
          <w:rFonts w:ascii="Times New Roman" w:hAnsi="Times New Roman"/>
          <w:b/>
          <w:color w:val="000000"/>
          <w:sz w:val="20"/>
        </w:rPr>
      </w:pPr>
      <w:r>
        <w:rPr>
          <w:rFonts w:ascii="Times New Roman" w:hAnsi="Times New Roman"/>
          <w:b/>
          <w:color w:val="000000"/>
          <w:sz w:val="20"/>
        </w:rPr>
        <w:t>UK Acquisitions No.6 Limited</w:t>
      </w:r>
    </w:p>
    <w:p>
      <w:pPr>
        <w:pStyle w:val="TextBody"/>
        <w:bidi w:val="0"/>
        <w:jc w:val="left"/>
        <w:rPr>
          <w:rFonts w:ascii="Times New Roman" w:hAnsi="Times New Roman"/>
          <w:color w:val="000000"/>
          <w:sz w:val="20"/>
        </w:rPr>
      </w:pPr>
      <w:r>
        <w:rPr>
          <w:rFonts w:ascii="Times New Roman" w:hAnsi="Times New Roman"/>
          <w:color w:val="000000"/>
          <w:sz w:val="20"/>
        </w:rPr>
        <w:t>Incorporated State: United Kingdom</w:t>
      </w:r>
    </w:p>
    <w:p>
      <w:pPr>
        <w:pStyle w:val="TextBody"/>
        <w:bidi w:val="0"/>
        <w:jc w:val="left"/>
        <w:rPr>
          <w:rFonts w:ascii="Times New Roman" w:hAnsi="Times New Roman"/>
          <w:sz w:val="20"/>
        </w:rPr>
      </w:pPr>
      <w:r>
        <w:rPr>
          <w:rFonts w:ascii="Times New Roman" w:hAnsi="Times New Roman"/>
          <w:b/>
          <w:color w:val="000000"/>
          <w:sz w:val="20"/>
        </w:rPr>
        <w:t>United HealthCare of Hardin, Inc.</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Incorporated State: Tennessee </w:t>
      </w:r>
    </w:p>
    <w:p>
      <w:pPr>
        <w:pStyle w:val="TextBody"/>
        <w:bidi w:val="0"/>
        <w:jc w:val="left"/>
        <w:rPr>
          <w:rFonts w:ascii="Times New Roman" w:hAnsi="Times New Roman"/>
          <w:color w:val="000000"/>
          <w:sz w:val="20"/>
        </w:rPr>
      </w:pPr>
      <w:r>
        <w:rPr>
          <w:rFonts w:ascii="Times New Roman" w:hAnsi="Times New Roman"/>
          <w:color w:val="000000"/>
          <w:sz w:val="20"/>
        </w:rPr>
        <w:t xml:space="preserve">Business Name: Lincoln Trail Behavioral Health System </w:t>
      </w:r>
    </w:p>
    <w:p>
      <w:pPr>
        <w:pStyle w:val="TextBody"/>
        <w:bidi w:val="0"/>
        <w:jc w:val="left"/>
        <w:rPr>
          <w:rFonts w:ascii="Times New Roman" w:hAnsi="Times New Roman"/>
          <w:sz w:val="20"/>
        </w:rPr>
      </w:pPr>
      <w:r>
        <w:rPr>
          <w:rFonts w:ascii="Times New Roman" w:hAnsi="Times New Roman"/>
          <w:b/>
          <w:color w:val="000000"/>
          <w:sz w:val="20"/>
        </w:rPr>
        <w:t>Universal Community Behavioral Health, Inc.</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Incorporated State: Pennsylvania </w:t>
      </w:r>
    </w:p>
    <w:p>
      <w:pPr>
        <w:pStyle w:val="TextBody"/>
        <w:bidi w:val="0"/>
        <w:jc w:val="left"/>
        <w:rPr>
          <w:rFonts w:ascii="Times New Roman" w:hAnsi="Times New Roman"/>
          <w:sz w:val="20"/>
        </w:rPr>
      </w:pPr>
      <w:r>
        <w:rPr>
          <w:rFonts w:ascii="Times New Roman" w:hAnsi="Times New Roman"/>
          <w:b/>
          <w:color w:val="000000"/>
          <w:sz w:val="20"/>
        </w:rPr>
        <w:t>Universal HMO, Inc.</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Incorporated State: Nevada </w:t>
      </w:r>
    </w:p>
    <w:p>
      <w:pPr>
        <w:pStyle w:val="TextBody"/>
        <w:bidi w:val="0"/>
        <w:jc w:val="left"/>
        <w:rPr>
          <w:rFonts w:ascii="Times New Roman" w:hAnsi="Times New Roman"/>
          <w:sz w:val="20"/>
        </w:rPr>
      </w:pPr>
      <w:r>
        <w:rPr>
          <w:rFonts w:ascii="Times New Roman" w:hAnsi="Times New Roman"/>
          <w:b/>
          <w:color w:val="000000"/>
          <w:sz w:val="20"/>
        </w:rPr>
        <w:t>Universal Health Finance, L.L.C.</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Incorporated State: Delaware </w:t>
      </w:r>
    </w:p>
    <w:p>
      <w:pPr>
        <w:pStyle w:val="TextBody"/>
        <w:bidi w:val="0"/>
        <w:jc w:val="left"/>
        <w:rPr>
          <w:rFonts w:ascii="Times New Roman" w:hAnsi="Times New Roman"/>
          <w:sz w:val="20"/>
        </w:rPr>
      </w:pPr>
      <w:r>
        <w:rPr>
          <w:rFonts w:ascii="Times New Roman" w:hAnsi="Times New Roman"/>
          <w:b/>
          <w:color w:val="000000"/>
          <w:sz w:val="20"/>
        </w:rPr>
        <w:t>Universal Health Network, Inc.</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Incorporated State: Nevada </w:t>
      </w:r>
    </w:p>
    <w:p>
      <w:pPr>
        <w:pStyle w:val="TextBody"/>
        <w:bidi w:val="0"/>
        <w:jc w:val="left"/>
        <w:rPr>
          <w:rFonts w:ascii="Times New Roman" w:hAnsi="Times New Roman"/>
          <w:sz w:val="20"/>
        </w:rPr>
      </w:pPr>
      <w:r>
        <w:rPr>
          <w:rFonts w:ascii="Times New Roman" w:hAnsi="Times New Roman"/>
          <w:b/>
          <w:color w:val="000000"/>
          <w:sz w:val="20"/>
        </w:rPr>
        <w:t>Universal Health Recovery Centers, Inc.</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Incorporated State: Pennsylvania </w:t>
      </w:r>
    </w:p>
    <w:p>
      <w:pPr>
        <w:pStyle w:val="TextBody"/>
        <w:bidi w:val="0"/>
        <w:jc w:val="left"/>
        <w:rPr>
          <w:rFonts w:ascii="Times New Roman" w:hAnsi="Times New Roman"/>
          <w:sz w:val="20"/>
        </w:rPr>
      </w:pPr>
      <w:r>
        <w:rPr>
          <w:rFonts w:ascii="Times New Roman" w:hAnsi="Times New Roman"/>
          <w:b/>
          <w:color w:val="000000"/>
          <w:sz w:val="20"/>
        </w:rPr>
        <w:t>Universal Health Services Foundation</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Incorporated State: Pennsylvania </w:t>
      </w:r>
    </w:p>
    <w:p>
      <w:pPr>
        <w:pStyle w:val="TextBody"/>
        <w:bidi w:val="0"/>
        <w:jc w:val="left"/>
        <w:rPr>
          <w:rFonts w:ascii="Times New Roman" w:hAnsi="Times New Roman"/>
          <w:sz w:val="20"/>
        </w:rPr>
      </w:pPr>
      <w:r>
        <w:rPr>
          <w:rFonts w:ascii="Times New Roman" w:hAnsi="Times New Roman"/>
          <w:b/>
          <w:color w:val="000000"/>
          <w:sz w:val="20"/>
        </w:rPr>
        <w:t>Universal Health Services of Cedar Hill, Inc.</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Incorporated State: Texas </w:t>
      </w:r>
    </w:p>
    <w:p>
      <w:pPr>
        <w:pStyle w:val="TextBody"/>
        <w:bidi w:val="0"/>
        <w:jc w:val="left"/>
        <w:rPr>
          <w:rFonts w:ascii="Times New Roman" w:hAnsi="Times New Roman"/>
          <w:sz w:val="20"/>
        </w:rPr>
      </w:pPr>
      <w:r>
        <w:rPr>
          <w:rFonts w:ascii="Times New Roman" w:hAnsi="Times New Roman"/>
          <w:b/>
          <w:color w:val="000000"/>
          <w:sz w:val="20"/>
        </w:rPr>
        <w:t>Universal Health Services of Palmdale, Inc.</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Incorporated State: Delaware </w:t>
      </w:r>
    </w:p>
    <w:p>
      <w:pPr>
        <w:pStyle w:val="TextBody"/>
        <w:bidi w:val="0"/>
        <w:jc w:val="left"/>
        <w:rPr>
          <w:rFonts w:ascii="Times New Roman" w:hAnsi="Times New Roman"/>
          <w:sz w:val="20"/>
        </w:rPr>
      </w:pPr>
      <w:r>
        <w:rPr>
          <w:rFonts w:ascii="Times New Roman" w:hAnsi="Times New Roman"/>
          <w:b/>
          <w:color w:val="000000"/>
          <w:sz w:val="20"/>
        </w:rPr>
        <w:t>Universal Health Services of Rancho Springs, Inc.</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Incorporated State: California </w:t>
      </w:r>
    </w:p>
    <w:p>
      <w:pPr>
        <w:pStyle w:val="TextBody"/>
        <w:bidi w:val="0"/>
        <w:jc w:val="left"/>
        <w:rPr>
          <w:rFonts w:ascii="Times New Roman" w:hAnsi="Times New Roman"/>
          <w:color w:val="000000"/>
          <w:sz w:val="20"/>
        </w:rPr>
      </w:pPr>
      <w:r>
        <w:rPr>
          <w:rFonts w:ascii="Times New Roman" w:hAnsi="Times New Roman"/>
          <w:color w:val="000000"/>
          <w:sz w:val="20"/>
        </w:rPr>
        <w:t>Business Name: Southwest Healthcare Inland Valley Hospital and Southwest Healthcare Rancho Springs Hospital</w:t>
      </w:r>
    </w:p>
    <w:p>
      <w:pPr>
        <w:pStyle w:val="TextBody"/>
        <w:bidi w:val="0"/>
        <w:jc w:val="left"/>
        <w:rPr>
          <w:rFonts w:ascii="Times New Roman" w:hAnsi="Times New Roman"/>
          <w:sz w:val="20"/>
        </w:rPr>
      </w:pPr>
      <w:r>
        <w:rPr>
          <w:rFonts w:ascii="Times New Roman" w:hAnsi="Times New Roman"/>
          <w:b/>
          <w:color w:val="000000"/>
          <w:sz w:val="20"/>
        </w:rPr>
        <w:t>Universal Treatment Centers, Inc.</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Incorporated State: Delaware </w:t>
      </w:r>
    </w:p>
    <w:p>
      <w:pPr>
        <w:pStyle w:val="TextBody"/>
        <w:bidi w:val="0"/>
        <w:jc w:val="left"/>
        <w:rPr>
          <w:rFonts w:ascii="Times New Roman" w:hAnsi="Times New Roman"/>
          <w:sz w:val="20"/>
        </w:rPr>
      </w:pPr>
      <w:r>
        <w:rPr>
          <w:rFonts w:ascii="Times New Roman" w:hAnsi="Times New Roman"/>
          <w:b/>
          <w:color w:val="000000"/>
          <w:sz w:val="20"/>
        </w:rPr>
        <w:t>University Behavioral Health of El Paso, LLC</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Incorporated State: Delaware </w:t>
      </w:r>
    </w:p>
    <w:p>
      <w:pPr>
        <w:pStyle w:val="TextBody"/>
        <w:bidi w:val="0"/>
        <w:jc w:val="left"/>
        <w:rPr>
          <w:rFonts w:ascii="Times New Roman" w:hAnsi="Times New Roman"/>
          <w:color w:val="000000"/>
          <w:sz w:val="20"/>
        </w:rPr>
      </w:pPr>
      <w:r>
        <w:rPr>
          <w:rFonts w:ascii="Times New Roman" w:hAnsi="Times New Roman"/>
          <w:color w:val="000000"/>
          <w:sz w:val="20"/>
        </w:rPr>
        <w:t xml:space="preserve">Business Name: El Paso Behavioral Health System </w:t>
      </w:r>
    </w:p>
    <w:p>
      <w:pPr>
        <w:pStyle w:val="TextBody"/>
        <w:bidi w:val="0"/>
        <w:jc w:val="left"/>
        <w:rPr>
          <w:rFonts w:ascii="Times New Roman" w:hAnsi="Times New Roman"/>
          <w:sz w:val="20"/>
        </w:rPr>
      </w:pPr>
      <w:r>
        <w:rPr>
          <w:rFonts w:ascii="Times New Roman" w:hAnsi="Times New Roman"/>
          <w:b/>
          <w:color w:val="000000"/>
          <w:sz w:val="20"/>
        </w:rPr>
        <w:t>University Behavioral, LLC</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Incorporated State: Florida </w:t>
      </w:r>
    </w:p>
    <w:p>
      <w:pPr>
        <w:pStyle w:val="TextBody"/>
        <w:bidi w:val="0"/>
        <w:jc w:val="left"/>
        <w:rPr>
          <w:rFonts w:ascii="Times New Roman" w:hAnsi="Times New Roman"/>
          <w:color w:val="000000"/>
          <w:sz w:val="20"/>
        </w:rPr>
      </w:pPr>
      <w:r>
        <w:rPr>
          <w:rFonts w:ascii="Times New Roman" w:hAnsi="Times New Roman"/>
          <w:color w:val="000000"/>
          <w:sz w:val="20"/>
        </w:rPr>
        <w:t xml:space="preserve">Business Name: University Behavioral Center </w:t>
      </w:r>
    </w:p>
    <w:p>
      <w:pPr>
        <w:pStyle w:val="TextBody"/>
        <w:bidi w:val="0"/>
        <w:jc w:val="left"/>
        <w:rPr>
          <w:rFonts w:ascii="Times New Roman" w:hAnsi="Times New Roman"/>
          <w:sz w:val="20"/>
        </w:rPr>
      </w:pPr>
      <w:r>
        <w:rPr>
          <w:rFonts w:ascii="Times New Roman" w:hAnsi="Times New Roman"/>
          <w:b/>
          <w:color w:val="000000"/>
          <w:sz w:val="20"/>
        </w:rPr>
        <w:t>Valle Vista Hospital Partners, LLC</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Incorporated State: Tennessee </w:t>
      </w:r>
    </w:p>
    <w:p>
      <w:pPr>
        <w:pStyle w:val="TextBody"/>
        <w:bidi w:val="0"/>
        <w:jc w:val="left"/>
        <w:rPr>
          <w:rFonts w:ascii="Times New Roman" w:hAnsi="Times New Roman"/>
          <w:sz w:val="20"/>
        </w:rPr>
      </w:pPr>
      <w:r>
        <w:rPr>
          <w:rFonts w:ascii="Times New Roman" w:hAnsi="Times New Roman"/>
          <w:b/>
          <w:color w:val="000000"/>
          <w:sz w:val="20"/>
        </w:rPr>
        <w:t>Valle Vista, LLC</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Incorporated State: Delaware </w:t>
      </w:r>
    </w:p>
    <w:p>
      <w:pPr>
        <w:pStyle w:val="TextBody"/>
        <w:bidi w:val="0"/>
        <w:jc w:val="left"/>
        <w:rPr>
          <w:rFonts w:ascii="Times New Roman" w:hAnsi="Times New Roman"/>
          <w:color w:val="000000"/>
          <w:sz w:val="20"/>
        </w:rPr>
      </w:pPr>
      <w:r>
        <w:rPr>
          <w:rFonts w:ascii="Times New Roman" w:hAnsi="Times New Roman"/>
          <w:color w:val="000000"/>
          <w:sz w:val="20"/>
        </w:rPr>
        <w:t>Business Name: Valle Vista Health System, New Vista North Outpatient Recovery Center and New Vista Outpatient Recovery Center</w:t>
      </w:r>
    </w:p>
    <w:p>
      <w:pPr>
        <w:pStyle w:val="TextBody"/>
        <w:bidi w:val="0"/>
        <w:jc w:val="left"/>
        <w:rPr>
          <w:rFonts w:ascii="Times New Roman" w:hAnsi="Times New Roman"/>
          <w:sz w:val="20"/>
        </w:rPr>
      </w:pPr>
      <w:r>
        <w:rPr>
          <w:rFonts w:ascii="Times New Roman" w:hAnsi="Times New Roman"/>
          <w:b/>
          <w:color w:val="000000"/>
          <w:sz w:val="20"/>
        </w:rPr>
        <w:t>Valley Health System LLC</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Incorporated State: Delaware </w:t>
      </w:r>
    </w:p>
    <w:p>
      <w:pPr>
        <w:pStyle w:val="TextBody"/>
        <w:bidi w:val="0"/>
        <w:jc w:val="left"/>
        <w:rPr>
          <w:rFonts w:ascii="Times New Roman" w:hAnsi="Times New Roman"/>
          <w:color w:val="000000"/>
          <w:sz w:val="20"/>
        </w:rPr>
      </w:pPr>
      <w:r>
        <w:rPr>
          <w:rFonts w:ascii="Times New Roman" w:hAnsi="Times New Roman"/>
          <w:color w:val="000000"/>
          <w:sz w:val="20"/>
        </w:rPr>
        <w:t>Business Names: Centennial Hills Hospital Medical Center, ER at Desert Springs, an Extension of Valley Hospital, Henderson Hospital, Spring Valley Hospital Medical Center and Valley Hospital Medical Center, ER at Green Valley Ranch, an Extension of Henderson Hospital, ER at Blue Diamond, an Extension of Spring Valley Hospital Elite Medical Center, an Extension of Valley Hospital and ER at Valley Vista, an Extension of Centennial Hills Hospital; ER at West Craig, an Extension of Centennial Hills Hospital, ER at North Las Vegas, an Extension of Valley Hospital, Valley Health Specialty Hospital, an Extension of Spring Valley Hospital, ER at Cadence, an Extension of Henderson Hospital, Spring Mountain Sahara, an Extension of Spring Valley Hospital and Spring Mountain Treatment Center, an Extension of Spring Valley Hospital</w:t>
      </w:r>
    </w:p>
    <w:p>
      <w:pPr>
        <w:pStyle w:val="TextBody"/>
        <w:bidi w:val="0"/>
        <w:jc w:val="left"/>
        <w:rPr>
          <w:rFonts w:ascii="Times New Roman" w:hAnsi="Times New Roman"/>
          <w:sz w:val="20"/>
        </w:rPr>
      </w:pPr>
      <w:r>
        <w:rPr>
          <w:rFonts w:ascii="Times New Roman" w:hAnsi="Times New Roman"/>
          <w:b/>
          <w:color w:val="000000"/>
          <w:sz w:val="20"/>
        </w:rPr>
        <w:t>Valley Health System Receivables, L.L.C.</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Incorporated State: Delaware </w:t>
      </w:r>
    </w:p>
    <w:p>
      <w:pPr>
        <w:pStyle w:val="TextBody"/>
        <w:bidi w:val="0"/>
        <w:jc w:val="left"/>
        <w:rPr>
          <w:rFonts w:ascii="Times New Roman" w:hAnsi="Times New Roman"/>
          <w:sz w:val="20"/>
        </w:rPr>
      </w:pPr>
      <w:r>
        <w:rPr>
          <w:rFonts w:ascii="Times New Roman" w:hAnsi="Times New Roman"/>
          <w:b/>
          <w:color w:val="000000"/>
          <w:sz w:val="20"/>
        </w:rPr>
        <w:t>Valley Hospital Medical Center, Inc.</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Incorporated State: Nevada </w:t>
      </w:r>
    </w:p>
    <w:p>
      <w:pPr>
        <w:pStyle w:val="TextBody"/>
        <w:bidi w:val="0"/>
        <w:jc w:val="left"/>
        <w:rPr>
          <w:rFonts w:ascii="Times New Roman" w:hAnsi="Times New Roman"/>
          <w:sz w:val="20"/>
        </w:rPr>
      </w:pPr>
      <w:r>
        <w:rPr>
          <w:rFonts w:ascii="Times New Roman" w:hAnsi="Times New Roman"/>
          <w:b/>
          <w:color w:val="000000"/>
          <w:sz w:val="20"/>
        </w:rPr>
        <w:t>Valley Surgery Center, L.P.</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Incorporated State: Delaware </w:t>
      </w:r>
    </w:p>
    <w:p>
      <w:pPr>
        <w:pStyle w:val="TextBody"/>
        <w:bidi w:val="0"/>
        <w:jc w:val="left"/>
        <w:rPr>
          <w:rFonts w:ascii="Times New Roman" w:hAnsi="Times New Roman"/>
          <w:b/>
          <w:color w:val="000000"/>
          <w:sz w:val="20"/>
        </w:rPr>
      </w:pPr>
      <w:r>
        <w:rPr>
          <w:rFonts w:ascii="Times New Roman" w:hAnsi="Times New Roman"/>
          <w:b/>
          <w:color w:val="000000"/>
          <w:sz w:val="20"/>
        </w:rPr>
        <w:t>VHS ACO Holdings, LLC</w:t>
      </w:r>
    </w:p>
    <w:p>
      <w:pPr>
        <w:pStyle w:val="TextBody"/>
        <w:bidi w:val="0"/>
        <w:jc w:val="left"/>
        <w:rPr>
          <w:rFonts w:ascii="Times New Roman" w:hAnsi="Times New Roman"/>
          <w:color w:val="000000"/>
          <w:sz w:val="20"/>
        </w:rPr>
      </w:pPr>
      <w:r>
        <w:rPr>
          <w:rFonts w:ascii="Times New Roman" w:hAnsi="Times New Roman"/>
          <w:color w:val="000000"/>
          <w:sz w:val="20"/>
        </w:rPr>
        <w:t>Incorporated State: Delaware</w:t>
      </w:r>
    </w:p>
    <w:p>
      <w:pPr>
        <w:pStyle w:val="TextBody"/>
        <w:bidi w:val="0"/>
        <w:jc w:val="left"/>
        <w:rPr>
          <w:rFonts w:ascii="Times New Roman" w:hAnsi="Times New Roman"/>
          <w:b/>
          <w:color w:val="000000"/>
          <w:sz w:val="20"/>
        </w:rPr>
      </w:pPr>
      <w:r>
        <w:rPr>
          <w:rFonts w:ascii="Times New Roman" w:hAnsi="Times New Roman"/>
          <w:b/>
          <w:color w:val="000000"/>
          <w:sz w:val="20"/>
        </w:rPr>
        <w:t>VHS Primary Care Network, LLC</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color w:val="000000"/>
          <w:sz w:val="20"/>
        </w:rPr>
      </w:pPr>
      <w:r>
        <w:rPr>
          <w:rFonts w:ascii="Times New Roman" w:hAnsi="Times New Roman"/>
          <w:color w:val="000000"/>
          <w:sz w:val="20"/>
        </w:rPr>
        <w:t>Incorporated State: Delaware</w:t>
      </w:r>
    </w:p>
    <w:p>
      <w:pPr>
        <w:pStyle w:val="TextBody"/>
        <w:bidi w:val="0"/>
        <w:jc w:val="left"/>
        <w:rPr>
          <w:rFonts w:ascii="Times New Roman" w:hAnsi="Times New Roman"/>
          <w:sz w:val="20"/>
        </w:rPr>
      </w:pPr>
      <w:r>
        <w:rPr>
          <w:rFonts w:ascii="Times New Roman" w:hAnsi="Times New Roman"/>
          <w:b/>
          <w:color w:val="000000"/>
          <w:sz w:val="20"/>
        </w:rPr>
        <w:t>Virgin Islands Behavioral Services, Inc.</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Incorporated State: Virginia </w:t>
      </w:r>
    </w:p>
    <w:p>
      <w:pPr>
        <w:pStyle w:val="TextBody"/>
        <w:bidi w:val="0"/>
        <w:jc w:val="left"/>
        <w:rPr>
          <w:rFonts w:ascii="Times New Roman" w:hAnsi="Times New Roman"/>
          <w:b/>
          <w:color w:val="000000"/>
          <w:sz w:val="20"/>
        </w:rPr>
      </w:pPr>
      <w:r>
        <w:rPr>
          <w:rFonts w:ascii="Times New Roman" w:hAnsi="Times New Roman"/>
          <w:b/>
          <w:color w:val="000000"/>
          <w:sz w:val="20"/>
        </w:rPr>
        <w:t>Vista Clinical Partners, LLC</w:t>
      </w:r>
    </w:p>
    <w:p>
      <w:pPr>
        <w:pStyle w:val="TextBody"/>
        <w:bidi w:val="0"/>
        <w:jc w:val="left"/>
        <w:rPr>
          <w:rFonts w:ascii="Times New Roman" w:hAnsi="Times New Roman"/>
          <w:color w:val="000000"/>
          <w:sz w:val="20"/>
        </w:rPr>
      </w:pPr>
      <w:r>
        <w:rPr>
          <w:rFonts w:ascii="Times New Roman" w:hAnsi="Times New Roman"/>
          <w:color w:val="000000"/>
          <w:sz w:val="20"/>
        </w:rPr>
        <w:t>Incorporated State: Texas</w:t>
      </w:r>
    </w:p>
    <w:p>
      <w:pPr>
        <w:pStyle w:val="TextBody"/>
        <w:bidi w:val="0"/>
        <w:jc w:val="left"/>
        <w:rPr>
          <w:rFonts w:ascii="Times New Roman" w:hAnsi="Times New Roman"/>
          <w:sz w:val="20"/>
        </w:rPr>
      </w:pPr>
      <w:r>
        <w:rPr>
          <w:rFonts w:ascii="Times New Roman" w:hAnsi="Times New Roman"/>
          <w:b/>
          <w:color w:val="000000"/>
          <w:sz w:val="20"/>
        </w:rPr>
        <w:t>Vista Diagnostic Center, L.L.C.</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Incorporated State: Nevada </w:t>
      </w:r>
    </w:p>
    <w:p>
      <w:pPr>
        <w:pStyle w:val="TextBody"/>
        <w:bidi w:val="0"/>
        <w:jc w:val="left"/>
        <w:rPr>
          <w:rFonts w:ascii="Times New Roman" w:hAnsi="Times New Roman"/>
          <w:sz w:val="20"/>
        </w:rPr>
      </w:pPr>
      <w:r>
        <w:rPr>
          <w:rFonts w:ascii="Times New Roman" w:hAnsi="Times New Roman"/>
          <w:b/>
          <w:color w:val="000000"/>
          <w:sz w:val="20"/>
        </w:rPr>
        <w:t>Wekiva Springs Center, LLC</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Incorporated State: Delaware </w:t>
      </w:r>
    </w:p>
    <w:p>
      <w:pPr>
        <w:pStyle w:val="TextBody"/>
        <w:bidi w:val="0"/>
        <w:jc w:val="left"/>
        <w:rPr>
          <w:rFonts w:ascii="Times New Roman" w:hAnsi="Times New Roman"/>
          <w:color w:val="000000"/>
          <w:sz w:val="20"/>
        </w:rPr>
      </w:pPr>
      <w:r>
        <w:rPr>
          <w:rFonts w:ascii="Times New Roman" w:hAnsi="Times New Roman"/>
          <w:color w:val="000000"/>
          <w:sz w:val="20"/>
        </w:rPr>
        <w:t xml:space="preserve">Business Name: Wekiva Springs Center </w:t>
      </w:r>
    </w:p>
    <w:p>
      <w:pPr>
        <w:pStyle w:val="TextBody"/>
        <w:bidi w:val="0"/>
        <w:jc w:val="left"/>
        <w:rPr>
          <w:rFonts w:ascii="Times New Roman" w:hAnsi="Times New Roman"/>
          <w:sz w:val="20"/>
        </w:rPr>
      </w:pPr>
      <w:r>
        <w:rPr>
          <w:rFonts w:ascii="Times New Roman" w:hAnsi="Times New Roman"/>
          <w:b/>
          <w:color w:val="000000"/>
          <w:sz w:val="20"/>
        </w:rPr>
        <w:t>Wellington Physician Alliances, Inc.</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Incorporation State: Florida </w:t>
      </w:r>
    </w:p>
    <w:p>
      <w:pPr>
        <w:pStyle w:val="TextBody"/>
        <w:bidi w:val="0"/>
        <w:jc w:val="left"/>
        <w:rPr>
          <w:rFonts w:ascii="Times New Roman" w:hAnsi="Times New Roman"/>
          <w:sz w:val="20"/>
        </w:rPr>
      </w:pPr>
      <w:r>
        <w:rPr>
          <w:rFonts w:ascii="Times New Roman" w:hAnsi="Times New Roman"/>
          <w:b/>
          <w:color w:val="000000"/>
          <w:sz w:val="20"/>
        </w:rPr>
        <w:t>Wellington Regional Health &amp; Education Foundation, Inc.</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Incorporated State: Florida </w:t>
      </w:r>
    </w:p>
    <w:p>
      <w:pPr>
        <w:pStyle w:val="TextBody"/>
        <w:bidi w:val="0"/>
        <w:jc w:val="left"/>
        <w:rPr>
          <w:rFonts w:ascii="Times New Roman" w:hAnsi="Times New Roman"/>
          <w:b/>
          <w:color w:val="000000"/>
          <w:sz w:val="20"/>
        </w:rPr>
      </w:pPr>
      <w:r>
        <w:rPr>
          <w:rFonts w:ascii="Times New Roman" w:hAnsi="Times New Roman"/>
          <w:b/>
          <w:color w:val="000000"/>
          <w:sz w:val="20"/>
        </w:rPr>
        <w:t>Wellington Regional Medical Center, LLC</w:t>
      </w:r>
    </w:p>
    <w:p>
      <w:pPr>
        <w:pStyle w:val="TextBody"/>
        <w:bidi w:val="0"/>
        <w:jc w:val="left"/>
        <w:rPr>
          <w:rFonts w:ascii="Times New Roman" w:hAnsi="Times New Roman"/>
          <w:color w:val="000000"/>
          <w:sz w:val="20"/>
        </w:rPr>
      </w:pPr>
      <w:r>
        <w:rPr>
          <w:rFonts w:ascii="Times New Roman" w:hAnsi="Times New Roman"/>
          <w:color w:val="000000"/>
          <w:sz w:val="20"/>
        </w:rPr>
        <w:t xml:space="preserve">Incorporated State: Florida </w:t>
      </w:r>
    </w:p>
    <w:p>
      <w:pPr>
        <w:pStyle w:val="TextBody"/>
        <w:bidi w:val="0"/>
        <w:jc w:val="left"/>
        <w:rPr>
          <w:rFonts w:ascii="Times New Roman" w:hAnsi="Times New Roman"/>
          <w:color w:val="000000"/>
          <w:sz w:val="20"/>
        </w:rPr>
      </w:pPr>
      <w:r>
        <w:rPr>
          <w:rFonts w:ascii="Times New Roman" w:hAnsi="Times New Roman"/>
          <w:color w:val="000000"/>
          <w:sz w:val="20"/>
        </w:rPr>
        <w:t>Business Name: Wellington Regional Medical Center and ER at Westlake, an Extension of Wellington Regional Medical Center</w:t>
      </w:r>
    </w:p>
    <w:p>
      <w:pPr>
        <w:pStyle w:val="TextBody"/>
        <w:bidi w:val="0"/>
        <w:jc w:val="left"/>
        <w:rPr>
          <w:rFonts w:ascii="Times New Roman" w:hAnsi="Times New Roman"/>
          <w:sz w:val="20"/>
        </w:rPr>
      </w:pPr>
      <w:r>
        <w:rPr>
          <w:rFonts w:ascii="Times New Roman" w:hAnsi="Times New Roman"/>
          <w:b/>
          <w:color w:val="000000"/>
          <w:sz w:val="20"/>
        </w:rPr>
        <w:t>Wellington Regional Receivables, L.L.C.</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Incorporated State: Delaware </w:t>
      </w:r>
    </w:p>
    <w:p>
      <w:pPr>
        <w:pStyle w:val="TextBody"/>
        <w:bidi w:val="0"/>
        <w:jc w:val="left"/>
        <w:rPr>
          <w:rFonts w:ascii="Times New Roman" w:hAnsi="Times New Roman"/>
          <w:sz w:val="20"/>
        </w:rPr>
      </w:pPr>
      <w:r>
        <w:rPr>
          <w:rFonts w:ascii="Times New Roman" w:hAnsi="Times New Roman"/>
          <w:b/>
          <w:color w:val="000000"/>
          <w:sz w:val="20"/>
        </w:rPr>
        <w:t>Wellstone Holdings, Inc.</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Incorporated State: Delaware </w:t>
      </w:r>
    </w:p>
    <w:p>
      <w:pPr>
        <w:pStyle w:val="TextBody"/>
        <w:bidi w:val="0"/>
        <w:jc w:val="left"/>
        <w:rPr>
          <w:rFonts w:ascii="Times New Roman" w:hAnsi="Times New Roman"/>
          <w:sz w:val="20"/>
        </w:rPr>
      </w:pPr>
      <w:r>
        <w:rPr>
          <w:rFonts w:ascii="Times New Roman" w:hAnsi="Times New Roman"/>
          <w:b/>
          <w:color w:val="000000"/>
          <w:sz w:val="20"/>
        </w:rPr>
        <w:t>Wellstone Regional Hospital Acquisition, LLC</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Incorporated State: Indiana </w:t>
      </w:r>
    </w:p>
    <w:p>
      <w:pPr>
        <w:pStyle w:val="TextBody"/>
        <w:bidi w:val="0"/>
        <w:jc w:val="left"/>
        <w:rPr>
          <w:rFonts w:ascii="Times New Roman" w:hAnsi="Times New Roman"/>
          <w:color w:val="000000"/>
          <w:sz w:val="20"/>
        </w:rPr>
      </w:pPr>
      <w:r>
        <w:rPr>
          <w:rFonts w:ascii="Times New Roman" w:hAnsi="Times New Roman"/>
          <w:color w:val="000000"/>
          <w:sz w:val="20"/>
        </w:rPr>
        <w:t xml:space="preserve">Business Name: Wellstone Regional Hospital </w:t>
      </w:r>
    </w:p>
    <w:p>
      <w:pPr>
        <w:pStyle w:val="TextBody"/>
        <w:bidi w:val="0"/>
        <w:jc w:val="left"/>
        <w:rPr>
          <w:rFonts w:ascii="Times New Roman" w:hAnsi="Times New Roman"/>
          <w:sz w:val="20"/>
        </w:rPr>
      </w:pPr>
      <w:r>
        <w:rPr>
          <w:rFonts w:ascii="Times New Roman" w:hAnsi="Times New Roman"/>
          <w:b/>
          <w:color w:val="000000"/>
          <w:sz w:val="20"/>
        </w:rPr>
        <w:t>West Church Partnership</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Incorporated State: Illinois </w:t>
      </w:r>
    </w:p>
    <w:p>
      <w:pPr>
        <w:pStyle w:val="TextBody"/>
        <w:bidi w:val="0"/>
        <w:jc w:val="left"/>
        <w:rPr>
          <w:rFonts w:ascii="Times New Roman" w:hAnsi="Times New Roman"/>
          <w:b/>
          <w:color w:val="000000"/>
          <w:sz w:val="20"/>
        </w:rPr>
      </w:pPr>
      <w:r>
        <w:rPr>
          <w:rFonts w:ascii="Times New Roman" w:hAnsi="Times New Roman"/>
          <w:b/>
          <w:color w:val="000000"/>
          <w:sz w:val="20"/>
        </w:rPr>
        <w:t>West Henderson Hospital Medical Center, LLC</w:t>
      </w:r>
    </w:p>
    <w:p>
      <w:pPr>
        <w:pStyle w:val="TextBody"/>
        <w:bidi w:val="0"/>
        <w:jc w:val="left"/>
        <w:rPr>
          <w:rFonts w:ascii="Times New Roman" w:hAnsi="Times New Roman"/>
          <w:color w:val="000000"/>
          <w:sz w:val="20"/>
        </w:rPr>
      </w:pPr>
      <w:r>
        <w:rPr>
          <w:rFonts w:ascii="Times New Roman" w:hAnsi="Times New Roman"/>
          <w:color w:val="000000"/>
          <w:sz w:val="20"/>
        </w:rPr>
        <w:t xml:space="preserve">Incorporated State: Nevada </w:t>
      </w:r>
    </w:p>
    <w:p>
      <w:pPr>
        <w:pStyle w:val="TextBody"/>
        <w:bidi w:val="0"/>
        <w:jc w:val="left"/>
        <w:rPr>
          <w:rFonts w:ascii="Times New Roman" w:hAnsi="Times New Roman"/>
          <w:color w:val="000000"/>
          <w:sz w:val="20"/>
        </w:rPr>
      </w:pPr>
      <w:r>
        <w:rPr>
          <w:rFonts w:ascii="Times New Roman" w:hAnsi="Times New Roman"/>
          <w:color w:val="000000"/>
          <w:sz w:val="20"/>
        </w:rPr>
        <w:t>Business Name: West Henderson Hospital</w:t>
      </w:r>
    </w:p>
    <w:p>
      <w:pPr>
        <w:pStyle w:val="TextBody"/>
        <w:bidi w:val="0"/>
        <w:jc w:val="left"/>
        <w:rPr>
          <w:rFonts w:ascii="Times New Roman" w:hAnsi="Times New Roman"/>
          <w:sz w:val="20"/>
        </w:rPr>
      </w:pPr>
      <w:r>
        <w:rPr>
          <w:rFonts w:ascii="Times New Roman" w:hAnsi="Times New Roman"/>
          <w:b/>
          <w:color w:val="000000"/>
          <w:sz w:val="20"/>
        </w:rPr>
        <w:t>West Oaks Real Estate, L.P.</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Incorporated State: Texas </w:t>
      </w:r>
    </w:p>
    <w:p>
      <w:pPr>
        <w:pStyle w:val="TextBody"/>
        <w:bidi w:val="0"/>
        <w:jc w:val="left"/>
        <w:rPr>
          <w:rFonts w:ascii="Times New Roman" w:hAnsi="Times New Roman"/>
          <w:b/>
          <w:color w:val="000000"/>
          <w:sz w:val="20"/>
        </w:rPr>
      </w:pPr>
      <w:r>
        <w:rPr>
          <w:rFonts w:ascii="Times New Roman" w:hAnsi="Times New Roman"/>
          <w:b/>
          <w:color w:val="000000"/>
          <w:sz w:val="20"/>
        </w:rPr>
        <w:t>West Patrick Real Estate, LLC</w:t>
      </w:r>
    </w:p>
    <w:p>
      <w:pPr>
        <w:pStyle w:val="TextBody"/>
        <w:bidi w:val="0"/>
        <w:jc w:val="left"/>
        <w:rPr>
          <w:rFonts w:ascii="Times New Roman" w:hAnsi="Times New Roman"/>
          <w:color w:val="000000"/>
          <w:sz w:val="20"/>
        </w:rPr>
      </w:pPr>
      <w:r>
        <w:rPr>
          <w:rFonts w:ascii="Times New Roman" w:hAnsi="Times New Roman"/>
          <w:color w:val="000000"/>
          <w:sz w:val="20"/>
        </w:rPr>
        <w:t>Incorporated State: Delaware</w:t>
      </w:r>
    </w:p>
    <w:p>
      <w:pPr>
        <w:pStyle w:val="TextBody"/>
        <w:bidi w:val="0"/>
        <w:jc w:val="left"/>
        <w:rPr>
          <w:rFonts w:ascii="Times New Roman" w:hAnsi="Times New Roman"/>
          <w:b/>
          <w:color w:val="000000"/>
          <w:sz w:val="20"/>
        </w:rPr>
      </w:pPr>
      <w:r>
        <w:rPr>
          <w:rFonts w:ascii="Times New Roman" w:hAnsi="Times New Roman"/>
          <w:b/>
          <w:color w:val="000000"/>
          <w:sz w:val="20"/>
        </w:rPr>
        <w:t>Westside Outpatient Center, LLC</w:t>
      </w:r>
    </w:p>
    <w:p>
      <w:pPr>
        <w:pStyle w:val="TextBody"/>
        <w:bidi w:val="0"/>
        <w:jc w:val="left"/>
        <w:rPr>
          <w:rFonts w:ascii="Times New Roman" w:hAnsi="Times New Roman"/>
          <w:color w:val="000000"/>
          <w:sz w:val="20"/>
        </w:rPr>
      </w:pPr>
      <w:r>
        <w:rPr>
          <w:rFonts w:ascii="Times New Roman" w:hAnsi="Times New Roman"/>
          <w:color w:val="000000"/>
          <w:sz w:val="20"/>
        </w:rPr>
        <w:t>Incorporated State: Florida</w:t>
      </w:r>
    </w:p>
    <w:p>
      <w:pPr>
        <w:pStyle w:val="TextBody"/>
        <w:bidi w:val="0"/>
        <w:jc w:val="left"/>
        <w:rPr>
          <w:rFonts w:ascii="Times New Roman" w:hAnsi="Times New Roman"/>
          <w:color w:val="000000"/>
          <w:sz w:val="20"/>
        </w:rPr>
      </w:pPr>
      <w:r>
        <w:rPr>
          <w:rFonts w:ascii="Times New Roman" w:hAnsi="Times New Roman"/>
          <w:color w:val="000000"/>
          <w:sz w:val="20"/>
        </w:rPr>
        <w:t>Business Name: Palms Wellington Surgical Center</w:t>
      </w:r>
    </w:p>
    <w:p>
      <w:pPr>
        <w:pStyle w:val="TextBody"/>
        <w:bidi w:val="0"/>
        <w:jc w:val="left"/>
        <w:rPr>
          <w:rFonts w:ascii="Times New Roman" w:hAnsi="Times New Roman"/>
          <w:b/>
          <w:color w:val="000000"/>
          <w:sz w:val="20"/>
        </w:rPr>
      </w:pPr>
      <w:r>
        <w:rPr>
          <w:rFonts w:ascii="Times New Roman" w:hAnsi="Times New Roman"/>
          <w:b/>
          <w:color w:val="000000"/>
          <w:sz w:val="20"/>
        </w:rPr>
        <w:t>Wildomar Medical Properties, LLC</w:t>
      </w:r>
    </w:p>
    <w:p>
      <w:pPr>
        <w:pStyle w:val="TextBody"/>
        <w:bidi w:val="0"/>
        <w:jc w:val="left"/>
        <w:rPr>
          <w:rFonts w:ascii="Times New Roman" w:hAnsi="Times New Roman"/>
          <w:color w:val="000000"/>
          <w:sz w:val="20"/>
        </w:rPr>
      </w:pPr>
      <w:r>
        <w:rPr>
          <w:rFonts w:ascii="Times New Roman" w:hAnsi="Times New Roman"/>
          <w:color w:val="000000"/>
          <w:sz w:val="20"/>
        </w:rPr>
        <w:t>Incorporated State: Delaware</w:t>
      </w:r>
    </w:p>
    <w:p>
      <w:pPr>
        <w:pStyle w:val="TextBody"/>
        <w:bidi w:val="0"/>
        <w:jc w:val="left"/>
        <w:rPr>
          <w:rFonts w:ascii="Times New Roman" w:hAnsi="Times New Roman"/>
          <w:sz w:val="20"/>
        </w:rPr>
      </w:pPr>
      <w:r>
        <w:rPr>
          <w:rFonts w:ascii="Times New Roman" w:hAnsi="Times New Roman"/>
          <w:b/>
          <w:color w:val="000000"/>
          <w:sz w:val="20"/>
        </w:rPr>
        <w:t>Willow Springs, LLC</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Incorporated State: Delaware </w:t>
      </w:r>
    </w:p>
    <w:p>
      <w:pPr>
        <w:pStyle w:val="TextBody"/>
        <w:bidi w:val="0"/>
        <w:jc w:val="left"/>
        <w:rPr>
          <w:rFonts w:ascii="Times New Roman" w:hAnsi="Times New Roman"/>
          <w:color w:val="000000"/>
          <w:sz w:val="20"/>
        </w:rPr>
      </w:pPr>
      <w:r>
        <w:rPr>
          <w:rFonts w:ascii="Times New Roman" w:hAnsi="Times New Roman"/>
          <w:color w:val="000000"/>
          <w:sz w:val="20"/>
        </w:rPr>
        <w:t xml:space="preserve">Business Name: Willow Springs Center </w:t>
      </w:r>
    </w:p>
    <w:p>
      <w:pPr>
        <w:pStyle w:val="TextBody"/>
        <w:bidi w:val="0"/>
        <w:jc w:val="left"/>
        <w:rPr>
          <w:rFonts w:ascii="Times New Roman" w:hAnsi="Times New Roman"/>
          <w:sz w:val="20"/>
        </w:rPr>
      </w:pPr>
      <w:r>
        <w:rPr>
          <w:rFonts w:ascii="Times New Roman" w:hAnsi="Times New Roman"/>
          <w:b/>
          <w:color w:val="000000"/>
          <w:sz w:val="20"/>
        </w:rPr>
        <w:t>Windmoor Healthcare Inc.</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Incorporated State: Florida </w:t>
      </w:r>
    </w:p>
    <w:p>
      <w:pPr>
        <w:pStyle w:val="TextBody"/>
        <w:bidi w:val="0"/>
        <w:jc w:val="left"/>
        <w:rPr>
          <w:rFonts w:ascii="Times New Roman" w:hAnsi="Times New Roman"/>
          <w:color w:val="000000"/>
          <w:sz w:val="20"/>
        </w:rPr>
      </w:pPr>
      <w:r>
        <w:rPr>
          <w:rFonts w:ascii="Times New Roman" w:hAnsi="Times New Roman"/>
          <w:color w:val="000000"/>
          <w:sz w:val="20"/>
        </w:rPr>
        <w:t xml:space="preserve">Business Name: Windmoor Healthcare of Clearwater </w:t>
      </w:r>
    </w:p>
    <w:p>
      <w:pPr>
        <w:pStyle w:val="TextBody"/>
        <w:bidi w:val="0"/>
        <w:jc w:val="left"/>
        <w:rPr>
          <w:rFonts w:ascii="Times New Roman" w:hAnsi="Times New Roman"/>
          <w:sz w:val="20"/>
        </w:rPr>
      </w:pPr>
      <w:r>
        <w:rPr>
          <w:rFonts w:ascii="Times New Roman" w:hAnsi="Times New Roman"/>
          <w:b/>
          <w:color w:val="000000"/>
          <w:sz w:val="20"/>
        </w:rPr>
        <w:t>Windmoor Healthcare of Pinellas Park, Inc.</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Incorporated State: Delaware </w:t>
      </w:r>
    </w:p>
    <w:p>
      <w:pPr>
        <w:pStyle w:val="TextBody"/>
        <w:bidi w:val="0"/>
        <w:jc w:val="left"/>
        <w:rPr>
          <w:rFonts w:ascii="Times New Roman" w:hAnsi="Times New Roman"/>
          <w:sz w:val="20"/>
        </w:rPr>
      </w:pPr>
      <w:r>
        <w:rPr>
          <w:rFonts w:ascii="Times New Roman" w:hAnsi="Times New Roman"/>
          <w:b/>
          <w:color w:val="000000"/>
          <w:sz w:val="20"/>
        </w:rPr>
        <w:t>Wisconsin Avenue Psychiatric Center, Inc</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Incorporated State: Delaware</w:t>
      </w:r>
    </w:p>
    <w:p>
      <w:pPr>
        <w:pStyle w:val="TextBody"/>
        <w:bidi w:val="0"/>
        <w:jc w:val="left"/>
        <w:rPr>
          <w:rFonts w:ascii="Times New Roman" w:hAnsi="Times New Roman"/>
          <w:color w:val="000000"/>
          <w:sz w:val="20"/>
        </w:rPr>
      </w:pPr>
      <w:r>
        <w:rPr>
          <w:rFonts w:ascii="Times New Roman" w:hAnsi="Times New Roman"/>
          <w:color w:val="000000"/>
          <w:sz w:val="20"/>
        </w:rPr>
        <w:t xml:space="preserve">Business Name: Psychiatric Institute of Washington </w:t>
      </w:r>
    </w:p>
    <w:p>
      <w:pPr>
        <w:pStyle w:val="TextBody"/>
        <w:bidi w:val="0"/>
        <w:jc w:val="left"/>
        <w:rPr>
          <w:rFonts w:ascii="Times New Roman" w:hAnsi="Times New Roman"/>
          <w:b/>
          <w:color w:val="000000"/>
          <w:sz w:val="20"/>
        </w:rPr>
      </w:pPr>
      <w:r>
        <w:rPr>
          <w:rFonts w:ascii="Times New Roman" w:hAnsi="Times New Roman"/>
          <w:b/>
          <w:color w:val="000000"/>
          <w:sz w:val="20"/>
        </w:rPr>
        <w:t>Woodrowe Healthcare Limited</w:t>
      </w:r>
    </w:p>
    <w:p>
      <w:pPr>
        <w:pStyle w:val="TextBody"/>
        <w:bidi w:val="0"/>
        <w:jc w:val="left"/>
        <w:rPr>
          <w:rFonts w:ascii="Times New Roman" w:hAnsi="Times New Roman"/>
          <w:color w:val="000000"/>
          <w:sz w:val="20"/>
        </w:rPr>
      </w:pPr>
      <w:r>
        <w:rPr>
          <w:rFonts w:ascii="Times New Roman" w:hAnsi="Times New Roman"/>
          <w:color w:val="000000"/>
          <w:sz w:val="20"/>
        </w:rPr>
        <w:t>Incorporated State: United Kingdom</w:t>
      </w:r>
    </w:p>
    <w:p>
      <w:pPr>
        <w:pStyle w:val="TextBody"/>
        <w:bidi w:val="0"/>
        <w:jc w:val="left"/>
        <w:rPr>
          <w:rFonts w:ascii="Times New Roman" w:hAnsi="Times New Roman"/>
          <w:color w:val="000000"/>
          <w:sz w:val="20"/>
        </w:rPr>
      </w:pPr>
      <w:r>
        <w:rPr>
          <w:rFonts w:ascii="Times New Roman" w:hAnsi="Times New Roman"/>
          <w:color w:val="000000"/>
          <w:sz w:val="20"/>
        </w:rPr>
        <w:t>Business Name: Woodrowe House</w:t>
      </w:r>
    </w:p>
    <w:p>
      <w:pPr>
        <w:pStyle w:val="TextBody"/>
        <w:bidi w:val="0"/>
        <w:jc w:val="left"/>
        <w:rPr>
          <w:rFonts w:ascii="Times New Roman" w:hAnsi="Times New Roman"/>
          <w:b/>
          <w:color w:val="000000"/>
          <w:sz w:val="20"/>
        </w:rPr>
      </w:pPr>
      <w:r>
        <w:rPr>
          <w:rFonts w:ascii="Times New Roman" w:hAnsi="Times New Roman"/>
          <w:b/>
          <w:color w:val="000000"/>
          <w:sz w:val="20"/>
        </w:rPr>
        <w:t>WRMCABNS, LLC</w:t>
      </w:r>
    </w:p>
    <w:p>
      <w:pPr>
        <w:pStyle w:val="TextBody"/>
        <w:bidi w:val="0"/>
        <w:jc w:val="left"/>
        <w:rPr>
          <w:rFonts w:ascii="Times New Roman" w:hAnsi="Times New Roman"/>
          <w:color w:val="000000"/>
          <w:sz w:val="20"/>
        </w:rPr>
      </w:pPr>
      <w:r>
        <w:rPr>
          <w:rFonts w:ascii="Times New Roman" w:hAnsi="Times New Roman"/>
          <w:color w:val="000000"/>
          <w:sz w:val="20"/>
        </w:rPr>
        <w:t>Incorporated State: Florida</w:t>
      </w:r>
    </w:p>
    <w:p>
      <w:pPr>
        <w:pStyle w:val="TextBody"/>
        <w:bidi w:val="0"/>
        <w:jc w:val="left"/>
        <w:rPr>
          <w:rFonts w:ascii="Times New Roman" w:hAnsi="Times New Roman"/>
          <w:b/>
          <w:color w:val="000000"/>
          <w:sz w:val="20"/>
        </w:rPr>
      </w:pPr>
      <w:r>
        <w:rPr>
          <w:rFonts w:ascii="Times New Roman" w:hAnsi="Times New Roman"/>
          <w:b/>
          <w:color w:val="000000"/>
          <w:sz w:val="20"/>
        </w:rPr>
        <w:t>Yarrow Lodge, LLC</w:t>
      </w:r>
    </w:p>
    <w:p>
      <w:pPr>
        <w:pStyle w:val="TextBody"/>
        <w:bidi w:val="0"/>
        <w:jc w:val="left"/>
        <w:rPr>
          <w:rFonts w:ascii="Times New Roman" w:hAnsi="Times New Roman"/>
          <w:color w:val="000000"/>
          <w:sz w:val="20"/>
        </w:rPr>
      </w:pPr>
      <w:r>
        <w:rPr>
          <w:rFonts w:ascii="Times New Roman" w:hAnsi="Times New Roman"/>
          <w:color w:val="000000"/>
          <w:sz w:val="20"/>
        </w:rPr>
        <w:t>Incorporated State: Delaware</w:t>
      </w:r>
    </w:p>
    <w:p>
      <w:pPr>
        <w:pStyle w:val="TextBody"/>
        <w:bidi w:val="0"/>
        <w:jc w:val="left"/>
        <w:rPr>
          <w:rFonts w:ascii="Times New Roman" w:hAnsi="Times New Roman"/>
          <w:color w:val="000000"/>
          <w:sz w:val="20"/>
        </w:rPr>
      </w:pPr>
      <w:r>
        <w:rPr>
          <w:rFonts w:ascii="Times New Roman" w:hAnsi="Times New Roman"/>
          <w:color w:val="000000"/>
          <w:sz w:val="20"/>
        </w:rPr>
        <w:t>Business Name: Skywood Recovery</w:t>
      </w:r>
    </w:p>
    <w:p>
      <w:pPr>
        <w:pStyle w:val="TextBody"/>
        <w:bidi w:val="0"/>
        <w:jc w:val="left"/>
        <w:rPr>
          <w:rFonts w:ascii="Times New Roman" w:hAnsi="Times New Roman"/>
          <w:sz w:val="20"/>
        </w:rPr>
      </w:pPr>
      <w:r>
        <w:rPr>
          <w:rFonts w:ascii="Times New Roman" w:hAnsi="Times New Roman"/>
          <w:b/>
          <w:color w:val="000000"/>
          <w:sz w:val="20"/>
        </w:rPr>
        <w:t>Zeus Endeavors, LLC</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Incorporated State: Florida </w:t>
      </w:r>
    </w:p>
    <w:p>
      <w:pPr>
        <w:pStyle w:val="HorizontalLine"/>
        <w:pBdr>
          <w:bottom w:val="double" w:sz="2" w:space="0" w:color="808080"/>
        </w:pBdr>
        <w:bidi w:val="0"/>
        <w:spacing w:before="0" w:after="283"/>
        <w:jc w:val="left"/>
        <w:rPr/>
      </w:pPr>
      <w:r>
        <w:rPr/>
      </w:r>
    </w:p>
    <w:p>
      <w:pPr>
        <w:pStyle w:val="TextBody"/>
        <w:bidi w:val="0"/>
        <w:jc w:val="left"/>
        <w:rPr/>
      </w:pPr>
      <w:bookmarkStart w:id="44" w:name="uhs-ex22_1.htm"/>
      <w:bookmarkStart w:id="45" w:name="ksuhsex22_1"/>
      <w:bookmarkEnd w:id="44"/>
      <w:bookmarkEnd w:id="45"/>
      <w:r>
        <w:rPr/>
        <w:t> </w:t>
      </w:r>
      <w:r>
        <w:br w:type="page"/>
      </w:r>
    </w:p>
    <w:p>
      <w:pPr>
        <w:pStyle w:val="TextBody"/>
        <w:bidi w:val="0"/>
        <w:spacing w:before="0" w:after="240"/>
        <w:jc w:val="right"/>
        <w:rPr>
          <w:rFonts w:ascii="Arial" w:hAnsi="Arial"/>
          <w:color w:val="000000"/>
          <w:sz w:val="22"/>
        </w:rPr>
      </w:pPr>
      <w:r>
        <w:rPr>
          <w:rFonts w:ascii="Arial" w:hAnsi="Arial"/>
          <w:color w:val="000000"/>
          <w:sz w:val="22"/>
        </w:rPr>
        <w:t>Exhibit 22.1</w:t>
      </w:r>
    </w:p>
    <w:p>
      <w:pPr>
        <w:pStyle w:val="TextBody"/>
        <w:bidi w:val="0"/>
        <w:spacing w:before="0" w:after="240"/>
        <w:jc w:val="right"/>
        <w:rPr/>
      </w:pPr>
      <w:r>
        <w:rPr/>
        <w:t> </w:t>
      </w:r>
    </w:p>
    <w:p>
      <w:pPr>
        <w:pStyle w:val="TextBody"/>
        <w:bidi w:val="0"/>
        <w:spacing w:before="0" w:after="240"/>
        <w:jc w:val="center"/>
        <w:rPr>
          <w:rFonts w:ascii="Arial" w:hAnsi="Arial"/>
          <w:b/>
          <w:color w:val="000000"/>
          <w:sz w:val="22"/>
        </w:rPr>
      </w:pPr>
      <w:r>
        <w:rPr>
          <w:rFonts w:ascii="Arial" w:hAnsi="Arial"/>
          <w:b/>
          <w:color w:val="000000"/>
          <w:sz w:val="22"/>
        </w:rPr>
        <w:t>Subsidiary Guarantors and Issuers of Guaranteed Securities and Affiliates Whose Securities Collateralize Securities of the Registrant</w:t>
      </w:r>
    </w:p>
    <w:p>
      <w:pPr>
        <w:pStyle w:val="TextBody"/>
        <w:bidi w:val="0"/>
        <w:spacing w:before="0" w:after="240"/>
        <w:jc w:val="center"/>
        <w:rPr/>
      </w:pPr>
      <w:r>
        <w:rPr/>
        <w:t> </w:t>
      </w:r>
    </w:p>
    <w:p>
      <w:pPr>
        <w:pStyle w:val="TextBody"/>
        <w:bidi w:val="0"/>
        <w:spacing w:before="0" w:after="240"/>
        <w:jc w:val="both"/>
        <w:rPr>
          <w:rFonts w:ascii="Arial" w:hAnsi="Arial"/>
          <w:color w:val="000000"/>
          <w:sz w:val="22"/>
          <w:u w:val="single"/>
        </w:rPr>
      </w:pPr>
      <w:r>
        <w:rPr>
          <w:rFonts w:ascii="Arial" w:hAnsi="Arial"/>
          <w:color w:val="000000"/>
          <w:sz w:val="22"/>
          <w:u w:val="single"/>
        </w:rPr>
        <w:t>Guaranteed Securities</w:t>
      </w:r>
    </w:p>
    <w:p>
      <w:pPr>
        <w:pStyle w:val="TextBody"/>
        <w:bidi w:val="0"/>
        <w:spacing w:before="0" w:after="240"/>
        <w:jc w:val="both"/>
        <w:rPr>
          <w:rFonts w:ascii="Times New Roman" w:hAnsi="Times New Roman"/>
          <w:sz w:val="20"/>
        </w:rPr>
      </w:pPr>
      <w:r>
        <w:rPr>
          <w:rFonts w:ascii="Arial" w:hAnsi="Arial"/>
          <w:color w:val="000000"/>
          <w:sz w:val="22"/>
        </w:rPr>
        <w:t>The following securities (collectively, the “UHS Senior Secured Notes”) issued by Universal Health Services, Inc., a Delaware corporation (the “Company”), were outstanding as of December 31, 2025.</w:t>
      </w:r>
      <w:r>
        <w:rPr>
          <w:rFonts w:ascii="Times New Roman" w:hAnsi="Times New Roman"/>
          <w:color w:val="000000"/>
          <w:sz w:val="20"/>
        </w:rPr>
        <w:t xml:space="preserve"> </w:t>
      </w:r>
    </w:p>
    <w:p>
      <w:pPr>
        <w:pStyle w:val="TextBody"/>
        <w:bidi w:val="0"/>
        <w:spacing w:before="0" w:after="240"/>
        <w:jc w:val="both"/>
        <w:rPr>
          <w:rFonts w:ascii="Arial" w:hAnsi="Arial"/>
          <w:color w:val="000000"/>
          <w:sz w:val="22"/>
          <w:u w:val="single"/>
        </w:rPr>
      </w:pPr>
      <w:r>
        <w:rPr>
          <w:rFonts w:ascii="Arial" w:hAnsi="Arial"/>
          <w:color w:val="000000"/>
          <w:sz w:val="22"/>
          <w:u w:val="single"/>
        </w:rPr>
        <w:t>Description of Notes</w:t>
      </w:r>
    </w:p>
    <w:p>
      <w:pPr>
        <w:pStyle w:val="TextBody"/>
        <w:bidi w:val="0"/>
        <w:jc w:val="both"/>
        <w:rPr>
          <w:rFonts w:ascii="Arial" w:hAnsi="Arial"/>
          <w:color w:val="000000"/>
          <w:sz w:val="22"/>
        </w:rPr>
      </w:pPr>
      <w:r>
        <w:rPr>
          <w:rFonts w:ascii="Arial" w:hAnsi="Arial"/>
          <w:color w:val="000000"/>
          <w:sz w:val="22"/>
        </w:rPr>
        <w:t>1.650% Senior Secured Notes due 2026</w:t>
      </w:r>
    </w:p>
    <w:p>
      <w:pPr>
        <w:pStyle w:val="TextBody"/>
        <w:bidi w:val="0"/>
        <w:jc w:val="both"/>
        <w:rPr>
          <w:rFonts w:ascii="Arial" w:hAnsi="Arial"/>
          <w:color w:val="000000"/>
          <w:sz w:val="22"/>
        </w:rPr>
      </w:pPr>
      <w:r>
        <w:rPr>
          <w:rFonts w:ascii="Arial" w:hAnsi="Arial"/>
          <w:color w:val="000000"/>
          <w:sz w:val="22"/>
        </w:rPr>
        <w:t>4.625% Senior Secured Notes due 2029</w:t>
      </w:r>
    </w:p>
    <w:p>
      <w:pPr>
        <w:pStyle w:val="TextBody"/>
        <w:bidi w:val="0"/>
        <w:jc w:val="both"/>
        <w:rPr>
          <w:rFonts w:ascii="Arial" w:hAnsi="Arial"/>
          <w:color w:val="000000"/>
          <w:sz w:val="22"/>
        </w:rPr>
      </w:pPr>
      <w:r>
        <w:rPr>
          <w:rFonts w:ascii="Arial" w:hAnsi="Arial"/>
          <w:color w:val="000000"/>
          <w:sz w:val="22"/>
        </w:rPr>
        <w:t>2.650% Senior Secured Notes due 2030</w:t>
      </w:r>
    </w:p>
    <w:p>
      <w:pPr>
        <w:pStyle w:val="TextBody"/>
        <w:bidi w:val="0"/>
        <w:jc w:val="both"/>
        <w:rPr>
          <w:rFonts w:ascii="Arial" w:hAnsi="Arial"/>
          <w:color w:val="000000"/>
          <w:sz w:val="22"/>
        </w:rPr>
      </w:pPr>
      <w:r>
        <w:rPr>
          <w:rFonts w:ascii="Arial" w:hAnsi="Arial"/>
          <w:color w:val="000000"/>
          <w:sz w:val="22"/>
        </w:rPr>
        <w:t>2.650% Senior Secured Notes due 2032</w:t>
      </w:r>
    </w:p>
    <w:p>
      <w:pPr>
        <w:pStyle w:val="TextBody"/>
        <w:bidi w:val="0"/>
        <w:jc w:val="both"/>
        <w:rPr>
          <w:rFonts w:ascii="Times New Roman" w:hAnsi="Times New Roman"/>
          <w:sz w:val="20"/>
        </w:rPr>
      </w:pPr>
      <w:r>
        <w:rPr>
          <w:rFonts w:ascii="Arial" w:hAnsi="Arial"/>
          <w:color w:val="000000"/>
          <w:sz w:val="22"/>
        </w:rPr>
        <w:t>5.050% Senior Secured Notes due 2034</w:t>
      </w:r>
      <w:r>
        <w:rPr>
          <w:rFonts w:ascii="Times New Roman" w:hAnsi="Times New Roman"/>
          <w:color w:val="000000"/>
          <w:sz w:val="20"/>
        </w:rPr>
        <w:t xml:space="preserve"> </w:t>
      </w:r>
    </w:p>
    <w:p>
      <w:pPr>
        <w:pStyle w:val="TextBody"/>
        <w:bidi w:val="0"/>
        <w:jc w:val="both"/>
        <w:rPr/>
      </w:pPr>
      <w:r>
        <w:rPr/>
        <w:t> </w:t>
      </w:r>
    </w:p>
    <w:p>
      <w:pPr>
        <w:pStyle w:val="TextBody"/>
        <w:bidi w:val="0"/>
        <w:spacing w:before="0" w:after="240"/>
        <w:jc w:val="both"/>
        <w:rPr>
          <w:rFonts w:ascii="Arial" w:hAnsi="Arial"/>
          <w:color w:val="000000"/>
          <w:sz w:val="22"/>
          <w:u w:val="single"/>
        </w:rPr>
      </w:pPr>
      <w:r>
        <w:rPr>
          <w:rFonts w:ascii="Arial" w:hAnsi="Arial"/>
          <w:color w:val="000000"/>
          <w:sz w:val="22"/>
          <w:u w:val="single"/>
        </w:rPr>
        <w:t>Obligors</w:t>
      </w:r>
    </w:p>
    <w:p>
      <w:pPr>
        <w:pStyle w:val="TextBody"/>
        <w:bidi w:val="0"/>
        <w:spacing w:before="0" w:after="240"/>
        <w:jc w:val="both"/>
        <w:rPr>
          <w:rFonts w:ascii="Arial" w:hAnsi="Arial"/>
          <w:color w:val="000000"/>
          <w:sz w:val="22"/>
        </w:rPr>
      </w:pPr>
      <w:r>
        <w:rPr>
          <w:rFonts w:ascii="Arial" w:hAnsi="Arial"/>
          <w:color w:val="000000"/>
          <w:sz w:val="22"/>
        </w:rPr>
        <w:t>The obligors under the UHS Senior Secured Notes consisted of the Company, as issuer, and its subsidiaries listed in the following table, as Guarantors.</w:t>
      </w:r>
    </w:p>
    <w:tbl>
      <w:tblPr>
        <w:tblW w:w="8013" w:type="dxa"/>
        <w:jc w:val="left"/>
        <w:tblInd w:w="0" w:type="dxa"/>
        <w:tblLayout w:type="fixed"/>
        <w:tblCellMar>
          <w:top w:w="28" w:type="dxa"/>
          <w:left w:w="28" w:type="dxa"/>
          <w:bottom w:w="28" w:type="dxa"/>
          <w:right w:w="28" w:type="dxa"/>
        </w:tblCellMar>
      </w:tblPr>
      <w:tblGrid>
        <w:gridCol w:w="3886"/>
        <w:gridCol w:w="2761"/>
        <w:gridCol w:w="1366"/>
      </w:tblGrid>
      <w:tr>
        <w:trPr/>
        <w:tc>
          <w:tcPr>
            <w:tcW w:w="3886" w:type="dxa"/>
            <w:tcBorders/>
            <w:shd w:fill="FFFFFF" w:val="clear"/>
            <w:vAlign w:val="center"/>
          </w:tcPr>
          <w:p>
            <w:pPr>
              <w:pStyle w:val="TableContents"/>
              <w:bidi w:val="0"/>
              <w:spacing w:before="0" w:after="283"/>
              <w:jc w:val="left"/>
              <w:rPr>
                <w:sz w:val="4"/>
                <w:szCs w:val="4"/>
              </w:rPr>
            </w:pPr>
            <w:r>
              <w:rPr>
                <w:sz w:val="4"/>
                <w:szCs w:val="4"/>
              </w:rPr>
            </w:r>
          </w:p>
        </w:tc>
        <w:tc>
          <w:tcPr>
            <w:tcW w:w="2761" w:type="dxa"/>
            <w:tcBorders/>
            <w:shd w:fill="FFFFFF" w:val="clear"/>
            <w:vAlign w:val="center"/>
          </w:tcPr>
          <w:p>
            <w:pPr>
              <w:pStyle w:val="TableContents"/>
              <w:bidi w:val="0"/>
              <w:spacing w:before="0" w:after="283"/>
              <w:jc w:val="left"/>
              <w:rPr>
                <w:sz w:val="4"/>
                <w:szCs w:val="4"/>
              </w:rPr>
            </w:pPr>
            <w:r>
              <w:rPr>
                <w:sz w:val="4"/>
                <w:szCs w:val="4"/>
              </w:rPr>
            </w:r>
          </w:p>
        </w:tc>
        <w:tc>
          <w:tcPr>
            <w:tcW w:w="1366" w:type="dxa"/>
            <w:tcBorders/>
            <w:shd w:fill="FFFFFF" w:val="clear"/>
            <w:vAlign w:val="center"/>
          </w:tcPr>
          <w:p>
            <w:pPr>
              <w:pStyle w:val="TableContents"/>
              <w:bidi w:val="0"/>
              <w:spacing w:before="0" w:after="283"/>
              <w:jc w:val="left"/>
              <w:rPr>
                <w:sz w:val="4"/>
                <w:szCs w:val="4"/>
              </w:rPr>
            </w:pPr>
            <w:r>
              <w:rPr>
                <w:sz w:val="4"/>
                <w:szCs w:val="4"/>
              </w:rPr>
            </w:r>
          </w:p>
        </w:tc>
      </w:tr>
      <w:tr>
        <w:trPr/>
        <w:tc>
          <w:tcPr>
            <w:tcW w:w="3886"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TableContents"/>
              <w:bidi w:val="0"/>
              <w:spacing w:before="60" w:after="60"/>
              <w:jc w:val="left"/>
              <w:rPr>
                <w:rFonts w:ascii="Times New Roman" w:hAnsi="Times New Roman"/>
                <w:sz w:val="20"/>
              </w:rPr>
            </w:pPr>
            <w:r>
              <w:rPr>
                <w:rFonts w:ascii="Arial" w:hAnsi="Arial"/>
                <w:b/>
                <w:color w:val="000000"/>
                <w:sz w:val="20"/>
              </w:rPr>
              <w:br/>
              <w:t>Name of Subsidiary</w:t>
            </w:r>
            <w:r>
              <w:rPr>
                <w:rFonts w:ascii="Times New Roman" w:hAnsi="Times New Roman"/>
                <w:color w:val="000000"/>
                <w:sz w:val="20"/>
              </w:rPr>
              <w:t xml:space="preserve"> </w:t>
            </w:r>
          </w:p>
        </w:tc>
        <w:tc>
          <w:tcPr>
            <w:tcW w:w="2761"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60" w:after="60"/>
              <w:jc w:val="center"/>
              <w:rPr>
                <w:rFonts w:ascii="Times New Roman" w:hAnsi="Times New Roman"/>
                <w:sz w:val="20"/>
              </w:rPr>
            </w:pPr>
            <w:r>
              <w:rPr>
                <w:rFonts w:ascii="Arial" w:hAnsi="Arial"/>
                <w:b/>
                <w:color w:val="000000"/>
                <w:sz w:val="20"/>
              </w:rPr>
              <w:t>Jurisdiction of Organization</w:t>
            </w:r>
            <w:r>
              <w:rPr>
                <w:rFonts w:ascii="Times New Roman" w:hAnsi="Times New Roman"/>
                <w:color w:val="000000"/>
                <w:sz w:val="20"/>
              </w:rPr>
              <w:t xml:space="preserve"> </w:t>
            </w:r>
          </w:p>
        </w:tc>
        <w:tc>
          <w:tcPr>
            <w:tcW w:w="1366"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60" w:after="60"/>
              <w:jc w:val="center"/>
              <w:rPr>
                <w:rFonts w:ascii="Arial" w:hAnsi="Arial"/>
                <w:b/>
                <w:color w:val="000000"/>
                <w:sz w:val="20"/>
              </w:rPr>
            </w:pPr>
            <w:r>
              <w:rPr>
                <w:rFonts w:ascii="Arial" w:hAnsi="Arial"/>
                <w:b/>
                <w:color w:val="000000"/>
                <w:sz w:val="20"/>
              </w:rPr>
              <w:br/>
              <w:t>Obligor Type</w:t>
            </w:r>
          </w:p>
        </w:tc>
      </w:tr>
      <w:tr>
        <w:trPr/>
        <w:tc>
          <w:tcPr>
            <w:tcW w:w="388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ABS LINCS KY, LLC</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Virginia</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r>
        <w:trPr/>
        <w:tc>
          <w:tcPr>
            <w:tcW w:w="388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ABS LINCS SC, Inc.</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South Carolina</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r>
        <w:trPr/>
        <w:tc>
          <w:tcPr>
            <w:tcW w:w="388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Aiken Regional Medical Centers, LLC</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South Carolina</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r>
        <w:trPr/>
        <w:tc>
          <w:tcPr>
            <w:tcW w:w="388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Alliance Health Center, Inc.</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Mississippi</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r>
        <w:trPr/>
        <w:tc>
          <w:tcPr>
            <w:tcW w:w="388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Alternative Behavioral Services, Inc.</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Virginia</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r>
        <w:trPr/>
        <w:tc>
          <w:tcPr>
            <w:tcW w:w="388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Ascend Health Corporation</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Delaware</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r>
        <w:trPr/>
        <w:tc>
          <w:tcPr>
            <w:tcW w:w="388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Atlantic Shores Hospital, LLC</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Delaware</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r>
        <w:trPr/>
        <w:tc>
          <w:tcPr>
            <w:tcW w:w="388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AZ Holding 4, LLC</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Arizona</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r>
        <w:trPr/>
        <w:tc>
          <w:tcPr>
            <w:tcW w:w="388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Beach 77 LP</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Delaware</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r>
        <w:trPr/>
        <w:tc>
          <w:tcPr>
            <w:tcW w:w="388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Behavioral Health Management, LLC</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Delaware</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r>
        <w:trPr/>
        <w:tc>
          <w:tcPr>
            <w:tcW w:w="388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Behavioral Health Realty, LLC</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Delaware</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r>
        <w:trPr/>
        <w:tc>
          <w:tcPr>
            <w:tcW w:w="388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Behavioral Healthcare LLC</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Delaware</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r>
        <w:trPr/>
        <w:tc>
          <w:tcPr>
            <w:tcW w:w="388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Benchmark Behavioral Health System, Inc.</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Utah</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r>
        <w:trPr/>
        <w:tc>
          <w:tcPr>
            <w:tcW w:w="388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BHC Alhambra Hospital, Inc.</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Tennessee</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bl>
    <w:p>
      <w:pPr>
        <w:pStyle w:val="TextBody"/>
        <w:bidi w:val="0"/>
        <w:jc w:val="left"/>
        <w:rPr>
          <w:rFonts w:ascii="Arial" w:hAnsi="Arial"/>
          <w:color w:val="000000"/>
          <w:sz w:val="22"/>
        </w:rPr>
      </w:pPr>
      <w:r>
        <w:rPr>
          <w:rFonts w:ascii="Arial" w:hAnsi="Arial"/>
          <w:color w:val="000000"/>
          <w:sz w:val="22"/>
        </w:rPr>
        <w:t>1</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8058" w:type="dxa"/>
        <w:jc w:val="left"/>
        <w:tblInd w:w="0" w:type="dxa"/>
        <w:tblLayout w:type="fixed"/>
        <w:tblCellMar>
          <w:top w:w="28" w:type="dxa"/>
          <w:left w:w="28" w:type="dxa"/>
          <w:bottom w:w="28" w:type="dxa"/>
          <w:right w:w="28" w:type="dxa"/>
        </w:tblCellMar>
      </w:tblPr>
      <w:tblGrid>
        <w:gridCol w:w="3931"/>
        <w:gridCol w:w="2761"/>
        <w:gridCol w:w="1366"/>
      </w:tblGrid>
      <w:tr>
        <w:trPr/>
        <w:tc>
          <w:tcPr>
            <w:tcW w:w="3931" w:type="dxa"/>
            <w:tcBorders/>
            <w:shd w:fill="FFFFFF" w:val="clear"/>
            <w:vAlign w:val="center"/>
          </w:tcPr>
          <w:p>
            <w:pPr>
              <w:pStyle w:val="TableContents"/>
              <w:bidi w:val="0"/>
              <w:spacing w:before="0" w:after="283"/>
              <w:jc w:val="left"/>
              <w:rPr>
                <w:sz w:val="4"/>
                <w:szCs w:val="4"/>
              </w:rPr>
            </w:pPr>
            <w:r>
              <w:rPr>
                <w:sz w:val="4"/>
                <w:szCs w:val="4"/>
              </w:rPr>
            </w:r>
          </w:p>
        </w:tc>
        <w:tc>
          <w:tcPr>
            <w:tcW w:w="2761" w:type="dxa"/>
            <w:tcBorders/>
            <w:shd w:fill="FFFFFF" w:val="clear"/>
            <w:vAlign w:val="center"/>
          </w:tcPr>
          <w:p>
            <w:pPr>
              <w:pStyle w:val="TableContents"/>
              <w:bidi w:val="0"/>
              <w:spacing w:before="0" w:after="283"/>
              <w:jc w:val="left"/>
              <w:rPr>
                <w:sz w:val="4"/>
                <w:szCs w:val="4"/>
              </w:rPr>
            </w:pPr>
            <w:r>
              <w:rPr>
                <w:sz w:val="4"/>
                <w:szCs w:val="4"/>
              </w:rPr>
            </w:r>
          </w:p>
        </w:tc>
        <w:tc>
          <w:tcPr>
            <w:tcW w:w="1366" w:type="dxa"/>
            <w:tcBorders/>
            <w:shd w:fill="FFFFFF" w:val="clear"/>
            <w:vAlign w:val="center"/>
          </w:tcPr>
          <w:p>
            <w:pPr>
              <w:pStyle w:val="TableContents"/>
              <w:bidi w:val="0"/>
              <w:spacing w:before="0" w:after="283"/>
              <w:jc w:val="left"/>
              <w:rPr>
                <w:sz w:val="4"/>
                <w:szCs w:val="4"/>
              </w:rPr>
            </w:pPr>
            <w:r>
              <w:rPr>
                <w:sz w:val="4"/>
                <w:szCs w:val="4"/>
              </w:rPr>
            </w:r>
          </w:p>
        </w:tc>
      </w:tr>
      <w:tr>
        <w:trPr/>
        <w:tc>
          <w:tcPr>
            <w:tcW w:w="3931"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TableContents"/>
              <w:bidi w:val="0"/>
              <w:spacing w:before="60" w:after="60"/>
              <w:jc w:val="left"/>
              <w:rPr>
                <w:rFonts w:ascii="Times New Roman" w:hAnsi="Times New Roman"/>
                <w:sz w:val="20"/>
              </w:rPr>
            </w:pPr>
            <w:r>
              <w:rPr>
                <w:rFonts w:ascii="Arial" w:hAnsi="Arial"/>
                <w:b/>
                <w:color w:val="000000"/>
                <w:sz w:val="20"/>
              </w:rPr>
              <w:br/>
              <w:t>Name of Subsidiary</w:t>
            </w:r>
            <w:r>
              <w:rPr>
                <w:rFonts w:ascii="Times New Roman" w:hAnsi="Times New Roman"/>
                <w:color w:val="000000"/>
                <w:sz w:val="20"/>
              </w:rPr>
              <w:t xml:space="preserve"> </w:t>
            </w:r>
          </w:p>
        </w:tc>
        <w:tc>
          <w:tcPr>
            <w:tcW w:w="2761"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60" w:after="60"/>
              <w:jc w:val="center"/>
              <w:rPr>
                <w:rFonts w:ascii="Times New Roman" w:hAnsi="Times New Roman"/>
                <w:sz w:val="20"/>
              </w:rPr>
            </w:pPr>
            <w:r>
              <w:rPr>
                <w:rFonts w:ascii="Arial" w:hAnsi="Arial"/>
                <w:b/>
                <w:color w:val="000000"/>
                <w:sz w:val="20"/>
              </w:rPr>
              <w:t>Jurisdiction of Organization</w:t>
            </w:r>
            <w:r>
              <w:rPr>
                <w:rFonts w:ascii="Times New Roman" w:hAnsi="Times New Roman"/>
                <w:color w:val="000000"/>
                <w:sz w:val="20"/>
              </w:rPr>
              <w:t xml:space="preserve"> </w:t>
            </w:r>
          </w:p>
        </w:tc>
        <w:tc>
          <w:tcPr>
            <w:tcW w:w="1366"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60" w:after="60"/>
              <w:jc w:val="center"/>
              <w:rPr>
                <w:rFonts w:ascii="Arial" w:hAnsi="Arial"/>
                <w:b/>
                <w:color w:val="000000"/>
                <w:sz w:val="20"/>
              </w:rPr>
            </w:pPr>
            <w:r>
              <w:rPr>
                <w:rFonts w:ascii="Arial" w:hAnsi="Arial"/>
                <w:b/>
                <w:color w:val="000000"/>
                <w:sz w:val="20"/>
              </w:rPr>
              <w:br/>
              <w:t>Obligor Type</w:t>
            </w:r>
          </w:p>
        </w:tc>
      </w:tr>
      <w:tr>
        <w:trPr/>
        <w:tc>
          <w:tcPr>
            <w:tcW w:w="393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BHC Belmont Pines Hospital, Inc.</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Tennessee</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r>
        <w:trPr/>
        <w:tc>
          <w:tcPr>
            <w:tcW w:w="393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BHC Fairfax Hospital, Inc.</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Tennessee</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r>
        <w:trPr/>
        <w:tc>
          <w:tcPr>
            <w:tcW w:w="393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BHC Fox Run Hospital, Inc.</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Tennessee</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r>
        <w:trPr/>
        <w:tc>
          <w:tcPr>
            <w:tcW w:w="393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BHC Fremont Hospital, Inc.</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Tennessee</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r>
        <w:trPr/>
        <w:tc>
          <w:tcPr>
            <w:tcW w:w="393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BHC Health Services of Nevada, Inc.</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Nevada</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r>
        <w:trPr/>
        <w:tc>
          <w:tcPr>
            <w:tcW w:w="393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BHC Heritage Oaks Hospital, Inc.</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Tennessee</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r>
        <w:trPr/>
        <w:tc>
          <w:tcPr>
            <w:tcW w:w="393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BHC Holdings, Inc.</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Delaware</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r>
        <w:trPr/>
        <w:tc>
          <w:tcPr>
            <w:tcW w:w="393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BHC Intermountain Hospital, Inc.</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Tennessee</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r>
        <w:trPr/>
        <w:tc>
          <w:tcPr>
            <w:tcW w:w="393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BHC Mesilla Valley Hospital, LLC</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Delaware</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r>
        <w:trPr/>
        <w:tc>
          <w:tcPr>
            <w:tcW w:w="393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BHC Montevista Hospital, Inc.</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Nevada</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r>
        <w:trPr/>
        <w:tc>
          <w:tcPr>
            <w:tcW w:w="393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BHC Northwest Psychiatric Hospital, LLC</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Delaware</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r>
        <w:trPr/>
        <w:tc>
          <w:tcPr>
            <w:tcW w:w="393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BHC of Indiana, General Partnership</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Tennessee</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r>
        <w:trPr/>
        <w:tc>
          <w:tcPr>
            <w:tcW w:w="393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BHC Pinnacle Pointe Hospital, LLC</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Tennessee</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r>
        <w:trPr/>
        <w:tc>
          <w:tcPr>
            <w:tcW w:w="393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BHC Properties, LLC</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Tennessee</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r>
        <w:trPr/>
        <w:tc>
          <w:tcPr>
            <w:tcW w:w="393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BHC Sierra Vista Hospital, Inc.</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Tennessee</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r>
        <w:trPr/>
        <w:tc>
          <w:tcPr>
            <w:tcW w:w="393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BHC Streamwood Hospital, Inc.</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Tennessee</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r>
        <w:trPr/>
        <w:tc>
          <w:tcPr>
            <w:tcW w:w="393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Bloomington Meadows, General Partnership</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Tennessee</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r>
        <w:trPr/>
        <w:tc>
          <w:tcPr>
            <w:tcW w:w="393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Brentwood Acquisition-Shreveport, Inc.</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Delaware</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r>
        <w:trPr/>
        <w:tc>
          <w:tcPr>
            <w:tcW w:w="393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Brentwood Acquisition, Inc.</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Tennessee</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r>
        <w:trPr/>
        <w:tc>
          <w:tcPr>
            <w:tcW w:w="393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Brynn Marr Hospital, Inc.</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North Carolina</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r>
        <w:trPr/>
        <w:tc>
          <w:tcPr>
            <w:tcW w:w="393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Calvary Center, Inc.</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Delaware</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r>
        <w:trPr/>
        <w:tc>
          <w:tcPr>
            <w:tcW w:w="393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Canyon Ridge Hospital, Inc.</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California</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r>
        <w:trPr/>
        <w:tc>
          <w:tcPr>
            <w:tcW w:w="393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CAT Realty, LLC</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Delaware</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r>
        <w:trPr/>
        <w:tc>
          <w:tcPr>
            <w:tcW w:w="393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CAT Seattle, LLC</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Delaware</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r>
        <w:trPr/>
        <w:tc>
          <w:tcPr>
            <w:tcW w:w="393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CCS/Lansing, Inc.</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Michigan</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r>
        <w:trPr/>
        <w:tc>
          <w:tcPr>
            <w:tcW w:w="393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Cedar Springs Hospital, Inc.</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Delaware</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r>
        <w:trPr/>
        <w:tc>
          <w:tcPr>
            <w:tcW w:w="393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Children’s Comprehensive Services, Inc.</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Tennessee</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r>
        <w:trPr/>
        <w:tc>
          <w:tcPr>
            <w:tcW w:w="393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Columbus Hospital Partners, LLC</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Tennessee</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r>
        <w:trPr/>
        <w:tc>
          <w:tcPr>
            <w:tcW w:w="393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Coral Shores Behavioral Health, LLC</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Delaware</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r>
        <w:trPr/>
        <w:tc>
          <w:tcPr>
            <w:tcW w:w="393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Cumberland Hospital Partners, LLC</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Delaware</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r>
        <w:trPr/>
        <w:tc>
          <w:tcPr>
            <w:tcW w:w="393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Cumberland Hospital, LLC</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Virginia</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r>
        <w:trPr/>
        <w:tc>
          <w:tcPr>
            <w:tcW w:w="393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Del Amo Hospital, Inc.</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California</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r>
        <w:trPr/>
        <w:tc>
          <w:tcPr>
            <w:tcW w:w="393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DHP 2131 K St, LLC</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Delaware</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r>
        <w:trPr/>
        <w:tc>
          <w:tcPr>
            <w:tcW w:w="393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Diamond Grove Center, LLC</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Delaware</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bl>
    <w:p>
      <w:pPr>
        <w:pStyle w:val="TextBody"/>
        <w:bidi w:val="0"/>
        <w:jc w:val="left"/>
        <w:rPr>
          <w:rFonts w:ascii="Arial" w:hAnsi="Arial"/>
          <w:color w:val="000000"/>
          <w:sz w:val="22"/>
        </w:rPr>
      </w:pPr>
      <w:r>
        <w:rPr>
          <w:rFonts w:ascii="Arial" w:hAnsi="Arial"/>
          <w:color w:val="000000"/>
          <w:sz w:val="22"/>
        </w:rPr>
        <w:t>2</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8058" w:type="dxa"/>
        <w:jc w:val="left"/>
        <w:tblInd w:w="0" w:type="dxa"/>
        <w:tblLayout w:type="fixed"/>
        <w:tblCellMar>
          <w:top w:w="28" w:type="dxa"/>
          <w:left w:w="28" w:type="dxa"/>
          <w:bottom w:w="28" w:type="dxa"/>
          <w:right w:w="28" w:type="dxa"/>
        </w:tblCellMar>
      </w:tblPr>
      <w:tblGrid>
        <w:gridCol w:w="3931"/>
        <w:gridCol w:w="2761"/>
        <w:gridCol w:w="1366"/>
      </w:tblGrid>
      <w:tr>
        <w:trPr/>
        <w:tc>
          <w:tcPr>
            <w:tcW w:w="3931" w:type="dxa"/>
            <w:tcBorders/>
            <w:shd w:fill="FFFFFF" w:val="clear"/>
            <w:vAlign w:val="center"/>
          </w:tcPr>
          <w:p>
            <w:pPr>
              <w:pStyle w:val="TableContents"/>
              <w:bidi w:val="0"/>
              <w:spacing w:before="0" w:after="283"/>
              <w:jc w:val="left"/>
              <w:rPr>
                <w:sz w:val="4"/>
                <w:szCs w:val="4"/>
              </w:rPr>
            </w:pPr>
            <w:r>
              <w:rPr>
                <w:sz w:val="4"/>
                <w:szCs w:val="4"/>
              </w:rPr>
            </w:r>
          </w:p>
        </w:tc>
        <w:tc>
          <w:tcPr>
            <w:tcW w:w="2761" w:type="dxa"/>
            <w:tcBorders/>
            <w:shd w:fill="FFFFFF" w:val="clear"/>
            <w:vAlign w:val="center"/>
          </w:tcPr>
          <w:p>
            <w:pPr>
              <w:pStyle w:val="TableContents"/>
              <w:bidi w:val="0"/>
              <w:spacing w:before="0" w:after="283"/>
              <w:jc w:val="left"/>
              <w:rPr>
                <w:sz w:val="4"/>
                <w:szCs w:val="4"/>
              </w:rPr>
            </w:pPr>
            <w:r>
              <w:rPr>
                <w:sz w:val="4"/>
                <w:szCs w:val="4"/>
              </w:rPr>
            </w:r>
          </w:p>
        </w:tc>
        <w:tc>
          <w:tcPr>
            <w:tcW w:w="1366" w:type="dxa"/>
            <w:tcBorders/>
            <w:shd w:fill="FFFFFF" w:val="clear"/>
            <w:vAlign w:val="center"/>
          </w:tcPr>
          <w:p>
            <w:pPr>
              <w:pStyle w:val="TableContents"/>
              <w:bidi w:val="0"/>
              <w:spacing w:before="0" w:after="283"/>
              <w:jc w:val="left"/>
              <w:rPr>
                <w:sz w:val="4"/>
                <w:szCs w:val="4"/>
              </w:rPr>
            </w:pPr>
            <w:r>
              <w:rPr>
                <w:sz w:val="4"/>
                <w:szCs w:val="4"/>
              </w:rPr>
            </w:r>
          </w:p>
        </w:tc>
      </w:tr>
      <w:tr>
        <w:trPr/>
        <w:tc>
          <w:tcPr>
            <w:tcW w:w="3931"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TableContents"/>
              <w:bidi w:val="0"/>
              <w:spacing w:before="60" w:after="60"/>
              <w:jc w:val="left"/>
              <w:rPr>
                <w:rFonts w:ascii="Times New Roman" w:hAnsi="Times New Roman"/>
                <w:sz w:val="20"/>
              </w:rPr>
            </w:pPr>
            <w:r>
              <w:rPr>
                <w:rFonts w:ascii="Arial" w:hAnsi="Arial"/>
                <w:b/>
                <w:color w:val="000000"/>
                <w:sz w:val="20"/>
              </w:rPr>
              <w:br/>
              <w:t>Name of Subsidiary</w:t>
            </w:r>
            <w:r>
              <w:rPr>
                <w:rFonts w:ascii="Times New Roman" w:hAnsi="Times New Roman"/>
                <w:color w:val="000000"/>
                <w:sz w:val="20"/>
              </w:rPr>
              <w:t xml:space="preserve"> </w:t>
            </w:r>
          </w:p>
        </w:tc>
        <w:tc>
          <w:tcPr>
            <w:tcW w:w="2761"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60" w:after="60"/>
              <w:jc w:val="center"/>
              <w:rPr>
                <w:rFonts w:ascii="Times New Roman" w:hAnsi="Times New Roman"/>
                <w:sz w:val="20"/>
              </w:rPr>
            </w:pPr>
            <w:r>
              <w:rPr>
                <w:rFonts w:ascii="Arial" w:hAnsi="Arial"/>
                <w:b/>
                <w:color w:val="000000"/>
                <w:sz w:val="20"/>
              </w:rPr>
              <w:t>Jurisdiction of Organization</w:t>
            </w:r>
            <w:r>
              <w:rPr>
                <w:rFonts w:ascii="Times New Roman" w:hAnsi="Times New Roman"/>
                <w:color w:val="000000"/>
                <w:sz w:val="20"/>
              </w:rPr>
              <w:t xml:space="preserve"> </w:t>
            </w:r>
          </w:p>
        </w:tc>
        <w:tc>
          <w:tcPr>
            <w:tcW w:w="1366"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60" w:after="60"/>
              <w:jc w:val="center"/>
              <w:rPr>
                <w:rFonts w:ascii="Arial" w:hAnsi="Arial"/>
                <w:b/>
                <w:color w:val="000000"/>
                <w:sz w:val="20"/>
              </w:rPr>
            </w:pPr>
            <w:r>
              <w:rPr>
                <w:rFonts w:ascii="Arial" w:hAnsi="Arial"/>
                <w:b/>
                <w:color w:val="000000"/>
                <w:sz w:val="20"/>
              </w:rPr>
              <w:br/>
              <w:t>Obligor Type</w:t>
            </w:r>
          </w:p>
        </w:tc>
      </w:tr>
      <w:tr>
        <w:trPr/>
        <w:tc>
          <w:tcPr>
            <w:tcW w:w="393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District Hospital Partners, L.P.</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District of Columbia</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r>
        <w:trPr/>
        <w:tc>
          <w:tcPr>
            <w:tcW w:w="393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DVH Hospital Alliance LLC</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Delaware</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r>
        <w:trPr/>
        <w:tc>
          <w:tcPr>
            <w:tcW w:w="393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Emerald Coast Behavioral Hospital, LLC</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Delaware</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r>
        <w:trPr/>
        <w:tc>
          <w:tcPr>
            <w:tcW w:w="393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Fannin Management Services, LLC</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Texas</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r>
        <w:trPr/>
        <w:tc>
          <w:tcPr>
            <w:tcW w:w="393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First Hospital Corporation of Virginia Beach</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Virginia</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r>
        <w:trPr/>
        <w:tc>
          <w:tcPr>
            <w:tcW w:w="393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Forest View Psychiatric Hospital, Inc.</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Michigan</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r>
        <w:trPr/>
        <w:tc>
          <w:tcPr>
            <w:tcW w:w="393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Fort Duncan Medical Center, L.P.</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Delaware</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r>
        <w:trPr/>
        <w:tc>
          <w:tcPr>
            <w:tcW w:w="393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Fort Lauderdale Hospital, Inc.</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Florida</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r>
        <w:trPr/>
        <w:tc>
          <w:tcPr>
            <w:tcW w:w="393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FRN, INC.</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Delaware</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r>
        <w:trPr/>
        <w:tc>
          <w:tcPr>
            <w:tcW w:w="393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Frontline Behavioral Health, Inc.</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Delaware</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r>
        <w:trPr/>
        <w:tc>
          <w:tcPr>
            <w:tcW w:w="393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Frontline Hospital, LLC</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Delaware</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r>
        <w:trPr/>
        <w:tc>
          <w:tcPr>
            <w:tcW w:w="393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Frontline Residential Treatment Center, LLC</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Delaware</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r>
        <w:trPr/>
        <w:tc>
          <w:tcPr>
            <w:tcW w:w="393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Garfield Park Hospital, LLC</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Illinois</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r>
        <w:trPr/>
        <w:tc>
          <w:tcPr>
            <w:tcW w:w="393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Great Plains Hospital, Inc.</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Missouri</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r>
        <w:trPr/>
        <w:tc>
          <w:tcPr>
            <w:tcW w:w="393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Gulf Coast Treatment Center, Inc.</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Florida</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r>
        <w:trPr/>
        <w:tc>
          <w:tcPr>
            <w:tcW w:w="393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Gulph Mills Associates, LLC</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Pennsylvania</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r>
        <w:trPr/>
        <w:tc>
          <w:tcPr>
            <w:tcW w:w="393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H. C. Corporation</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Alabama</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r>
        <w:trPr/>
        <w:tc>
          <w:tcPr>
            <w:tcW w:w="393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H.C. Partnership</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Alabama</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r>
        <w:trPr/>
        <w:tc>
          <w:tcPr>
            <w:tcW w:w="393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Harbor Point Behavioral Health Center, Inc.</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Virginia</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r>
        <w:trPr/>
        <w:tc>
          <w:tcPr>
            <w:tcW w:w="393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Havenwyck Hospital Inc.</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Michigan</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r>
        <w:trPr/>
        <w:tc>
          <w:tcPr>
            <w:tcW w:w="393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HHC Augusta, Inc.</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Georgia</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r>
        <w:trPr/>
        <w:tc>
          <w:tcPr>
            <w:tcW w:w="393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HHC Delaware, Inc.</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Delaware</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r>
        <w:trPr/>
        <w:tc>
          <w:tcPr>
            <w:tcW w:w="393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HHC Indiana, Inc.</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Indiana</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r>
        <w:trPr/>
        <w:tc>
          <w:tcPr>
            <w:tcW w:w="393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HHC Ohio, Inc.</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Ohio</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r>
        <w:trPr/>
        <w:tc>
          <w:tcPr>
            <w:tcW w:w="393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HHC Pennsylvania, LLC</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Delaware</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r>
        <w:trPr/>
        <w:tc>
          <w:tcPr>
            <w:tcW w:w="393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HHC Poplar Springs, LLC</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Virginia</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r>
        <w:trPr/>
        <w:tc>
          <w:tcPr>
            <w:tcW w:w="393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HHC River Park, Inc.</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West Virginia</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r>
        <w:trPr/>
        <w:tc>
          <w:tcPr>
            <w:tcW w:w="393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HHC South Carolina, Inc.</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South Carolina</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r>
        <w:trPr/>
        <w:tc>
          <w:tcPr>
            <w:tcW w:w="393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HHC St. Simons, Inc.</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Georgia</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r>
        <w:trPr/>
        <w:tc>
          <w:tcPr>
            <w:tcW w:w="393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Hickory Trail Hospital, L.P.</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Delaware</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r>
        <w:trPr/>
        <w:tc>
          <w:tcPr>
            <w:tcW w:w="393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Holly Hill Hospital, LLC</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Tennessee</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r>
        <w:trPr/>
        <w:tc>
          <w:tcPr>
            <w:tcW w:w="393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Horizon Health Austin, Inc.</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Texas</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r>
        <w:trPr/>
        <w:tc>
          <w:tcPr>
            <w:tcW w:w="393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Horizon Health Corporation</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Delaware</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r>
        <w:trPr/>
        <w:tc>
          <w:tcPr>
            <w:tcW w:w="393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Horizon Health Hospital Services, LLC</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Delaware</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bl>
    <w:p>
      <w:pPr>
        <w:pStyle w:val="TextBody"/>
        <w:bidi w:val="0"/>
        <w:jc w:val="left"/>
        <w:rPr>
          <w:rFonts w:ascii="Arial" w:hAnsi="Arial"/>
          <w:color w:val="000000"/>
          <w:sz w:val="22"/>
        </w:rPr>
      </w:pPr>
      <w:r>
        <w:rPr>
          <w:rFonts w:ascii="Arial" w:hAnsi="Arial"/>
          <w:color w:val="000000"/>
          <w:sz w:val="22"/>
        </w:rPr>
        <w:t>3</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8298" w:type="dxa"/>
        <w:jc w:val="left"/>
        <w:tblInd w:w="0" w:type="dxa"/>
        <w:tblLayout w:type="fixed"/>
        <w:tblCellMar>
          <w:top w:w="28" w:type="dxa"/>
          <w:left w:w="28" w:type="dxa"/>
          <w:bottom w:w="28" w:type="dxa"/>
          <w:right w:w="28" w:type="dxa"/>
        </w:tblCellMar>
      </w:tblPr>
      <w:tblGrid>
        <w:gridCol w:w="4171"/>
        <w:gridCol w:w="2761"/>
        <w:gridCol w:w="1366"/>
      </w:tblGrid>
      <w:tr>
        <w:trPr/>
        <w:tc>
          <w:tcPr>
            <w:tcW w:w="4171" w:type="dxa"/>
            <w:tcBorders/>
            <w:shd w:fill="FFFFFF" w:val="clear"/>
            <w:vAlign w:val="center"/>
          </w:tcPr>
          <w:p>
            <w:pPr>
              <w:pStyle w:val="TableContents"/>
              <w:bidi w:val="0"/>
              <w:spacing w:before="0" w:after="283"/>
              <w:jc w:val="left"/>
              <w:rPr>
                <w:sz w:val="4"/>
                <w:szCs w:val="4"/>
              </w:rPr>
            </w:pPr>
            <w:r>
              <w:rPr>
                <w:sz w:val="4"/>
                <w:szCs w:val="4"/>
              </w:rPr>
            </w:r>
          </w:p>
        </w:tc>
        <w:tc>
          <w:tcPr>
            <w:tcW w:w="2761" w:type="dxa"/>
            <w:tcBorders/>
            <w:shd w:fill="FFFFFF" w:val="clear"/>
            <w:vAlign w:val="center"/>
          </w:tcPr>
          <w:p>
            <w:pPr>
              <w:pStyle w:val="TableContents"/>
              <w:bidi w:val="0"/>
              <w:spacing w:before="0" w:after="283"/>
              <w:jc w:val="left"/>
              <w:rPr>
                <w:sz w:val="4"/>
                <w:szCs w:val="4"/>
              </w:rPr>
            </w:pPr>
            <w:r>
              <w:rPr>
                <w:sz w:val="4"/>
                <w:szCs w:val="4"/>
              </w:rPr>
            </w:r>
          </w:p>
        </w:tc>
        <w:tc>
          <w:tcPr>
            <w:tcW w:w="1366" w:type="dxa"/>
            <w:tcBorders/>
            <w:shd w:fill="FFFFFF" w:val="clear"/>
            <w:vAlign w:val="center"/>
          </w:tcPr>
          <w:p>
            <w:pPr>
              <w:pStyle w:val="TableContents"/>
              <w:bidi w:val="0"/>
              <w:spacing w:before="0" w:after="283"/>
              <w:jc w:val="left"/>
              <w:rPr>
                <w:sz w:val="4"/>
                <w:szCs w:val="4"/>
              </w:rPr>
            </w:pPr>
            <w:r>
              <w:rPr>
                <w:sz w:val="4"/>
                <w:szCs w:val="4"/>
              </w:rPr>
            </w:r>
          </w:p>
        </w:tc>
      </w:tr>
      <w:tr>
        <w:trPr/>
        <w:tc>
          <w:tcPr>
            <w:tcW w:w="4171"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TableContents"/>
              <w:bidi w:val="0"/>
              <w:spacing w:before="60" w:after="60"/>
              <w:jc w:val="left"/>
              <w:rPr>
                <w:rFonts w:ascii="Times New Roman" w:hAnsi="Times New Roman"/>
                <w:sz w:val="20"/>
              </w:rPr>
            </w:pPr>
            <w:r>
              <w:rPr>
                <w:rFonts w:ascii="Arial" w:hAnsi="Arial"/>
                <w:b/>
                <w:color w:val="000000"/>
                <w:sz w:val="20"/>
              </w:rPr>
              <w:br/>
              <w:t>Name of Subsidiary</w:t>
            </w:r>
            <w:r>
              <w:rPr>
                <w:rFonts w:ascii="Times New Roman" w:hAnsi="Times New Roman"/>
                <w:color w:val="000000"/>
                <w:sz w:val="20"/>
              </w:rPr>
              <w:t xml:space="preserve"> </w:t>
            </w:r>
          </w:p>
        </w:tc>
        <w:tc>
          <w:tcPr>
            <w:tcW w:w="2761"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60" w:after="60"/>
              <w:jc w:val="center"/>
              <w:rPr>
                <w:rFonts w:ascii="Times New Roman" w:hAnsi="Times New Roman"/>
                <w:sz w:val="20"/>
              </w:rPr>
            </w:pPr>
            <w:r>
              <w:rPr>
                <w:rFonts w:ascii="Arial" w:hAnsi="Arial"/>
                <w:b/>
                <w:color w:val="000000"/>
                <w:sz w:val="20"/>
              </w:rPr>
              <w:t>Jurisdiction of Organization</w:t>
            </w:r>
            <w:r>
              <w:rPr>
                <w:rFonts w:ascii="Times New Roman" w:hAnsi="Times New Roman"/>
                <w:color w:val="000000"/>
                <w:sz w:val="20"/>
              </w:rPr>
              <w:t xml:space="preserve"> </w:t>
            </w:r>
          </w:p>
        </w:tc>
        <w:tc>
          <w:tcPr>
            <w:tcW w:w="1366"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60" w:after="60"/>
              <w:jc w:val="center"/>
              <w:rPr>
                <w:rFonts w:ascii="Arial" w:hAnsi="Arial"/>
                <w:b/>
                <w:color w:val="000000"/>
                <w:sz w:val="20"/>
              </w:rPr>
            </w:pPr>
            <w:r>
              <w:rPr>
                <w:rFonts w:ascii="Arial" w:hAnsi="Arial"/>
                <w:b/>
                <w:color w:val="000000"/>
                <w:sz w:val="20"/>
              </w:rPr>
              <w:br/>
              <w:t>Obligor Type</w:t>
            </w:r>
          </w:p>
        </w:tc>
      </w:tr>
      <w:tr>
        <w:trPr/>
        <w:tc>
          <w:tcPr>
            <w:tcW w:w="417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Horizon Mental Health Management, LLC</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Texas</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r>
        <w:trPr/>
        <w:tc>
          <w:tcPr>
            <w:tcW w:w="417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HSA Hill Crest Corporation</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Alabama</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r>
        <w:trPr/>
        <w:tc>
          <w:tcPr>
            <w:tcW w:w="417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Hughes Center, LLC</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Virginia</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r>
        <w:trPr/>
        <w:tc>
          <w:tcPr>
            <w:tcW w:w="417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Independence Physician Management, LLC</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Delaware</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r>
        <w:trPr/>
        <w:tc>
          <w:tcPr>
            <w:tcW w:w="417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Keys Group Holdings LLC</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Delaware</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r>
        <w:trPr/>
        <w:tc>
          <w:tcPr>
            <w:tcW w:w="417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Keystone Continuum, LLC</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Tennessee</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r>
        <w:trPr/>
        <w:tc>
          <w:tcPr>
            <w:tcW w:w="417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Keystone Education and Youth Services, LLC</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Tennessee</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r>
        <w:trPr/>
        <w:tc>
          <w:tcPr>
            <w:tcW w:w="417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Keystone Marion, LLC</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Virginia</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r>
        <w:trPr/>
        <w:tc>
          <w:tcPr>
            <w:tcW w:w="417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Keystone Memphis, LLC</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Tennessee</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r>
        <w:trPr/>
        <w:tc>
          <w:tcPr>
            <w:tcW w:w="417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Keystone Newport News, LLC</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Virginia</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r>
        <w:trPr/>
        <w:tc>
          <w:tcPr>
            <w:tcW w:w="417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Keystone NPS LLC</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California</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r>
        <w:trPr/>
        <w:tc>
          <w:tcPr>
            <w:tcW w:w="417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Keystone Richland Center LLC</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Ohio</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r>
        <w:trPr/>
        <w:tc>
          <w:tcPr>
            <w:tcW w:w="417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Keystone WSNC, L.L.C.</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North Carolina</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r>
        <w:trPr/>
        <w:tc>
          <w:tcPr>
            <w:tcW w:w="417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Keystone/CCS Partners LLC</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Delaware</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r>
        <w:trPr/>
        <w:tc>
          <w:tcPr>
            <w:tcW w:w="417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Kids Behavioral Health of Utah, Inc.</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Utah</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r>
        <w:trPr/>
        <w:tc>
          <w:tcPr>
            <w:tcW w:w="417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Kingwood Pines Hospital, LLC</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Texas</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r>
        <w:trPr/>
        <w:tc>
          <w:tcPr>
            <w:tcW w:w="417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KMI Acquisition, LLC</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Delaware</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r>
        <w:trPr/>
        <w:tc>
          <w:tcPr>
            <w:tcW w:w="417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La Amistad Residential Treatment Center, LLC</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Florida</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r>
        <w:trPr/>
        <w:tc>
          <w:tcPr>
            <w:tcW w:w="417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Lancaster Hospital Corporation</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California</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r>
        <w:trPr/>
        <w:tc>
          <w:tcPr>
            <w:tcW w:w="417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Laurel Oaks Behavioral Health Center, Inc.</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Delaware</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r>
        <w:trPr/>
        <w:tc>
          <w:tcPr>
            <w:tcW w:w="417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Lebanon Hospital Partners, LLC</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Tennessee</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r>
        <w:trPr/>
        <w:tc>
          <w:tcPr>
            <w:tcW w:w="417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Liberty Point Behavioral Healthcare, LLC</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Delaware</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r>
        <w:trPr/>
        <w:tc>
          <w:tcPr>
            <w:tcW w:w="417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Manatee Memorial Hospital, L.P.</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Delaware</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r>
        <w:trPr/>
        <w:tc>
          <w:tcPr>
            <w:tcW w:w="417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Mayhill Behavioral Health, LLC</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Texas</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r>
        <w:trPr/>
        <w:tc>
          <w:tcPr>
            <w:tcW w:w="417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McAllen Hospitals, L.P.</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Delaware</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r>
        <w:trPr/>
        <w:tc>
          <w:tcPr>
            <w:tcW w:w="417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McAllen Medical Center, Inc.</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Delaware</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r>
        <w:trPr/>
        <w:tc>
          <w:tcPr>
            <w:tcW w:w="417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Meridell Achievement Center, Inc.</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Texas</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r>
        <w:trPr/>
        <w:tc>
          <w:tcPr>
            <w:tcW w:w="417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Merion Building Management, Inc.</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Delaware</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r>
        <w:trPr/>
        <w:tc>
          <w:tcPr>
            <w:tcW w:w="417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Michigan Psychiatric Services, Inc.</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Michigan</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r>
        <w:trPr/>
        <w:tc>
          <w:tcPr>
            <w:tcW w:w="417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Millwood Hospital, L.P.</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Texas</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r>
        <w:trPr/>
        <w:tc>
          <w:tcPr>
            <w:tcW w:w="417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Milwaukee Behavioral Health, LLC</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Wisconsin</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r>
        <w:trPr/>
        <w:tc>
          <w:tcPr>
            <w:tcW w:w="417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Neuro Institute of Austin, L.P.</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Texas</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r>
        <w:trPr/>
        <w:tc>
          <w:tcPr>
            <w:tcW w:w="417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North Spring Behavioral Healthcare, Inc.</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Tennessee</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bl>
    <w:p>
      <w:pPr>
        <w:pStyle w:val="TextBody"/>
        <w:bidi w:val="0"/>
        <w:jc w:val="left"/>
        <w:rPr>
          <w:rFonts w:ascii="Arial" w:hAnsi="Arial"/>
          <w:color w:val="000000"/>
          <w:sz w:val="22"/>
        </w:rPr>
      </w:pPr>
      <w:r>
        <w:rPr>
          <w:rFonts w:ascii="Arial" w:hAnsi="Arial"/>
          <w:color w:val="000000"/>
          <w:sz w:val="22"/>
        </w:rPr>
        <w:t>4</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8583" w:type="dxa"/>
        <w:jc w:val="left"/>
        <w:tblInd w:w="0" w:type="dxa"/>
        <w:tblLayout w:type="fixed"/>
        <w:tblCellMar>
          <w:top w:w="28" w:type="dxa"/>
          <w:left w:w="28" w:type="dxa"/>
          <w:bottom w:w="28" w:type="dxa"/>
          <w:right w:w="28" w:type="dxa"/>
        </w:tblCellMar>
      </w:tblPr>
      <w:tblGrid>
        <w:gridCol w:w="4456"/>
        <w:gridCol w:w="2761"/>
        <w:gridCol w:w="1366"/>
      </w:tblGrid>
      <w:tr>
        <w:trPr/>
        <w:tc>
          <w:tcPr>
            <w:tcW w:w="4456" w:type="dxa"/>
            <w:tcBorders/>
            <w:shd w:fill="FFFFFF" w:val="clear"/>
            <w:vAlign w:val="center"/>
          </w:tcPr>
          <w:p>
            <w:pPr>
              <w:pStyle w:val="TableContents"/>
              <w:bidi w:val="0"/>
              <w:spacing w:before="0" w:after="283"/>
              <w:jc w:val="left"/>
              <w:rPr>
                <w:sz w:val="4"/>
                <w:szCs w:val="4"/>
              </w:rPr>
            </w:pPr>
            <w:r>
              <w:rPr>
                <w:sz w:val="4"/>
                <w:szCs w:val="4"/>
              </w:rPr>
            </w:r>
          </w:p>
        </w:tc>
        <w:tc>
          <w:tcPr>
            <w:tcW w:w="2761" w:type="dxa"/>
            <w:tcBorders/>
            <w:shd w:fill="FFFFFF" w:val="clear"/>
            <w:vAlign w:val="center"/>
          </w:tcPr>
          <w:p>
            <w:pPr>
              <w:pStyle w:val="TableContents"/>
              <w:bidi w:val="0"/>
              <w:spacing w:before="0" w:after="283"/>
              <w:jc w:val="left"/>
              <w:rPr>
                <w:sz w:val="4"/>
                <w:szCs w:val="4"/>
              </w:rPr>
            </w:pPr>
            <w:r>
              <w:rPr>
                <w:sz w:val="4"/>
                <w:szCs w:val="4"/>
              </w:rPr>
            </w:r>
          </w:p>
        </w:tc>
        <w:tc>
          <w:tcPr>
            <w:tcW w:w="1366" w:type="dxa"/>
            <w:tcBorders/>
            <w:shd w:fill="FFFFFF" w:val="clear"/>
            <w:vAlign w:val="center"/>
          </w:tcPr>
          <w:p>
            <w:pPr>
              <w:pStyle w:val="TableContents"/>
              <w:bidi w:val="0"/>
              <w:spacing w:before="0" w:after="283"/>
              <w:jc w:val="left"/>
              <w:rPr>
                <w:sz w:val="4"/>
                <w:szCs w:val="4"/>
              </w:rPr>
            </w:pPr>
            <w:r>
              <w:rPr>
                <w:sz w:val="4"/>
                <w:szCs w:val="4"/>
              </w:rPr>
            </w:r>
          </w:p>
        </w:tc>
      </w:tr>
      <w:tr>
        <w:trPr/>
        <w:tc>
          <w:tcPr>
            <w:tcW w:w="4456"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TableContents"/>
              <w:bidi w:val="0"/>
              <w:spacing w:before="60" w:after="60"/>
              <w:jc w:val="left"/>
              <w:rPr>
                <w:rFonts w:ascii="Times New Roman" w:hAnsi="Times New Roman"/>
                <w:sz w:val="20"/>
              </w:rPr>
            </w:pPr>
            <w:r>
              <w:rPr>
                <w:rFonts w:ascii="Arial" w:hAnsi="Arial"/>
                <w:b/>
                <w:color w:val="000000"/>
                <w:sz w:val="20"/>
              </w:rPr>
              <w:br/>
              <w:t>Name of Subsidiary</w:t>
            </w:r>
            <w:r>
              <w:rPr>
                <w:rFonts w:ascii="Times New Roman" w:hAnsi="Times New Roman"/>
                <w:color w:val="000000"/>
                <w:sz w:val="20"/>
              </w:rPr>
              <w:t xml:space="preserve"> </w:t>
            </w:r>
          </w:p>
        </w:tc>
        <w:tc>
          <w:tcPr>
            <w:tcW w:w="2761"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60" w:after="60"/>
              <w:jc w:val="center"/>
              <w:rPr>
                <w:rFonts w:ascii="Times New Roman" w:hAnsi="Times New Roman"/>
                <w:sz w:val="20"/>
              </w:rPr>
            </w:pPr>
            <w:r>
              <w:rPr>
                <w:rFonts w:ascii="Arial" w:hAnsi="Arial"/>
                <w:b/>
                <w:color w:val="000000"/>
                <w:sz w:val="20"/>
              </w:rPr>
              <w:t>Jurisdiction of Organization</w:t>
            </w:r>
            <w:r>
              <w:rPr>
                <w:rFonts w:ascii="Times New Roman" w:hAnsi="Times New Roman"/>
                <w:color w:val="000000"/>
                <w:sz w:val="20"/>
              </w:rPr>
              <w:t xml:space="preserve"> </w:t>
            </w:r>
          </w:p>
        </w:tc>
        <w:tc>
          <w:tcPr>
            <w:tcW w:w="1366"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60" w:after="60"/>
              <w:jc w:val="center"/>
              <w:rPr>
                <w:rFonts w:ascii="Arial" w:hAnsi="Arial"/>
                <w:b/>
                <w:color w:val="000000"/>
                <w:sz w:val="20"/>
              </w:rPr>
            </w:pPr>
            <w:r>
              <w:rPr>
                <w:rFonts w:ascii="Arial" w:hAnsi="Arial"/>
                <w:b/>
                <w:color w:val="000000"/>
                <w:sz w:val="20"/>
              </w:rPr>
              <w:br/>
              <w:t>Obligor Type</w:t>
            </w:r>
          </w:p>
        </w:tc>
      </w:tr>
      <w:tr>
        <w:trPr/>
        <w:tc>
          <w:tcPr>
            <w:tcW w:w="445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Northern Indiana Partners, LLC</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Tennessee</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r>
        <w:trPr/>
        <w:tc>
          <w:tcPr>
            <w:tcW w:w="445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Northwest Texas Healthcare System, Inc.</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Texas</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r>
        <w:trPr/>
        <w:tc>
          <w:tcPr>
            <w:tcW w:w="445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Oak Plains Academy of Tennessee, Inc.</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Tennessee</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r>
        <w:trPr/>
        <w:tc>
          <w:tcPr>
            <w:tcW w:w="445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Ocala Behavioral Health, LLC</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Delaware</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r>
        <w:trPr/>
        <w:tc>
          <w:tcPr>
            <w:tcW w:w="445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Palm Point Behavioral Health, LLC</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Florida</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r>
        <w:trPr/>
        <w:tc>
          <w:tcPr>
            <w:tcW w:w="445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Palmetto Behavioral Health Holdings, LLC</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Delaware</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r>
        <w:trPr/>
        <w:tc>
          <w:tcPr>
            <w:tcW w:w="445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Palmetto Behavioral Health System, L.L.C.</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South Carolina</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r>
        <w:trPr/>
        <w:tc>
          <w:tcPr>
            <w:tcW w:w="445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Palmetto Lowcountry Behavioral Health, L.L.C.</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South Carolina</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r>
        <w:trPr/>
        <w:tc>
          <w:tcPr>
            <w:tcW w:w="445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Park Healthcare Company</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Tennessee</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r>
        <w:trPr/>
        <w:tc>
          <w:tcPr>
            <w:tcW w:w="445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Pasteur Healthcare Properties, LLC</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Delaware</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r>
        <w:trPr/>
        <w:tc>
          <w:tcPr>
            <w:tcW w:w="445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Pendleton Methodist Hospital, L.L.C.</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Delaware</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r>
        <w:trPr/>
        <w:tc>
          <w:tcPr>
            <w:tcW w:w="445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Pennsylvania Clinical Schools, Inc.</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Times New Roman" w:hAnsi="Times New Roman"/>
                <w:sz w:val="20"/>
              </w:rPr>
            </w:pPr>
            <w:r>
              <w:rPr>
                <w:rFonts w:ascii="Arial" w:hAnsi="Arial"/>
                <w:color w:val="000000"/>
                <w:sz w:val="20"/>
              </w:rPr>
              <w:t>Pennsylvania</w:t>
            </w:r>
            <w:r>
              <w:rPr>
                <w:rFonts w:ascii="Times New Roman" w:hAnsi="Times New Roman"/>
                <w:color w:val="000000"/>
                <w:sz w:val="20"/>
              </w:rPr>
              <w:t xml:space="preserve"> </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r>
        <w:trPr/>
        <w:tc>
          <w:tcPr>
            <w:tcW w:w="445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Premier Behavioral Solutions of Florida, Inc.</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Delaware</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r>
        <w:trPr/>
        <w:tc>
          <w:tcPr>
            <w:tcW w:w="445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Premier Behavioral Solutions, Inc.</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Delaware</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r>
        <w:trPr/>
        <w:tc>
          <w:tcPr>
            <w:tcW w:w="445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PSJ Acquisition, LLC</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North Dakota</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r>
        <w:trPr/>
        <w:tc>
          <w:tcPr>
            <w:tcW w:w="445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Psychiatric Realty, LLC</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Delaware</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r>
        <w:trPr/>
        <w:tc>
          <w:tcPr>
            <w:tcW w:w="445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Psychiatric Solutions Hospitals, LLC</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Delaware</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r>
        <w:trPr/>
        <w:tc>
          <w:tcPr>
            <w:tcW w:w="445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Psychiatric Solutions of Virginia, Inc.</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Tennessee</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r>
        <w:trPr/>
        <w:tc>
          <w:tcPr>
            <w:tcW w:w="445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Psychiatric Solutions, Inc.</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Delaware</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r>
        <w:trPr/>
        <w:tc>
          <w:tcPr>
            <w:tcW w:w="445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Ramsay Managed Care, LLC</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Delaware</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r>
        <w:trPr/>
        <w:tc>
          <w:tcPr>
            <w:tcW w:w="445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Ramsay Youth Services of Georgia, Inc.</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Delaware</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r>
        <w:trPr/>
        <w:tc>
          <w:tcPr>
            <w:tcW w:w="445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Ridge Outpatient Counseling, L.L.C.</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Kentucky</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r>
        <w:trPr/>
        <w:tc>
          <w:tcPr>
            <w:tcW w:w="445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River Oaks, Inc.</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Louisiana</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r>
        <w:trPr/>
        <w:tc>
          <w:tcPr>
            <w:tcW w:w="445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Riveredge Hospital Holdings, Inc.</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Delaware</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r>
        <w:trPr/>
        <w:tc>
          <w:tcPr>
            <w:tcW w:w="445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Riverside Medical Clinic Patient Services, L.L.C.</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California</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r>
        <w:trPr/>
        <w:tc>
          <w:tcPr>
            <w:tcW w:w="445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Rolling Hills Hospital, LLC</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Tennessee</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r>
        <w:trPr/>
        <w:tc>
          <w:tcPr>
            <w:tcW w:w="445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RR Recovery, LLC</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Delaware</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r>
        <w:trPr/>
        <w:tc>
          <w:tcPr>
            <w:tcW w:w="445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Salt Lake Behavioral Health, LLC</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Delaware</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r>
        <w:trPr/>
        <w:tc>
          <w:tcPr>
            <w:tcW w:w="445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Salt Lake Psychiatric Realty, LLC</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Delaware</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r>
        <w:trPr/>
        <w:tc>
          <w:tcPr>
            <w:tcW w:w="445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Samson Properties, LLC</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Florida</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r>
        <w:trPr/>
        <w:tc>
          <w:tcPr>
            <w:tcW w:w="445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Schick Shadel of Florida, LLC</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Florida</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r>
        <w:trPr/>
        <w:tc>
          <w:tcPr>
            <w:tcW w:w="445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Shadow Mountain Behavioral Health System, LLC</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Delaware</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bl>
    <w:p>
      <w:pPr>
        <w:pStyle w:val="TextBody"/>
        <w:bidi w:val="0"/>
        <w:jc w:val="left"/>
        <w:rPr>
          <w:rFonts w:ascii="Arial" w:hAnsi="Arial"/>
          <w:color w:val="000000"/>
          <w:sz w:val="22"/>
        </w:rPr>
      </w:pPr>
      <w:r>
        <w:rPr>
          <w:rFonts w:ascii="Arial" w:hAnsi="Arial"/>
          <w:color w:val="000000"/>
          <w:sz w:val="22"/>
        </w:rPr>
        <w:t>5</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8073" w:type="dxa"/>
        <w:jc w:val="left"/>
        <w:tblInd w:w="0" w:type="dxa"/>
        <w:tblLayout w:type="fixed"/>
        <w:tblCellMar>
          <w:top w:w="28" w:type="dxa"/>
          <w:left w:w="28" w:type="dxa"/>
          <w:bottom w:w="28" w:type="dxa"/>
          <w:right w:w="28" w:type="dxa"/>
        </w:tblCellMar>
      </w:tblPr>
      <w:tblGrid>
        <w:gridCol w:w="3946"/>
        <w:gridCol w:w="2761"/>
        <w:gridCol w:w="1366"/>
      </w:tblGrid>
      <w:tr>
        <w:trPr/>
        <w:tc>
          <w:tcPr>
            <w:tcW w:w="3946" w:type="dxa"/>
            <w:tcBorders/>
            <w:shd w:fill="FFFFFF" w:val="clear"/>
            <w:vAlign w:val="center"/>
          </w:tcPr>
          <w:p>
            <w:pPr>
              <w:pStyle w:val="TableContents"/>
              <w:bidi w:val="0"/>
              <w:spacing w:before="0" w:after="283"/>
              <w:jc w:val="left"/>
              <w:rPr>
                <w:sz w:val="4"/>
                <w:szCs w:val="4"/>
              </w:rPr>
            </w:pPr>
            <w:r>
              <w:rPr>
                <w:sz w:val="4"/>
                <w:szCs w:val="4"/>
              </w:rPr>
            </w:r>
          </w:p>
        </w:tc>
        <w:tc>
          <w:tcPr>
            <w:tcW w:w="2761" w:type="dxa"/>
            <w:tcBorders/>
            <w:shd w:fill="FFFFFF" w:val="clear"/>
            <w:vAlign w:val="center"/>
          </w:tcPr>
          <w:p>
            <w:pPr>
              <w:pStyle w:val="TableContents"/>
              <w:bidi w:val="0"/>
              <w:spacing w:before="0" w:after="283"/>
              <w:jc w:val="left"/>
              <w:rPr>
                <w:sz w:val="4"/>
                <w:szCs w:val="4"/>
              </w:rPr>
            </w:pPr>
            <w:r>
              <w:rPr>
                <w:sz w:val="4"/>
                <w:szCs w:val="4"/>
              </w:rPr>
            </w:r>
          </w:p>
        </w:tc>
        <w:tc>
          <w:tcPr>
            <w:tcW w:w="1366" w:type="dxa"/>
            <w:tcBorders/>
            <w:shd w:fill="FFFFFF" w:val="clear"/>
            <w:vAlign w:val="center"/>
          </w:tcPr>
          <w:p>
            <w:pPr>
              <w:pStyle w:val="TableContents"/>
              <w:bidi w:val="0"/>
              <w:spacing w:before="0" w:after="283"/>
              <w:jc w:val="left"/>
              <w:rPr>
                <w:sz w:val="4"/>
                <w:szCs w:val="4"/>
              </w:rPr>
            </w:pPr>
            <w:r>
              <w:rPr>
                <w:sz w:val="4"/>
                <w:szCs w:val="4"/>
              </w:rPr>
            </w:r>
          </w:p>
        </w:tc>
      </w:tr>
      <w:tr>
        <w:trPr/>
        <w:tc>
          <w:tcPr>
            <w:tcW w:w="3946"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TableContents"/>
              <w:bidi w:val="0"/>
              <w:spacing w:before="60" w:after="60"/>
              <w:jc w:val="left"/>
              <w:rPr>
                <w:rFonts w:ascii="Times New Roman" w:hAnsi="Times New Roman"/>
                <w:sz w:val="20"/>
              </w:rPr>
            </w:pPr>
            <w:r>
              <w:rPr>
                <w:rFonts w:ascii="Arial" w:hAnsi="Arial"/>
                <w:b/>
                <w:color w:val="000000"/>
                <w:sz w:val="20"/>
              </w:rPr>
              <w:br/>
              <w:t>Name of Subsidiary</w:t>
            </w:r>
            <w:r>
              <w:rPr>
                <w:rFonts w:ascii="Times New Roman" w:hAnsi="Times New Roman"/>
                <w:color w:val="000000"/>
                <w:sz w:val="20"/>
              </w:rPr>
              <w:t xml:space="preserve"> </w:t>
            </w:r>
          </w:p>
        </w:tc>
        <w:tc>
          <w:tcPr>
            <w:tcW w:w="2761"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60" w:after="60"/>
              <w:jc w:val="center"/>
              <w:rPr>
                <w:rFonts w:ascii="Times New Roman" w:hAnsi="Times New Roman"/>
                <w:sz w:val="20"/>
              </w:rPr>
            </w:pPr>
            <w:r>
              <w:rPr>
                <w:rFonts w:ascii="Arial" w:hAnsi="Arial"/>
                <w:b/>
                <w:color w:val="000000"/>
                <w:sz w:val="20"/>
              </w:rPr>
              <w:t>Jurisdiction of Organization</w:t>
            </w:r>
            <w:r>
              <w:rPr>
                <w:rFonts w:ascii="Times New Roman" w:hAnsi="Times New Roman"/>
                <w:color w:val="000000"/>
                <w:sz w:val="20"/>
              </w:rPr>
              <w:t xml:space="preserve"> </w:t>
            </w:r>
          </w:p>
        </w:tc>
        <w:tc>
          <w:tcPr>
            <w:tcW w:w="1366"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60" w:after="60"/>
              <w:jc w:val="center"/>
              <w:rPr>
                <w:rFonts w:ascii="Arial" w:hAnsi="Arial"/>
                <w:b/>
                <w:color w:val="000000"/>
                <w:sz w:val="20"/>
              </w:rPr>
            </w:pPr>
            <w:r>
              <w:rPr>
                <w:rFonts w:ascii="Arial" w:hAnsi="Arial"/>
                <w:b/>
                <w:color w:val="000000"/>
                <w:sz w:val="20"/>
              </w:rPr>
              <w:br/>
              <w:t>Obligor Type</w:t>
            </w:r>
          </w:p>
        </w:tc>
      </w:tr>
      <w:tr>
        <w:trPr/>
        <w:tc>
          <w:tcPr>
            <w:tcW w:w="394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SHC-KPH, LP</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Texas</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r>
        <w:trPr/>
        <w:tc>
          <w:tcPr>
            <w:tcW w:w="394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Southeastern Hospital Corporation</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Tennessee</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r>
        <w:trPr/>
        <w:tc>
          <w:tcPr>
            <w:tcW w:w="394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SP Behavioral, LLC</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Florida</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r>
        <w:trPr/>
        <w:tc>
          <w:tcPr>
            <w:tcW w:w="394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Sparks Family Hospital, Inc.</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Nevada</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r>
        <w:trPr/>
        <w:tc>
          <w:tcPr>
            <w:tcW w:w="394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Springfield Hospital, Inc.</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Delaware</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r>
        <w:trPr/>
        <w:tc>
          <w:tcPr>
            <w:tcW w:w="394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Stonington Behavioral Health, Inc.</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Delaware</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r>
        <w:trPr/>
        <w:tc>
          <w:tcPr>
            <w:tcW w:w="394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Summit Oaks Hospital, Inc.</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New Jersey</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r>
        <w:trPr/>
        <w:tc>
          <w:tcPr>
            <w:tcW w:w="394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Sunstone Behavioral Health, LLC</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Tennessee</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r>
        <w:trPr/>
        <w:tc>
          <w:tcPr>
            <w:tcW w:w="394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TBD Acquisition II, LLC</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Delaware</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r>
        <w:trPr/>
        <w:tc>
          <w:tcPr>
            <w:tcW w:w="394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TBD Acquisition, LLC</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Delaware</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r>
        <w:trPr/>
        <w:tc>
          <w:tcPr>
            <w:tcW w:w="394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TBJ Behavioral Center, LLC</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Delaware</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r>
        <w:trPr/>
        <w:tc>
          <w:tcPr>
            <w:tcW w:w="394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Temecula Valley Hospital, Inc.</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California</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r>
        <w:trPr/>
        <w:tc>
          <w:tcPr>
            <w:tcW w:w="394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Temple Behavioral Healthcare Hospital, Inc.</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Texas</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r>
        <w:trPr/>
        <w:tc>
          <w:tcPr>
            <w:tcW w:w="394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Tennessee Clinical Schools, LLC</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Tennessee</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r>
        <w:trPr/>
        <w:tc>
          <w:tcPr>
            <w:tcW w:w="394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Texas Cypress Creek Hospital, L.P.</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Texas</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r>
        <w:trPr/>
        <w:tc>
          <w:tcPr>
            <w:tcW w:w="394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Texas Hospital Holdings, Inc.</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Delaware</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r>
        <w:trPr/>
        <w:tc>
          <w:tcPr>
            <w:tcW w:w="394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Texas Laurel Ridge Hospital, L.P.</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Texas</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r>
        <w:trPr/>
        <w:tc>
          <w:tcPr>
            <w:tcW w:w="394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Texas Oaks Psychiatric Hospital, L.P.</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Texas</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r>
        <w:trPr/>
        <w:tc>
          <w:tcPr>
            <w:tcW w:w="394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Texas San Marcos Treatment Center, L.P.</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Texas</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r>
        <w:trPr/>
        <w:tc>
          <w:tcPr>
            <w:tcW w:w="394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Texas West Oaks Hospital, L.P.</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Texas</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r>
        <w:trPr/>
        <w:tc>
          <w:tcPr>
            <w:tcW w:w="394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The Arbour, Inc.</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Massachusetts</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r>
        <w:trPr/>
        <w:tc>
          <w:tcPr>
            <w:tcW w:w="394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The Bridgeway, LLC</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Arkansas</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r>
        <w:trPr/>
        <w:tc>
          <w:tcPr>
            <w:tcW w:w="394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The National Deaf Academy, LLC</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Florida</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r>
        <w:trPr/>
        <w:tc>
          <w:tcPr>
            <w:tcW w:w="394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Three Rivers Behavioral Health, LLC</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South Carolina</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r>
        <w:trPr/>
        <w:tc>
          <w:tcPr>
            <w:tcW w:w="394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Three Rivers Healthcare Group, LLC</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South Carolina</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r>
        <w:trPr/>
        <w:tc>
          <w:tcPr>
            <w:tcW w:w="394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Toledo Holding Co., LLC</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Delaware</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r>
        <w:trPr/>
        <w:tc>
          <w:tcPr>
            <w:tcW w:w="394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Turning Point Care Center, LLC</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Georgia</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r>
        <w:trPr/>
        <w:tc>
          <w:tcPr>
            <w:tcW w:w="394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Two Rivers Psychiatric Hospital, Inc.</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Delaware</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r>
        <w:trPr/>
        <w:tc>
          <w:tcPr>
            <w:tcW w:w="394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UBH of Oregon, LLC</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Delaware</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r>
        <w:trPr/>
        <w:tc>
          <w:tcPr>
            <w:tcW w:w="394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UBH of Phoenix Realty, LLC</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Delaware</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r>
        <w:trPr/>
        <w:tc>
          <w:tcPr>
            <w:tcW w:w="394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UBH of Phoenix, LLC</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Delaware</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r>
        <w:trPr/>
        <w:tc>
          <w:tcPr>
            <w:tcW w:w="394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UHP LP</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Delaware</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r>
        <w:trPr/>
        <w:tc>
          <w:tcPr>
            <w:tcW w:w="394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UHS Capitol Acquisition, LLC</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Delaware</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r>
        <w:trPr/>
        <w:tc>
          <w:tcPr>
            <w:tcW w:w="394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UHS Children Services, Inc.</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Delaware</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bl>
    <w:p>
      <w:pPr>
        <w:pStyle w:val="TextBody"/>
        <w:bidi w:val="0"/>
        <w:jc w:val="left"/>
        <w:rPr>
          <w:rFonts w:ascii="Arial" w:hAnsi="Arial"/>
          <w:color w:val="000000"/>
          <w:sz w:val="22"/>
        </w:rPr>
      </w:pPr>
      <w:r>
        <w:rPr>
          <w:rFonts w:ascii="Arial" w:hAnsi="Arial"/>
          <w:color w:val="000000"/>
          <w:sz w:val="22"/>
        </w:rPr>
        <w:t>6</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7488" w:type="dxa"/>
        <w:jc w:val="left"/>
        <w:tblInd w:w="0" w:type="dxa"/>
        <w:tblLayout w:type="fixed"/>
        <w:tblCellMar>
          <w:top w:w="28" w:type="dxa"/>
          <w:left w:w="28" w:type="dxa"/>
          <w:bottom w:w="28" w:type="dxa"/>
          <w:right w:w="28" w:type="dxa"/>
        </w:tblCellMar>
      </w:tblPr>
      <w:tblGrid>
        <w:gridCol w:w="3361"/>
        <w:gridCol w:w="2761"/>
        <w:gridCol w:w="1366"/>
      </w:tblGrid>
      <w:tr>
        <w:trPr/>
        <w:tc>
          <w:tcPr>
            <w:tcW w:w="3361" w:type="dxa"/>
            <w:tcBorders/>
            <w:shd w:fill="FFFFFF" w:val="clear"/>
            <w:vAlign w:val="center"/>
          </w:tcPr>
          <w:p>
            <w:pPr>
              <w:pStyle w:val="TableContents"/>
              <w:bidi w:val="0"/>
              <w:spacing w:before="0" w:after="283"/>
              <w:jc w:val="left"/>
              <w:rPr>
                <w:sz w:val="4"/>
                <w:szCs w:val="4"/>
              </w:rPr>
            </w:pPr>
            <w:r>
              <w:rPr>
                <w:sz w:val="4"/>
                <w:szCs w:val="4"/>
              </w:rPr>
            </w:r>
          </w:p>
        </w:tc>
        <w:tc>
          <w:tcPr>
            <w:tcW w:w="2761" w:type="dxa"/>
            <w:tcBorders/>
            <w:shd w:fill="FFFFFF" w:val="clear"/>
            <w:vAlign w:val="center"/>
          </w:tcPr>
          <w:p>
            <w:pPr>
              <w:pStyle w:val="TableContents"/>
              <w:bidi w:val="0"/>
              <w:spacing w:before="0" w:after="283"/>
              <w:jc w:val="left"/>
              <w:rPr>
                <w:sz w:val="4"/>
                <w:szCs w:val="4"/>
              </w:rPr>
            </w:pPr>
            <w:r>
              <w:rPr>
                <w:sz w:val="4"/>
                <w:szCs w:val="4"/>
              </w:rPr>
            </w:r>
          </w:p>
        </w:tc>
        <w:tc>
          <w:tcPr>
            <w:tcW w:w="1366" w:type="dxa"/>
            <w:tcBorders/>
            <w:shd w:fill="FFFFFF" w:val="clear"/>
            <w:vAlign w:val="center"/>
          </w:tcPr>
          <w:p>
            <w:pPr>
              <w:pStyle w:val="TableContents"/>
              <w:bidi w:val="0"/>
              <w:spacing w:before="0" w:after="283"/>
              <w:jc w:val="left"/>
              <w:rPr>
                <w:sz w:val="4"/>
                <w:szCs w:val="4"/>
              </w:rPr>
            </w:pPr>
            <w:r>
              <w:rPr>
                <w:sz w:val="4"/>
                <w:szCs w:val="4"/>
              </w:rPr>
            </w:r>
          </w:p>
        </w:tc>
      </w:tr>
      <w:tr>
        <w:trPr/>
        <w:tc>
          <w:tcPr>
            <w:tcW w:w="3361"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TableContents"/>
              <w:bidi w:val="0"/>
              <w:spacing w:before="60" w:after="60"/>
              <w:jc w:val="left"/>
              <w:rPr>
                <w:rFonts w:ascii="Times New Roman" w:hAnsi="Times New Roman"/>
                <w:sz w:val="20"/>
              </w:rPr>
            </w:pPr>
            <w:r>
              <w:rPr>
                <w:rFonts w:ascii="Arial" w:hAnsi="Arial"/>
                <w:b/>
                <w:color w:val="000000"/>
                <w:sz w:val="20"/>
              </w:rPr>
              <w:br/>
              <w:t>Name of Subsidiary</w:t>
            </w:r>
            <w:r>
              <w:rPr>
                <w:rFonts w:ascii="Times New Roman" w:hAnsi="Times New Roman"/>
                <w:color w:val="000000"/>
                <w:sz w:val="20"/>
              </w:rPr>
              <w:t xml:space="preserve"> </w:t>
            </w:r>
          </w:p>
        </w:tc>
        <w:tc>
          <w:tcPr>
            <w:tcW w:w="2761"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60" w:after="60"/>
              <w:jc w:val="center"/>
              <w:rPr>
                <w:rFonts w:ascii="Times New Roman" w:hAnsi="Times New Roman"/>
                <w:sz w:val="20"/>
              </w:rPr>
            </w:pPr>
            <w:r>
              <w:rPr>
                <w:rFonts w:ascii="Arial" w:hAnsi="Arial"/>
                <w:b/>
                <w:color w:val="000000"/>
                <w:sz w:val="20"/>
              </w:rPr>
              <w:t>Jurisdiction of Organization</w:t>
            </w:r>
            <w:r>
              <w:rPr>
                <w:rFonts w:ascii="Times New Roman" w:hAnsi="Times New Roman"/>
                <w:color w:val="000000"/>
                <w:sz w:val="20"/>
              </w:rPr>
              <w:t xml:space="preserve"> </w:t>
            </w:r>
          </w:p>
        </w:tc>
        <w:tc>
          <w:tcPr>
            <w:tcW w:w="1366"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60" w:after="60"/>
              <w:jc w:val="center"/>
              <w:rPr>
                <w:rFonts w:ascii="Arial" w:hAnsi="Arial"/>
                <w:b/>
                <w:color w:val="000000"/>
                <w:sz w:val="20"/>
              </w:rPr>
            </w:pPr>
            <w:r>
              <w:rPr>
                <w:rFonts w:ascii="Arial" w:hAnsi="Arial"/>
                <w:b/>
                <w:color w:val="000000"/>
                <w:sz w:val="20"/>
              </w:rPr>
              <w:br/>
              <w:t>Obligor Type</w:t>
            </w:r>
          </w:p>
        </w:tc>
      </w:tr>
      <w:tr>
        <w:trPr/>
        <w:tc>
          <w:tcPr>
            <w:tcW w:w="336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UHS Funding, LLC</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Delaware</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r>
        <w:trPr/>
        <w:tc>
          <w:tcPr>
            <w:tcW w:w="336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UHS Holding Company, Inc.</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Nevada</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r>
        <w:trPr/>
        <w:tc>
          <w:tcPr>
            <w:tcW w:w="336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UHS Kentucky Holdings, L.L.C.</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Delaware</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r>
        <w:trPr/>
        <w:tc>
          <w:tcPr>
            <w:tcW w:w="336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UHS Midwest Behavioral Health, LLC</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Delaware</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r>
        <w:trPr/>
        <w:tc>
          <w:tcPr>
            <w:tcW w:w="336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UHS of Anchor, L.P.</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Delaware</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r>
        <w:trPr/>
        <w:tc>
          <w:tcPr>
            <w:tcW w:w="336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UHS of Benton, LLC</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Delaware</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r>
        <w:trPr/>
        <w:tc>
          <w:tcPr>
            <w:tcW w:w="336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UHS of Bowling Green, LLC</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Delaware</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r>
        <w:trPr/>
        <w:tc>
          <w:tcPr>
            <w:tcW w:w="336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UHS of Centennial Peaks, L.L.C.</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Delaware</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r>
        <w:trPr/>
        <w:tc>
          <w:tcPr>
            <w:tcW w:w="336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UHS of Cornerstone Holdings, Inc.</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Delaware</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r>
        <w:trPr/>
        <w:tc>
          <w:tcPr>
            <w:tcW w:w="336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UHS of Cornerstone, Inc.</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Delaware</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r>
        <w:trPr/>
        <w:tc>
          <w:tcPr>
            <w:tcW w:w="336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UHS of D.C., Inc.</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Delaware</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r>
        <w:trPr/>
        <w:tc>
          <w:tcPr>
            <w:tcW w:w="336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UHS of Delaware, Inc.</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Delaware</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r>
        <w:trPr/>
        <w:tc>
          <w:tcPr>
            <w:tcW w:w="336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UHS of Denver, Inc.</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Delaware</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r>
        <w:trPr/>
        <w:tc>
          <w:tcPr>
            <w:tcW w:w="336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UHS of Dover, L.L.C.</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Delaware</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r>
        <w:trPr/>
        <w:tc>
          <w:tcPr>
            <w:tcW w:w="336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UHS of Doylestown, L.L.C.</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Delaware</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r>
        <w:trPr/>
        <w:tc>
          <w:tcPr>
            <w:tcW w:w="336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UHS of Fairmount, Inc.</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Delaware</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r>
        <w:trPr/>
        <w:tc>
          <w:tcPr>
            <w:tcW w:w="336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UHS of Fuller, Inc.</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Massachusetts</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r>
        <w:trPr/>
        <w:tc>
          <w:tcPr>
            <w:tcW w:w="336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UHS of Georgia Holdings, Inc.</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Delaware</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r>
        <w:trPr/>
        <w:tc>
          <w:tcPr>
            <w:tcW w:w="336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UHS of Georgia, Inc.</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Delaware</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r>
        <w:trPr/>
        <w:tc>
          <w:tcPr>
            <w:tcW w:w="336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UHS of Greenville, LLC</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Delaware</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r>
        <w:trPr/>
        <w:tc>
          <w:tcPr>
            <w:tcW w:w="336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UHS of Hampton, Inc</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New Jersey</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r>
        <w:trPr/>
        <w:tc>
          <w:tcPr>
            <w:tcW w:w="336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UHS of Hartgrove, Inc.</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Illinois</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r>
        <w:trPr/>
        <w:tc>
          <w:tcPr>
            <w:tcW w:w="336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UHS of Lakeside, LLC</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Delaware</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r>
        <w:trPr/>
        <w:tc>
          <w:tcPr>
            <w:tcW w:w="336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UHS of Lancaster, LLC</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Pennsylvania</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r>
        <w:trPr/>
        <w:tc>
          <w:tcPr>
            <w:tcW w:w="336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UHS of Laurel Heights, L.P.</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Delaware</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r>
        <w:trPr/>
        <w:tc>
          <w:tcPr>
            <w:tcW w:w="336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UHS of Madera, Inc.</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Delaware</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r>
        <w:trPr/>
        <w:tc>
          <w:tcPr>
            <w:tcW w:w="336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UHS of New Orleans, LLC</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Louisiana</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r>
        <w:trPr/>
        <w:tc>
          <w:tcPr>
            <w:tcW w:w="336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UHS of Oklahoma, LLC</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Oklahoma</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r>
        <w:trPr/>
        <w:tc>
          <w:tcPr>
            <w:tcW w:w="336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UHS of Parkwood, Inc.</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Delaware</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r>
        <w:trPr/>
        <w:tc>
          <w:tcPr>
            <w:tcW w:w="336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UHS of Peachford, L.P.</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Delaware</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r>
        <w:trPr/>
        <w:tc>
          <w:tcPr>
            <w:tcW w:w="336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UHS of Pennsylvania, Inc.</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Pennsylvania</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r>
        <w:trPr/>
        <w:tc>
          <w:tcPr>
            <w:tcW w:w="336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UHS of Phoenix, LLC</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Delaware</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r>
        <w:trPr/>
        <w:tc>
          <w:tcPr>
            <w:tcW w:w="336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UHS of Provo Canyon, Inc.</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Delaware</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r>
        <w:trPr/>
        <w:tc>
          <w:tcPr>
            <w:tcW w:w="336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UHS of Puerto Rico, Inc.</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Delaware</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bl>
    <w:p>
      <w:pPr>
        <w:pStyle w:val="TextBody"/>
        <w:bidi w:val="0"/>
        <w:jc w:val="left"/>
        <w:rPr>
          <w:rFonts w:ascii="Arial" w:hAnsi="Arial"/>
          <w:color w:val="000000"/>
          <w:sz w:val="22"/>
        </w:rPr>
      </w:pPr>
      <w:r>
        <w:rPr>
          <w:rFonts w:ascii="Arial" w:hAnsi="Arial"/>
          <w:color w:val="000000"/>
          <w:sz w:val="22"/>
        </w:rPr>
        <w:t>7</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8613" w:type="dxa"/>
        <w:jc w:val="left"/>
        <w:tblInd w:w="0" w:type="dxa"/>
        <w:tblLayout w:type="fixed"/>
        <w:tblCellMar>
          <w:top w:w="28" w:type="dxa"/>
          <w:left w:w="28" w:type="dxa"/>
          <w:bottom w:w="28" w:type="dxa"/>
          <w:right w:w="28" w:type="dxa"/>
        </w:tblCellMar>
      </w:tblPr>
      <w:tblGrid>
        <w:gridCol w:w="4486"/>
        <w:gridCol w:w="2761"/>
        <w:gridCol w:w="1366"/>
      </w:tblGrid>
      <w:tr>
        <w:trPr/>
        <w:tc>
          <w:tcPr>
            <w:tcW w:w="4486" w:type="dxa"/>
            <w:tcBorders/>
            <w:shd w:fill="FFFFFF" w:val="clear"/>
            <w:vAlign w:val="center"/>
          </w:tcPr>
          <w:p>
            <w:pPr>
              <w:pStyle w:val="TableContents"/>
              <w:bidi w:val="0"/>
              <w:spacing w:before="0" w:after="283"/>
              <w:jc w:val="left"/>
              <w:rPr>
                <w:sz w:val="4"/>
                <w:szCs w:val="4"/>
              </w:rPr>
            </w:pPr>
            <w:r>
              <w:rPr>
                <w:sz w:val="4"/>
                <w:szCs w:val="4"/>
              </w:rPr>
            </w:r>
          </w:p>
        </w:tc>
        <w:tc>
          <w:tcPr>
            <w:tcW w:w="2761" w:type="dxa"/>
            <w:tcBorders/>
            <w:shd w:fill="FFFFFF" w:val="clear"/>
            <w:vAlign w:val="center"/>
          </w:tcPr>
          <w:p>
            <w:pPr>
              <w:pStyle w:val="TableContents"/>
              <w:bidi w:val="0"/>
              <w:spacing w:before="0" w:after="283"/>
              <w:jc w:val="left"/>
              <w:rPr>
                <w:sz w:val="4"/>
                <w:szCs w:val="4"/>
              </w:rPr>
            </w:pPr>
            <w:r>
              <w:rPr>
                <w:sz w:val="4"/>
                <w:szCs w:val="4"/>
              </w:rPr>
            </w:r>
          </w:p>
        </w:tc>
        <w:tc>
          <w:tcPr>
            <w:tcW w:w="1366" w:type="dxa"/>
            <w:tcBorders/>
            <w:shd w:fill="FFFFFF" w:val="clear"/>
            <w:vAlign w:val="center"/>
          </w:tcPr>
          <w:p>
            <w:pPr>
              <w:pStyle w:val="TableContents"/>
              <w:bidi w:val="0"/>
              <w:spacing w:before="0" w:after="283"/>
              <w:jc w:val="left"/>
              <w:rPr>
                <w:sz w:val="4"/>
                <w:szCs w:val="4"/>
              </w:rPr>
            </w:pPr>
            <w:r>
              <w:rPr>
                <w:sz w:val="4"/>
                <w:szCs w:val="4"/>
              </w:rPr>
            </w:r>
          </w:p>
        </w:tc>
      </w:tr>
      <w:tr>
        <w:trPr/>
        <w:tc>
          <w:tcPr>
            <w:tcW w:w="4486"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TableContents"/>
              <w:bidi w:val="0"/>
              <w:spacing w:before="60" w:after="60"/>
              <w:jc w:val="left"/>
              <w:rPr>
                <w:rFonts w:ascii="Times New Roman" w:hAnsi="Times New Roman"/>
                <w:sz w:val="20"/>
              </w:rPr>
            </w:pPr>
            <w:r>
              <w:rPr>
                <w:rFonts w:ascii="Arial" w:hAnsi="Arial"/>
                <w:b/>
                <w:color w:val="000000"/>
                <w:sz w:val="20"/>
              </w:rPr>
              <w:br/>
              <w:t>Name of Subsidiary</w:t>
            </w:r>
            <w:r>
              <w:rPr>
                <w:rFonts w:ascii="Times New Roman" w:hAnsi="Times New Roman"/>
                <w:color w:val="000000"/>
                <w:sz w:val="20"/>
              </w:rPr>
              <w:t xml:space="preserve"> </w:t>
            </w:r>
          </w:p>
        </w:tc>
        <w:tc>
          <w:tcPr>
            <w:tcW w:w="2761"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60" w:after="60"/>
              <w:jc w:val="center"/>
              <w:rPr>
                <w:rFonts w:ascii="Times New Roman" w:hAnsi="Times New Roman"/>
                <w:sz w:val="20"/>
              </w:rPr>
            </w:pPr>
            <w:r>
              <w:rPr>
                <w:rFonts w:ascii="Arial" w:hAnsi="Arial"/>
                <w:b/>
                <w:color w:val="000000"/>
                <w:sz w:val="20"/>
              </w:rPr>
              <w:t>Jurisdiction of Organization</w:t>
            </w:r>
            <w:r>
              <w:rPr>
                <w:rFonts w:ascii="Times New Roman" w:hAnsi="Times New Roman"/>
                <w:color w:val="000000"/>
                <w:sz w:val="20"/>
              </w:rPr>
              <w:t xml:space="preserve"> </w:t>
            </w:r>
          </w:p>
        </w:tc>
        <w:tc>
          <w:tcPr>
            <w:tcW w:w="1366"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60" w:after="60"/>
              <w:jc w:val="center"/>
              <w:rPr>
                <w:rFonts w:ascii="Arial" w:hAnsi="Arial"/>
                <w:b/>
                <w:color w:val="000000"/>
                <w:sz w:val="20"/>
              </w:rPr>
            </w:pPr>
            <w:r>
              <w:rPr>
                <w:rFonts w:ascii="Arial" w:hAnsi="Arial"/>
                <w:b/>
                <w:color w:val="000000"/>
                <w:sz w:val="20"/>
              </w:rPr>
              <w:br/>
              <w:t>Obligor Type</w:t>
            </w:r>
          </w:p>
        </w:tc>
      </w:tr>
      <w:tr>
        <w:trPr/>
        <w:tc>
          <w:tcPr>
            <w:tcW w:w="448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UHS of Ridge, LLC</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Delaware</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r>
        <w:trPr/>
        <w:tc>
          <w:tcPr>
            <w:tcW w:w="448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UHS of River Parishes, Inc.</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Louisiana</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r>
        <w:trPr/>
        <w:tc>
          <w:tcPr>
            <w:tcW w:w="448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UHS of Rockford, LLC</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Delaware</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r>
        <w:trPr/>
        <w:tc>
          <w:tcPr>
            <w:tcW w:w="448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UHS of Salt Lake City, L.L.C.</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Delaware</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r>
        <w:trPr/>
        <w:tc>
          <w:tcPr>
            <w:tcW w:w="448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UHS of Savannah, L.L.C.</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Delaware</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r>
        <w:trPr/>
        <w:tc>
          <w:tcPr>
            <w:tcW w:w="448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UHS of Spring Mountain, Inc.</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Delaware</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r>
        <w:trPr/>
        <w:tc>
          <w:tcPr>
            <w:tcW w:w="448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UHS of Springwoods, L.L.C.</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Delaware</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r>
        <w:trPr/>
        <w:tc>
          <w:tcPr>
            <w:tcW w:w="448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UHS of Summitridge, L.L.C.</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Delaware</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r>
        <w:trPr/>
        <w:tc>
          <w:tcPr>
            <w:tcW w:w="448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UHS of Texoma, Inc.</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Delaware</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r>
        <w:trPr/>
        <w:tc>
          <w:tcPr>
            <w:tcW w:w="448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UHS of Timberlawn, Inc.</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Texas</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r>
        <w:trPr/>
        <w:tc>
          <w:tcPr>
            <w:tcW w:w="448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UHS of Timpanogos, Inc.</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Delaware</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r>
        <w:trPr/>
        <w:tc>
          <w:tcPr>
            <w:tcW w:w="448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UHS of Tucson, LLC</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Delaware</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r>
        <w:trPr/>
        <w:tc>
          <w:tcPr>
            <w:tcW w:w="448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UHS of Westwood Pembroke, Inc.</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Massachusetts</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r>
        <w:trPr/>
        <w:tc>
          <w:tcPr>
            <w:tcW w:w="448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UHS of Wyoming, Inc.</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Delaware</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r>
        <w:trPr/>
        <w:tc>
          <w:tcPr>
            <w:tcW w:w="448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UHS Oklahoma City LLC</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Oklahoma</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r>
        <w:trPr/>
        <w:tc>
          <w:tcPr>
            <w:tcW w:w="448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UHS Sahara, Inc.</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Delaware</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r>
        <w:trPr/>
        <w:tc>
          <w:tcPr>
            <w:tcW w:w="448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UHS Sub III, LLC</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Delaware</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r>
        <w:trPr/>
        <w:tc>
          <w:tcPr>
            <w:tcW w:w="448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UHS-Corona, Inc.</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Delaware</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r>
        <w:trPr/>
        <w:tc>
          <w:tcPr>
            <w:tcW w:w="448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UHSD, L.L.C.</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Nevada</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r>
        <w:trPr/>
        <w:tc>
          <w:tcPr>
            <w:tcW w:w="448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UHSL, L.L.C.</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Nevada</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r>
        <w:trPr/>
        <w:tc>
          <w:tcPr>
            <w:tcW w:w="448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United Healthcare of Hardin, Inc.</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Tennessee</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r>
        <w:trPr/>
        <w:tc>
          <w:tcPr>
            <w:tcW w:w="448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Universal Health Services of Palmdale, Inc.</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Delaware</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r>
        <w:trPr/>
        <w:tc>
          <w:tcPr>
            <w:tcW w:w="448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Universal Health Services of Rancho Springs, Inc.</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California</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r>
        <w:trPr/>
        <w:tc>
          <w:tcPr>
            <w:tcW w:w="448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University Behavioral Health of El Paso, LLC</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Delaware</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r>
        <w:trPr/>
        <w:tc>
          <w:tcPr>
            <w:tcW w:w="448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University Behavioral, LLC</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Florida</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r>
        <w:trPr/>
        <w:tc>
          <w:tcPr>
            <w:tcW w:w="448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Valle Vista Hospital Partners, LLC</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Tennessee</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r>
        <w:trPr/>
        <w:tc>
          <w:tcPr>
            <w:tcW w:w="448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Valle Vista, LLC</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Delaware</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r>
        <w:trPr/>
        <w:tc>
          <w:tcPr>
            <w:tcW w:w="448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Valley Health System LLC</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Delaware</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r>
        <w:trPr/>
        <w:tc>
          <w:tcPr>
            <w:tcW w:w="448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Times New Roman" w:hAnsi="Times New Roman"/>
                <w:sz w:val="20"/>
              </w:rPr>
            </w:pPr>
            <w:r>
              <w:rPr>
                <w:rFonts w:ascii="Arial" w:hAnsi="Arial"/>
                <w:color w:val="000000"/>
                <w:sz w:val="20"/>
              </w:rPr>
              <w:t>Valley Hospital Medical Center, Inc.</w:t>
            </w:r>
            <w:r>
              <w:rPr>
                <w:rFonts w:ascii="Times New Roman" w:hAnsi="Times New Roman"/>
                <w:color w:val="000000"/>
                <w:sz w:val="20"/>
              </w:rPr>
              <w:t xml:space="preserve"> </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Nevada</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r>
        <w:trPr/>
        <w:tc>
          <w:tcPr>
            <w:tcW w:w="448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Wekiva Springs Center, LLC</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Delaware</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r>
        <w:trPr/>
        <w:tc>
          <w:tcPr>
            <w:tcW w:w="448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Wellington Regional Medical Center, LLC</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Florida</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r>
        <w:trPr/>
        <w:tc>
          <w:tcPr>
            <w:tcW w:w="448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Wellstone Regional Hospital Acquisition, LLC</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Indiana</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bl>
    <w:p>
      <w:pPr>
        <w:pStyle w:val="TextBody"/>
        <w:bidi w:val="0"/>
        <w:jc w:val="left"/>
        <w:rPr>
          <w:rFonts w:ascii="Arial" w:hAnsi="Arial"/>
          <w:color w:val="000000"/>
          <w:sz w:val="22"/>
        </w:rPr>
      </w:pPr>
      <w:r>
        <w:rPr>
          <w:rFonts w:ascii="Arial" w:hAnsi="Arial"/>
          <w:color w:val="000000"/>
          <w:sz w:val="22"/>
        </w:rPr>
        <w:t>8</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7998" w:type="dxa"/>
        <w:jc w:val="left"/>
        <w:tblInd w:w="0" w:type="dxa"/>
        <w:tblLayout w:type="fixed"/>
        <w:tblCellMar>
          <w:top w:w="28" w:type="dxa"/>
          <w:left w:w="28" w:type="dxa"/>
          <w:bottom w:w="28" w:type="dxa"/>
          <w:right w:w="28" w:type="dxa"/>
        </w:tblCellMar>
      </w:tblPr>
      <w:tblGrid>
        <w:gridCol w:w="3871"/>
        <w:gridCol w:w="2761"/>
        <w:gridCol w:w="1366"/>
      </w:tblGrid>
      <w:tr>
        <w:trPr/>
        <w:tc>
          <w:tcPr>
            <w:tcW w:w="3871" w:type="dxa"/>
            <w:tcBorders/>
            <w:shd w:fill="FFFFFF" w:val="clear"/>
            <w:vAlign w:val="center"/>
          </w:tcPr>
          <w:p>
            <w:pPr>
              <w:pStyle w:val="TableContents"/>
              <w:bidi w:val="0"/>
              <w:spacing w:before="0" w:after="283"/>
              <w:jc w:val="left"/>
              <w:rPr>
                <w:sz w:val="4"/>
                <w:szCs w:val="4"/>
              </w:rPr>
            </w:pPr>
            <w:r>
              <w:rPr>
                <w:sz w:val="4"/>
                <w:szCs w:val="4"/>
              </w:rPr>
            </w:r>
          </w:p>
        </w:tc>
        <w:tc>
          <w:tcPr>
            <w:tcW w:w="2761" w:type="dxa"/>
            <w:tcBorders/>
            <w:shd w:fill="FFFFFF" w:val="clear"/>
            <w:vAlign w:val="center"/>
          </w:tcPr>
          <w:p>
            <w:pPr>
              <w:pStyle w:val="TableContents"/>
              <w:bidi w:val="0"/>
              <w:spacing w:before="0" w:after="283"/>
              <w:jc w:val="left"/>
              <w:rPr>
                <w:sz w:val="4"/>
                <w:szCs w:val="4"/>
              </w:rPr>
            </w:pPr>
            <w:r>
              <w:rPr>
                <w:sz w:val="4"/>
                <w:szCs w:val="4"/>
              </w:rPr>
            </w:r>
          </w:p>
        </w:tc>
        <w:tc>
          <w:tcPr>
            <w:tcW w:w="1366" w:type="dxa"/>
            <w:tcBorders/>
            <w:shd w:fill="FFFFFF" w:val="clear"/>
            <w:vAlign w:val="center"/>
          </w:tcPr>
          <w:p>
            <w:pPr>
              <w:pStyle w:val="TableContents"/>
              <w:bidi w:val="0"/>
              <w:spacing w:before="0" w:after="283"/>
              <w:jc w:val="left"/>
              <w:rPr>
                <w:sz w:val="4"/>
                <w:szCs w:val="4"/>
              </w:rPr>
            </w:pPr>
            <w:r>
              <w:rPr>
                <w:sz w:val="4"/>
                <w:szCs w:val="4"/>
              </w:rPr>
            </w:r>
          </w:p>
        </w:tc>
      </w:tr>
      <w:tr>
        <w:trPr/>
        <w:tc>
          <w:tcPr>
            <w:tcW w:w="3871"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TableContents"/>
              <w:bidi w:val="0"/>
              <w:spacing w:before="60" w:after="60"/>
              <w:jc w:val="left"/>
              <w:rPr>
                <w:rFonts w:ascii="Times New Roman" w:hAnsi="Times New Roman"/>
                <w:sz w:val="20"/>
              </w:rPr>
            </w:pPr>
            <w:r>
              <w:rPr>
                <w:rFonts w:ascii="Arial" w:hAnsi="Arial"/>
                <w:b/>
                <w:color w:val="000000"/>
                <w:sz w:val="20"/>
              </w:rPr>
              <w:br/>
              <w:t>Name of Subsidiary</w:t>
            </w:r>
            <w:r>
              <w:rPr>
                <w:rFonts w:ascii="Times New Roman" w:hAnsi="Times New Roman"/>
                <w:color w:val="000000"/>
                <w:sz w:val="20"/>
              </w:rPr>
              <w:t xml:space="preserve"> </w:t>
            </w:r>
          </w:p>
        </w:tc>
        <w:tc>
          <w:tcPr>
            <w:tcW w:w="2761"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60" w:after="60"/>
              <w:jc w:val="center"/>
              <w:rPr>
                <w:rFonts w:ascii="Times New Roman" w:hAnsi="Times New Roman"/>
                <w:sz w:val="20"/>
              </w:rPr>
            </w:pPr>
            <w:r>
              <w:rPr>
                <w:rFonts w:ascii="Arial" w:hAnsi="Arial"/>
                <w:b/>
                <w:color w:val="000000"/>
                <w:sz w:val="20"/>
              </w:rPr>
              <w:t>Jurisdiction of Organization</w:t>
            </w:r>
            <w:r>
              <w:rPr>
                <w:rFonts w:ascii="Times New Roman" w:hAnsi="Times New Roman"/>
                <w:color w:val="000000"/>
                <w:sz w:val="20"/>
              </w:rPr>
              <w:t xml:space="preserve"> </w:t>
            </w:r>
          </w:p>
        </w:tc>
        <w:tc>
          <w:tcPr>
            <w:tcW w:w="1366"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60" w:after="60"/>
              <w:jc w:val="center"/>
              <w:rPr>
                <w:rFonts w:ascii="Arial" w:hAnsi="Arial"/>
                <w:b/>
                <w:color w:val="000000"/>
                <w:sz w:val="20"/>
              </w:rPr>
            </w:pPr>
            <w:r>
              <w:rPr>
                <w:rFonts w:ascii="Arial" w:hAnsi="Arial"/>
                <w:b/>
                <w:color w:val="000000"/>
                <w:sz w:val="20"/>
              </w:rPr>
              <w:br/>
              <w:t>Obligor Type</w:t>
            </w:r>
          </w:p>
        </w:tc>
      </w:tr>
      <w:tr>
        <w:trPr/>
        <w:tc>
          <w:tcPr>
            <w:tcW w:w="387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Willow Springs, LLC</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Delaware</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r>
        <w:trPr/>
        <w:tc>
          <w:tcPr>
            <w:tcW w:w="387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Windmoor Healthcare Inc.</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Florida</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r>
        <w:trPr/>
        <w:tc>
          <w:tcPr>
            <w:tcW w:w="387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Windmoor Healthcare of Pinellas Park, Inc.</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Times New Roman" w:hAnsi="Times New Roman"/>
                <w:sz w:val="20"/>
              </w:rPr>
            </w:pPr>
            <w:r>
              <w:rPr>
                <w:rFonts w:ascii="Arial" w:hAnsi="Arial"/>
                <w:color w:val="000000"/>
                <w:sz w:val="20"/>
              </w:rPr>
              <w:t>Delaware</w:t>
            </w:r>
            <w:r>
              <w:rPr>
                <w:rFonts w:ascii="Times New Roman" w:hAnsi="Times New Roman"/>
                <w:color w:val="000000"/>
                <w:sz w:val="20"/>
              </w:rPr>
              <w:t xml:space="preserve"> </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r>
        <w:trPr/>
        <w:tc>
          <w:tcPr>
            <w:tcW w:w="387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Wisconsin Avenue Psychiatric Center, Inc.</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Delaware</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r>
        <w:trPr/>
        <w:tc>
          <w:tcPr>
            <w:tcW w:w="387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Arial" w:hAnsi="Arial"/>
                <w:color w:val="000000"/>
                <w:sz w:val="20"/>
              </w:rPr>
            </w:pPr>
            <w:r>
              <w:rPr>
                <w:rFonts w:ascii="Arial" w:hAnsi="Arial"/>
                <w:color w:val="000000"/>
                <w:sz w:val="20"/>
              </w:rPr>
              <w:t>Zeus Endeavors, LLC</w:t>
            </w:r>
          </w:p>
        </w:tc>
        <w:tc>
          <w:tcPr>
            <w:tcW w:w="27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Florida</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Guarantor</w:t>
            </w:r>
          </w:p>
        </w:tc>
      </w:tr>
    </w:tbl>
    <w:p>
      <w:pPr>
        <w:pStyle w:val="TextBody"/>
        <w:bidi w:val="0"/>
        <w:jc w:val="left"/>
        <w:rPr/>
      </w:pPr>
      <w:r>
        <w:rPr/>
        <w:t> </w:t>
      </w:r>
    </w:p>
    <w:p>
      <w:pPr>
        <w:pStyle w:val="TextBody"/>
        <w:bidi w:val="0"/>
        <w:jc w:val="left"/>
        <w:rPr>
          <w:rFonts w:ascii="Arial" w:hAnsi="Arial"/>
          <w:color w:val="000000"/>
          <w:sz w:val="20"/>
          <w:u w:val="single"/>
        </w:rPr>
      </w:pPr>
      <w:r>
        <w:rPr>
          <w:rFonts w:ascii="Arial" w:hAnsi="Arial"/>
          <w:color w:val="000000"/>
          <w:sz w:val="20"/>
          <w:u w:val="single"/>
        </w:rPr>
        <w:t>Pledged Security Collateral</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As of December 31, 2025, the obligations under the UHS Senior Secured Notes were secured by pledges of the equity of the following</w:t>
      </w:r>
      <w:r>
        <w:rPr>
          <w:rFonts w:ascii="Times New Roman" w:hAnsi="Times New Roman"/>
          <w:color w:val="000000"/>
          <w:sz w:val="20"/>
        </w:rPr>
        <w:t xml:space="preserve"> </w:t>
      </w:r>
      <w:r>
        <w:rPr>
          <w:rFonts w:ascii="Arial" w:hAnsi="Arial"/>
          <w:color w:val="000000"/>
          <w:sz w:val="20"/>
        </w:rPr>
        <w:t>affiliates of the Company.</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551"/>
        <w:gridCol w:w="2651"/>
        <w:gridCol w:w="1928"/>
        <w:gridCol w:w="2075"/>
      </w:tblGrid>
      <w:tr>
        <w:trPr/>
        <w:tc>
          <w:tcPr>
            <w:tcW w:w="3551" w:type="dxa"/>
            <w:tcBorders/>
            <w:shd w:fill="FFFFFF" w:val="clear"/>
            <w:vAlign w:val="center"/>
          </w:tcPr>
          <w:p>
            <w:pPr>
              <w:pStyle w:val="TableContents"/>
              <w:bidi w:val="0"/>
              <w:spacing w:before="0" w:after="283"/>
              <w:jc w:val="left"/>
              <w:rPr>
                <w:sz w:val="4"/>
                <w:szCs w:val="4"/>
              </w:rPr>
            </w:pPr>
            <w:r>
              <w:rPr>
                <w:sz w:val="4"/>
                <w:szCs w:val="4"/>
              </w:rPr>
            </w:r>
          </w:p>
        </w:tc>
        <w:tc>
          <w:tcPr>
            <w:tcW w:w="2651" w:type="dxa"/>
            <w:tcBorders/>
            <w:shd w:fill="FFFFFF" w:val="clear"/>
            <w:vAlign w:val="center"/>
          </w:tcPr>
          <w:p>
            <w:pPr>
              <w:pStyle w:val="TableContents"/>
              <w:bidi w:val="0"/>
              <w:spacing w:before="0" w:after="283"/>
              <w:jc w:val="left"/>
              <w:rPr>
                <w:sz w:val="4"/>
                <w:szCs w:val="4"/>
              </w:rPr>
            </w:pPr>
            <w:r>
              <w:rPr>
                <w:sz w:val="4"/>
                <w:szCs w:val="4"/>
              </w:rPr>
            </w:r>
          </w:p>
        </w:tc>
        <w:tc>
          <w:tcPr>
            <w:tcW w:w="1928" w:type="dxa"/>
            <w:tcBorders/>
            <w:shd w:fill="FFFFFF" w:val="clear"/>
            <w:vAlign w:val="center"/>
          </w:tcPr>
          <w:p>
            <w:pPr>
              <w:pStyle w:val="TableContents"/>
              <w:bidi w:val="0"/>
              <w:spacing w:before="0" w:after="283"/>
              <w:jc w:val="left"/>
              <w:rPr>
                <w:sz w:val="4"/>
                <w:szCs w:val="4"/>
              </w:rPr>
            </w:pPr>
            <w:r>
              <w:rPr>
                <w:sz w:val="4"/>
                <w:szCs w:val="4"/>
              </w:rPr>
            </w:r>
          </w:p>
        </w:tc>
        <w:tc>
          <w:tcPr>
            <w:tcW w:w="2075" w:type="dxa"/>
            <w:tcBorders/>
            <w:shd w:fill="FFFFFF" w:val="clear"/>
            <w:vAlign w:val="center"/>
          </w:tcPr>
          <w:p>
            <w:pPr>
              <w:pStyle w:val="TableContents"/>
              <w:bidi w:val="0"/>
              <w:spacing w:before="0" w:after="283"/>
              <w:jc w:val="left"/>
              <w:rPr>
                <w:sz w:val="4"/>
                <w:szCs w:val="4"/>
              </w:rPr>
            </w:pPr>
            <w:r>
              <w:rPr>
                <w:sz w:val="4"/>
                <w:szCs w:val="4"/>
              </w:rPr>
            </w:r>
          </w:p>
        </w:tc>
      </w:tr>
      <w:tr>
        <w:trPr/>
        <w:tc>
          <w:tcPr>
            <w:tcW w:w="3551"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TableContents"/>
              <w:bidi w:val="0"/>
              <w:spacing w:before="240" w:after="240"/>
              <w:jc w:val="left"/>
              <w:rPr>
                <w:rFonts w:ascii="Arial" w:hAnsi="Arial"/>
                <w:b/>
                <w:color w:val="000000"/>
                <w:sz w:val="20"/>
              </w:rPr>
            </w:pPr>
            <w:r>
              <w:rPr>
                <w:rFonts w:ascii="Arial" w:hAnsi="Arial"/>
                <w:b/>
                <w:color w:val="000000"/>
                <w:sz w:val="20"/>
              </w:rPr>
              <w:br/>
              <w:t>Name of Issuer</w:t>
            </w:r>
          </w:p>
        </w:tc>
        <w:tc>
          <w:tcPr>
            <w:tcW w:w="2651"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240" w:after="240"/>
              <w:jc w:val="left"/>
              <w:rPr>
                <w:rFonts w:ascii="Arial" w:hAnsi="Arial"/>
                <w:b/>
                <w:color w:val="000000"/>
                <w:sz w:val="20"/>
              </w:rPr>
            </w:pPr>
            <w:r>
              <w:rPr>
                <w:rFonts w:ascii="Arial" w:hAnsi="Arial"/>
                <w:b/>
                <w:color w:val="000000"/>
                <w:sz w:val="20"/>
              </w:rPr>
              <w:t>Issuer Jurisdiction of Organization</w:t>
            </w:r>
          </w:p>
        </w:tc>
        <w:tc>
          <w:tcPr>
            <w:tcW w:w="1928"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240" w:after="240"/>
              <w:jc w:val="left"/>
              <w:rPr>
                <w:rFonts w:ascii="Arial" w:hAnsi="Arial"/>
                <w:b/>
                <w:color w:val="000000"/>
                <w:sz w:val="20"/>
              </w:rPr>
            </w:pPr>
            <w:r>
              <w:rPr>
                <w:rFonts w:ascii="Arial" w:hAnsi="Arial"/>
                <w:b/>
                <w:color w:val="000000"/>
                <w:sz w:val="20"/>
              </w:rPr>
              <w:t>Percent of Interest Owned</w:t>
            </w:r>
          </w:p>
        </w:tc>
        <w:tc>
          <w:tcPr>
            <w:tcW w:w="2075"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240" w:after="240"/>
              <w:jc w:val="left"/>
              <w:rPr>
                <w:rFonts w:ascii="Arial" w:hAnsi="Arial"/>
                <w:b/>
                <w:color w:val="000000"/>
                <w:sz w:val="20"/>
              </w:rPr>
            </w:pPr>
            <w:r>
              <w:rPr>
                <w:rFonts w:ascii="Arial" w:hAnsi="Arial"/>
                <w:b/>
                <w:color w:val="000000"/>
                <w:sz w:val="20"/>
              </w:rPr>
              <w:t>Percent of Interest Pledged</w:t>
            </w:r>
          </w:p>
        </w:tc>
      </w:tr>
      <w:tr>
        <w:trPr/>
        <w:tc>
          <w:tcPr>
            <w:tcW w:w="355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2012 W. University Properties, LLC</w:t>
            </w:r>
          </w:p>
        </w:tc>
        <w:tc>
          <w:tcPr>
            <w:tcW w:w="265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Delaware</w:t>
            </w:r>
          </w:p>
        </w:tc>
        <w:tc>
          <w:tcPr>
            <w:tcW w:w="192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07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55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2026 W. University Properties, LLC</w:t>
            </w:r>
          </w:p>
        </w:tc>
        <w:tc>
          <w:tcPr>
            <w:tcW w:w="265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Delaware</w:t>
            </w:r>
          </w:p>
        </w:tc>
        <w:tc>
          <w:tcPr>
            <w:tcW w:w="192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07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55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ABS LINCS KY, LLC</w:t>
            </w:r>
          </w:p>
        </w:tc>
        <w:tc>
          <w:tcPr>
            <w:tcW w:w="265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Virginia</w:t>
            </w:r>
          </w:p>
        </w:tc>
        <w:tc>
          <w:tcPr>
            <w:tcW w:w="192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07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55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ABS LINCS SC, Inc.</w:t>
            </w:r>
          </w:p>
        </w:tc>
        <w:tc>
          <w:tcPr>
            <w:tcW w:w="265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South Carolina</w:t>
            </w:r>
          </w:p>
        </w:tc>
        <w:tc>
          <w:tcPr>
            <w:tcW w:w="192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07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55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ABS LINCS TN, Inc.</w:t>
            </w:r>
          </w:p>
        </w:tc>
        <w:tc>
          <w:tcPr>
            <w:tcW w:w="265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Virginia</w:t>
            </w:r>
          </w:p>
        </w:tc>
        <w:tc>
          <w:tcPr>
            <w:tcW w:w="192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07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55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Aiken Regional Medical Centers, LLC</w:t>
            </w:r>
            <w:r>
              <w:rPr>
                <w:rFonts w:ascii="Times New Roman" w:hAnsi="Times New Roman"/>
                <w:color w:val="000000"/>
                <w:sz w:val="20"/>
              </w:rPr>
              <w:t xml:space="preserve"> </w:t>
            </w:r>
          </w:p>
        </w:tc>
        <w:tc>
          <w:tcPr>
            <w:tcW w:w="265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South Carolina</w:t>
            </w:r>
          </w:p>
        </w:tc>
        <w:tc>
          <w:tcPr>
            <w:tcW w:w="192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07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55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Alabama Clinical Schools, Inc.</w:t>
            </w:r>
            <w:r>
              <w:rPr>
                <w:rFonts w:ascii="Times New Roman" w:hAnsi="Times New Roman"/>
                <w:color w:val="000000"/>
                <w:sz w:val="20"/>
              </w:rPr>
              <w:t xml:space="preserve"> </w:t>
            </w:r>
          </w:p>
        </w:tc>
        <w:tc>
          <w:tcPr>
            <w:tcW w:w="265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Alabama</w:t>
            </w:r>
          </w:p>
        </w:tc>
        <w:tc>
          <w:tcPr>
            <w:tcW w:w="192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07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55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Alliance Health Center, Inc.</w:t>
            </w:r>
          </w:p>
        </w:tc>
        <w:tc>
          <w:tcPr>
            <w:tcW w:w="265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Mississippi</w:t>
            </w:r>
          </w:p>
        </w:tc>
        <w:tc>
          <w:tcPr>
            <w:tcW w:w="192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07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55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Alternative Behavioral Services, Inc.</w:t>
            </w:r>
          </w:p>
        </w:tc>
        <w:tc>
          <w:tcPr>
            <w:tcW w:w="265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Virginia</w:t>
            </w:r>
          </w:p>
        </w:tc>
        <w:tc>
          <w:tcPr>
            <w:tcW w:w="192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07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55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Ambulatory Surgery Center of Temecula Valley, Inc.</w:t>
            </w:r>
            <w:r>
              <w:rPr>
                <w:rFonts w:ascii="Times New Roman" w:hAnsi="Times New Roman"/>
                <w:color w:val="000000"/>
                <w:sz w:val="20"/>
              </w:rPr>
              <w:t xml:space="preserve"> </w:t>
            </w:r>
          </w:p>
        </w:tc>
        <w:tc>
          <w:tcPr>
            <w:tcW w:w="265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California</w:t>
            </w:r>
          </w:p>
        </w:tc>
        <w:tc>
          <w:tcPr>
            <w:tcW w:w="192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07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55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ASC of Aiken, Inc.</w:t>
            </w:r>
            <w:r>
              <w:rPr>
                <w:rFonts w:ascii="Times New Roman" w:hAnsi="Times New Roman"/>
                <w:color w:val="000000"/>
                <w:sz w:val="20"/>
              </w:rPr>
              <w:t xml:space="preserve"> </w:t>
            </w:r>
          </w:p>
        </w:tc>
        <w:tc>
          <w:tcPr>
            <w:tcW w:w="265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Delaware</w:t>
            </w:r>
          </w:p>
        </w:tc>
        <w:tc>
          <w:tcPr>
            <w:tcW w:w="192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07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55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ASC of East New Orleans, Inc.</w:t>
            </w:r>
            <w:r>
              <w:rPr>
                <w:rFonts w:ascii="Times New Roman" w:hAnsi="Times New Roman"/>
                <w:color w:val="000000"/>
                <w:sz w:val="20"/>
              </w:rPr>
              <w:t xml:space="preserve"> </w:t>
            </w:r>
          </w:p>
        </w:tc>
        <w:tc>
          <w:tcPr>
            <w:tcW w:w="265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Delaware</w:t>
            </w:r>
          </w:p>
        </w:tc>
        <w:tc>
          <w:tcPr>
            <w:tcW w:w="192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07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55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ASC of Las Vegas, Inc.</w:t>
            </w:r>
            <w:r>
              <w:rPr>
                <w:rFonts w:ascii="Times New Roman" w:hAnsi="Times New Roman"/>
                <w:color w:val="000000"/>
                <w:sz w:val="20"/>
              </w:rPr>
              <w:t xml:space="preserve"> </w:t>
            </w:r>
          </w:p>
        </w:tc>
        <w:tc>
          <w:tcPr>
            <w:tcW w:w="265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Nevada</w:t>
            </w:r>
          </w:p>
        </w:tc>
        <w:tc>
          <w:tcPr>
            <w:tcW w:w="192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07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55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ASC of Midwest City, Inc.</w:t>
            </w:r>
            <w:r>
              <w:rPr>
                <w:rFonts w:ascii="Times New Roman" w:hAnsi="Times New Roman"/>
                <w:color w:val="000000"/>
                <w:sz w:val="20"/>
              </w:rPr>
              <w:t xml:space="preserve"> </w:t>
            </w:r>
          </w:p>
        </w:tc>
        <w:tc>
          <w:tcPr>
            <w:tcW w:w="265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Oklahoma</w:t>
            </w:r>
          </w:p>
        </w:tc>
        <w:tc>
          <w:tcPr>
            <w:tcW w:w="192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07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55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ASC of Puerto Rico, Inc.</w:t>
            </w:r>
            <w:r>
              <w:rPr>
                <w:rFonts w:ascii="Times New Roman" w:hAnsi="Times New Roman"/>
                <w:color w:val="000000"/>
                <w:sz w:val="20"/>
              </w:rPr>
              <w:t xml:space="preserve"> </w:t>
            </w:r>
          </w:p>
        </w:tc>
        <w:tc>
          <w:tcPr>
            <w:tcW w:w="265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Delaware</w:t>
            </w:r>
          </w:p>
        </w:tc>
        <w:tc>
          <w:tcPr>
            <w:tcW w:w="192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07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55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ASC of Wellington, Inc.</w:t>
            </w:r>
            <w:r>
              <w:rPr>
                <w:rFonts w:ascii="Times New Roman" w:hAnsi="Times New Roman"/>
                <w:color w:val="000000"/>
                <w:sz w:val="20"/>
              </w:rPr>
              <w:t xml:space="preserve"> </w:t>
            </w:r>
          </w:p>
        </w:tc>
        <w:tc>
          <w:tcPr>
            <w:tcW w:w="265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Florida</w:t>
            </w:r>
          </w:p>
        </w:tc>
        <w:tc>
          <w:tcPr>
            <w:tcW w:w="192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07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55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Ascend Health Corporation</w:t>
            </w:r>
          </w:p>
        </w:tc>
        <w:tc>
          <w:tcPr>
            <w:tcW w:w="265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Delaware</w:t>
            </w:r>
          </w:p>
        </w:tc>
        <w:tc>
          <w:tcPr>
            <w:tcW w:w="192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07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55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Atlantic Shores Hospital, LLC</w:t>
            </w:r>
          </w:p>
        </w:tc>
        <w:tc>
          <w:tcPr>
            <w:tcW w:w="265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Delaware</w:t>
            </w:r>
          </w:p>
        </w:tc>
        <w:tc>
          <w:tcPr>
            <w:tcW w:w="192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07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55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Auburn Regional Medical Center, Inc.</w:t>
            </w:r>
            <w:r>
              <w:rPr>
                <w:rFonts w:ascii="Times New Roman" w:hAnsi="Times New Roman"/>
                <w:color w:val="000000"/>
                <w:sz w:val="20"/>
              </w:rPr>
              <w:t xml:space="preserve"> </w:t>
            </w:r>
          </w:p>
        </w:tc>
        <w:tc>
          <w:tcPr>
            <w:tcW w:w="265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Washington</w:t>
            </w:r>
          </w:p>
        </w:tc>
        <w:tc>
          <w:tcPr>
            <w:tcW w:w="192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07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55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AZ Holding 4, LLC</w:t>
            </w:r>
          </w:p>
        </w:tc>
        <w:tc>
          <w:tcPr>
            <w:tcW w:w="265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Arizona</w:t>
            </w:r>
          </w:p>
        </w:tc>
        <w:tc>
          <w:tcPr>
            <w:tcW w:w="192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07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55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Beach 77 LP</w:t>
            </w:r>
          </w:p>
        </w:tc>
        <w:tc>
          <w:tcPr>
            <w:tcW w:w="265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Delaware</w:t>
            </w:r>
          </w:p>
        </w:tc>
        <w:tc>
          <w:tcPr>
            <w:tcW w:w="192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99</w:t>
            </w:r>
          </w:p>
        </w:tc>
        <w:tc>
          <w:tcPr>
            <w:tcW w:w="207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99</w:t>
            </w:r>
          </w:p>
        </w:tc>
      </w:tr>
      <w:tr>
        <w:trPr/>
        <w:tc>
          <w:tcPr>
            <w:tcW w:w="355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Behavioral Educational Services, Inc.</w:t>
            </w:r>
          </w:p>
        </w:tc>
        <w:tc>
          <w:tcPr>
            <w:tcW w:w="265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Delaware</w:t>
            </w:r>
          </w:p>
        </w:tc>
        <w:tc>
          <w:tcPr>
            <w:tcW w:w="192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07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55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Behavioral Health Connections, Inc.</w:t>
            </w:r>
          </w:p>
        </w:tc>
        <w:tc>
          <w:tcPr>
            <w:tcW w:w="265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Texas</w:t>
            </w:r>
          </w:p>
        </w:tc>
        <w:tc>
          <w:tcPr>
            <w:tcW w:w="192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07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55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Behavioral Health Management, LLC</w:t>
            </w:r>
          </w:p>
        </w:tc>
        <w:tc>
          <w:tcPr>
            <w:tcW w:w="265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Delaware</w:t>
            </w:r>
          </w:p>
        </w:tc>
        <w:tc>
          <w:tcPr>
            <w:tcW w:w="192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07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55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Behavioral Health Realty, LLC</w:t>
            </w:r>
          </w:p>
        </w:tc>
        <w:tc>
          <w:tcPr>
            <w:tcW w:w="265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Delaware</w:t>
            </w:r>
          </w:p>
        </w:tc>
        <w:tc>
          <w:tcPr>
            <w:tcW w:w="192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07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55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Behavioral Healthcare LLC</w:t>
            </w:r>
          </w:p>
        </w:tc>
        <w:tc>
          <w:tcPr>
            <w:tcW w:w="265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Delaware</w:t>
            </w:r>
          </w:p>
        </w:tc>
        <w:tc>
          <w:tcPr>
            <w:tcW w:w="192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07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55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Benchmark Behavioral Health System, Inc.</w:t>
            </w:r>
          </w:p>
        </w:tc>
        <w:tc>
          <w:tcPr>
            <w:tcW w:w="265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Utah</w:t>
            </w:r>
          </w:p>
        </w:tc>
        <w:tc>
          <w:tcPr>
            <w:tcW w:w="192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07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55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BHC Alhambra Hospital, Inc.</w:t>
            </w:r>
          </w:p>
        </w:tc>
        <w:tc>
          <w:tcPr>
            <w:tcW w:w="265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Tennessee</w:t>
            </w:r>
          </w:p>
        </w:tc>
        <w:tc>
          <w:tcPr>
            <w:tcW w:w="192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07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55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BH AZ Master, LLC</w:t>
            </w:r>
          </w:p>
        </w:tc>
        <w:tc>
          <w:tcPr>
            <w:tcW w:w="265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Arizona</w:t>
            </w:r>
          </w:p>
        </w:tc>
        <w:tc>
          <w:tcPr>
            <w:tcW w:w="192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51</w:t>
            </w:r>
          </w:p>
        </w:tc>
        <w:tc>
          <w:tcPr>
            <w:tcW w:w="207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51</w:t>
            </w:r>
          </w:p>
        </w:tc>
      </w:tr>
      <w:tr>
        <w:trPr/>
        <w:tc>
          <w:tcPr>
            <w:tcW w:w="355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BHC Fairfax Hospital, Inc.</w:t>
            </w:r>
          </w:p>
        </w:tc>
        <w:tc>
          <w:tcPr>
            <w:tcW w:w="265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Tennessee</w:t>
            </w:r>
          </w:p>
        </w:tc>
        <w:tc>
          <w:tcPr>
            <w:tcW w:w="192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07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55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BHC Fox Run Hospital, Inc.</w:t>
            </w:r>
          </w:p>
        </w:tc>
        <w:tc>
          <w:tcPr>
            <w:tcW w:w="265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Tennessee</w:t>
            </w:r>
          </w:p>
        </w:tc>
        <w:tc>
          <w:tcPr>
            <w:tcW w:w="192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07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55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BHC Fremont Hospital, Inc.</w:t>
            </w:r>
          </w:p>
        </w:tc>
        <w:tc>
          <w:tcPr>
            <w:tcW w:w="265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Tennessee</w:t>
            </w:r>
          </w:p>
        </w:tc>
        <w:tc>
          <w:tcPr>
            <w:tcW w:w="192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07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bl>
    <w:p>
      <w:pPr>
        <w:pStyle w:val="TextBody"/>
        <w:bidi w:val="0"/>
        <w:jc w:val="left"/>
        <w:rPr>
          <w:rFonts w:ascii="Arial" w:hAnsi="Arial"/>
          <w:color w:val="000000"/>
          <w:sz w:val="22"/>
        </w:rPr>
      </w:pPr>
      <w:r>
        <w:rPr>
          <w:rFonts w:ascii="Arial" w:hAnsi="Arial"/>
          <w:color w:val="000000"/>
          <w:sz w:val="22"/>
        </w:rPr>
        <w:t>9</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593"/>
        <w:gridCol w:w="2635"/>
        <w:gridCol w:w="1915"/>
        <w:gridCol w:w="2062"/>
      </w:tblGrid>
      <w:tr>
        <w:trPr/>
        <w:tc>
          <w:tcPr>
            <w:tcW w:w="3593" w:type="dxa"/>
            <w:tcBorders/>
            <w:shd w:fill="FFFFFF" w:val="clear"/>
            <w:vAlign w:val="center"/>
          </w:tcPr>
          <w:p>
            <w:pPr>
              <w:pStyle w:val="TableContents"/>
              <w:bidi w:val="0"/>
              <w:spacing w:before="0" w:after="283"/>
              <w:jc w:val="left"/>
              <w:rPr>
                <w:sz w:val="4"/>
                <w:szCs w:val="4"/>
              </w:rPr>
            </w:pPr>
            <w:r>
              <w:rPr>
                <w:sz w:val="4"/>
                <w:szCs w:val="4"/>
              </w:rPr>
            </w:r>
          </w:p>
        </w:tc>
        <w:tc>
          <w:tcPr>
            <w:tcW w:w="2635" w:type="dxa"/>
            <w:tcBorders/>
            <w:shd w:fill="FFFFFF" w:val="clear"/>
            <w:vAlign w:val="center"/>
          </w:tcPr>
          <w:p>
            <w:pPr>
              <w:pStyle w:val="TableContents"/>
              <w:bidi w:val="0"/>
              <w:spacing w:before="0" w:after="283"/>
              <w:jc w:val="left"/>
              <w:rPr>
                <w:sz w:val="4"/>
                <w:szCs w:val="4"/>
              </w:rPr>
            </w:pPr>
            <w:r>
              <w:rPr>
                <w:sz w:val="4"/>
                <w:szCs w:val="4"/>
              </w:rPr>
            </w:r>
          </w:p>
        </w:tc>
        <w:tc>
          <w:tcPr>
            <w:tcW w:w="1915" w:type="dxa"/>
            <w:tcBorders/>
            <w:shd w:fill="FFFFFF" w:val="clear"/>
            <w:vAlign w:val="center"/>
          </w:tcPr>
          <w:p>
            <w:pPr>
              <w:pStyle w:val="TableContents"/>
              <w:bidi w:val="0"/>
              <w:spacing w:before="0" w:after="283"/>
              <w:jc w:val="left"/>
              <w:rPr>
                <w:sz w:val="4"/>
                <w:szCs w:val="4"/>
              </w:rPr>
            </w:pPr>
            <w:r>
              <w:rPr>
                <w:sz w:val="4"/>
                <w:szCs w:val="4"/>
              </w:rPr>
            </w:r>
          </w:p>
        </w:tc>
        <w:tc>
          <w:tcPr>
            <w:tcW w:w="2062" w:type="dxa"/>
            <w:tcBorders/>
            <w:shd w:fill="FFFFFF" w:val="clear"/>
            <w:vAlign w:val="center"/>
          </w:tcPr>
          <w:p>
            <w:pPr>
              <w:pStyle w:val="TableContents"/>
              <w:bidi w:val="0"/>
              <w:spacing w:before="0" w:after="283"/>
              <w:jc w:val="left"/>
              <w:rPr>
                <w:sz w:val="4"/>
                <w:szCs w:val="4"/>
              </w:rPr>
            </w:pPr>
            <w:r>
              <w:rPr>
                <w:sz w:val="4"/>
                <w:szCs w:val="4"/>
              </w:rPr>
            </w:r>
          </w:p>
        </w:tc>
      </w:tr>
      <w:tr>
        <w:trPr/>
        <w:tc>
          <w:tcPr>
            <w:tcW w:w="3593"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TableContents"/>
              <w:bidi w:val="0"/>
              <w:spacing w:before="240" w:after="240"/>
              <w:jc w:val="left"/>
              <w:rPr>
                <w:rFonts w:ascii="Arial" w:hAnsi="Arial"/>
                <w:b/>
                <w:color w:val="000000"/>
                <w:sz w:val="20"/>
              </w:rPr>
            </w:pPr>
            <w:r>
              <w:rPr>
                <w:rFonts w:ascii="Arial" w:hAnsi="Arial"/>
                <w:b/>
                <w:color w:val="000000"/>
                <w:sz w:val="20"/>
              </w:rPr>
              <w:br/>
              <w:t>Name of Issuer</w:t>
            </w:r>
          </w:p>
        </w:tc>
        <w:tc>
          <w:tcPr>
            <w:tcW w:w="2635"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240" w:after="240"/>
              <w:jc w:val="left"/>
              <w:rPr>
                <w:rFonts w:ascii="Arial" w:hAnsi="Arial"/>
                <w:b/>
                <w:color w:val="000000"/>
                <w:sz w:val="20"/>
              </w:rPr>
            </w:pPr>
            <w:r>
              <w:rPr>
                <w:rFonts w:ascii="Arial" w:hAnsi="Arial"/>
                <w:b/>
                <w:color w:val="000000"/>
                <w:sz w:val="20"/>
              </w:rPr>
              <w:t>Issuer Jurisdiction of Organization</w:t>
            </w:r>
          </w:p>
        </w:tc>
        <w:tc>
          <w:tcPr>
            <w:tcW w:w="1915"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240" w:after="240"/>
              <w:jc w:val="left"/>
              <w:rPr>
                <w:rFonts w:ascii="Arial" w:hAnsi="Arial"/>
                <w:b/>
                <w:color w:val="000000"/>
                <w:sz w:val="20"/>
              </w:rPr>
            </w:pPr>
            <w:r>
              <w:rPr>
                <w:rFonts w:ascii="Arial" w:hAnsi="Arial"/>
                <w:b/>
                <w:color w:val="000000"/>
                <w:sz w:val="20"/>
              </w:rPr>
              <w:t>Percent of Interest Owned</w:t>
            </w:r>
          </w:p>
        </w:tc>
        <w:tc>
          <w:tcPr>
            <w:tcW w:w="2062"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240" w:after="240"/>
              <w:jc w:val="left"/>
              <w:rPr>
                <w:rFonts w:ascii="Arial" w:hAnsi="Arial"/>
                <w:b/>
                <w:color w:val="000000"/>
                <w:sz w:val="20"/>
              </w:rPr>
            </w:pPr>
            <w:r>
              <w:rPr>
                <w:rFonts w:ascii="Arial" w:hAnsi="Arial"/>
                <w:b/>
                <w:color w:val="000000"/>
                <w:sz w:val="20"/>
              </w:rPr>
              <w:t>Percent of Interest Pledged</w:t>
            </w:r>
          </w:p>
        </w:tc>
      </w:tr>
      <w:tr>
        <w:trPr/>
        <w:tc>
          <w:tcPr>
            <w:tcW w:w="3593"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BHC Health Services of Nevada, Inc.</w:t>
            </w:r>
          </w:p>
        </w:tc>
        <w:tc>
          <w:tcPr>
            <w:tcW w:w="263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Nevada</w:t>
            </w:r>
          </w:p>
        </w:tc>
        <w:tc>
          <w:tcPr>
            <w:tcW w:w="191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062"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593"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BHC Heritage Oaks Hospital, Inc.</w:t>
            </w:r>
          </w:p>
        </w:tc>
        <w:tc>
          <w:tcPr>
            <w:tcW w:w="263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Tennessee</w:t>
            </w:r>
          </w:p>
        </w:tc>
        <w:tc>
          <w:tcPr>
            <w:tcW w:w="191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062"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593"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BHC Holdings, Inc.</w:t>
            </w:r>
          </w:p>
        </w:tc>
        <w:tc>
          <w:tcPr>
            <w:tcW w:w="263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Delaware</w:t>
            </w:r>
          </w:p>
        </w:tc>
        <w:tc>
          <w:tcPr>
            <w:tcW w:w="191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062"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593"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BHC Intermountain Hospital, Inc.</w:t>
            </w:r>
          </w:p>
        </w:tc>
        <w:tc>
          <w:tcPr>
            <w:tcW w:w="263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Tennessee</w:t>
            </w:r>
          </w:p>
        </w:tc>
        <w:tc>
          <w:tcPr>
            <w:tcW w:w="191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062"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593"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BHC Management Services of Streamwood, LLC</w:t>
            </w:r>
          </w:p>
        </w:tc>
        <w:tc>
          <w:tcPr>
            <w:tcW w:w="263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Delaware</w:t>
            </w:r>
          </w:p>
        </w:tc>
        <w:tc>
          <w:tcPr>
            <w:tcW w:w="191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062"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593"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BHC Mesilla Valley Hospital, LLC</w:t>
            </w:r>
          </w:p>
        </w:tc>
        <w:tc>
          <w:tcPr>
            <w:tcW w:w="263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Delaware</w:t>
            </w:r>
          </w:p>
        </w:tc>
        <w:tc>
          <w:tcPr>
            <w:tcW w:w="191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062"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593"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BHC Montevista Hospital, Inc.</w:t>
            </w:r>
          </w:p>
        </w:tc>
        <w:tc>
          <w:tcPr>
            <w:tcW w:w="263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Nevada</w:t>
            </w:r>
          </w:p>
        </w:tc>
        <w:tc>
          <w:tcPr>
            <w:tcW w:w="191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062"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593"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BHC Northwest Psychiatric Hospital, LLC</w:t>
            </w:r>
          </w:p>
        </w:tc>
        <w:tc>
          <w:tcPr>
            <w:tcW w:w="263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Delaware</w:t>
            </w:r>
          </w:p>
        </w:tc>
        <w:tc>
          <w:tcPr>
            <w:tcW w:w="191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062"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593"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BHC of Indiana, General Partnership</w:t>
            </w:r>
          </w:p>
        </w:tc>
        <w:tc>
          <w:tcPr>
            <w:tcW w:w="263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Tennessee</w:t>
            </w:r>
          </w:p>
        </w:tc>
        <w:tc>
          <w:tcPr>
            <w:tcW w:w="191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062"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593"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BHC Pinnacle Pointe Hospital, LLC</w:t>
            </w:r>
          </w:p>
        </w:tc>
        <w:tc>
          <w:tcPr>
            <w:tcW w:w="263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Tennessee</w:t>
            </w:r>
          </w:p>
        </w:tc>
        <w:tc>
          <w:tcPr>
            <w:tcW w:w="191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062"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593"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BHC Properties, LLC</w:t>
            </w:r>
          </w:p>
        </w:tc>
        <w:tc>
          <w:tcPr>
            <w:tcW w:w="263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Tennessee</w:t>
            </w:r>
          </w:p>
        </w:tc>
        <w:tc>
          <w:tcPr>
            <w:tcW w:w="191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062"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593"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BHC Sierra Vista Hospital, Inc.</w:t>
            </w:r>
          </w:p>
        </w:tc>
        <w:tc>
          <w:tcPr>
            <w:tcW w:w="263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Tennessee</w:t>
            </w:r>
          </w:p>
        </w:tc>
        <w:tc>
          <w:tcPr>
            <w:tcW w:w="191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062"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593"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BHC Streamwood Hospital, Inc.</w:t>
            </w:r>
          </w:p>
        </w:tc>
        <w:tc>
          <w:tcPr>
            <w:tcW w:w="263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Tennessee</w:t>
            </w:r>
          </w:p>
        </w:tc>
        <w:tc>
          <w:tcPr>
            <w:tcW w:w="191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062"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593"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Bloomington Meadows, General Partnership</w:t>
            </w:r>
          </w:p>
        </w:tc>
        <w:tc>
          <w:tcPr>
            <w:tcW w:w="263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Tennessee</w:t>
            </w:r>
          </w:p>
        </w:tc>
        <w:tc>
          <w:tcPr>
            <w:tcW w:w="191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062"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593"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Brentwood Acquisition, Inc.</w:t>
            </w:r>
          </w:p>
        </w:tc>
        <w:tc>
          <w:tcPr>
            <w:tcW w:w="263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Tennessee</w:t>
            </w:r>
          </w:p>
        </w:tc>
        <w:tc>
          <w:tcPr>
            <w:tcW w:w="191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062"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593"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Brentwood Acquisition-Shreveport, Inc.</w:t>
            </w:r>
          </w:p>
        </w:tc>
        <w:tc>
          <w:tcPr>
            <w:tcW w:w="263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Delaware</w:t>
            </w:r>
          </w:p>
        </w:tc>
        <w:tc>
          <w:tcPr>
            <w:tcW w:w="191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062"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593"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Brynn Marr Hospital, Inc.</w:t>
            </w:r>
          </w:p>
        </w:tc>
        <w:tc>
          <w:tcPr>
            <w:tcW w:w="263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North Carolina</w:t>
            </w:r>
          </w:p>
        </w:tc>
        <w:tc>
          <w:tcPr>
            <w:tcW w:w="191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062"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593"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Calvary Center, Inc.</w:t>
            </w:r>
          </w:p>
        </w:tc>
        <w:tc>
          <w:tcPr>
            <w:tcW w:w="263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Delaware</w:t>
            </w:r>
          </w:p>
        </w:tc>
        <w:tc>
          <w:tcPr>
            <w:tcW w:w="191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062"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593"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Canyon Ridge Hospital, Inc.</w:t>
            </w:r>
          </w:p>
        </w:tc>
        <w:tc>
          <w:tcPr>
            <w:tcW w:w="263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California</w:t>
            </w:r>
          </w:p>
        </w:tc>
        <w:tc>
          <w:tcPr>
            <w:tcW w:w="191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062"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593"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Canyon Ridge Real Estate, LLC</w:t>
            </w:r>
          </w:p>
        </w:tc>
        <w:tc>
          <w:tcPr>
            <w:tcW w:w="263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Delaware</w:t>
            </w:r>
          </w:p>
        </w:tc>
        <w:tc>
          <w:tcPr>
            <w:tcW w:w="191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062"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593"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CAT Realty, LLC</w:t>
            </w:r>
          </w:p>
        </w:tc>
        <w:tc>
          <w:tcPr>
            <w:tcW w:w="263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Delaware</w:t>
            </w:r>
          </w:p>
        </w:tc>
        <w:tc>
          <w:tcPr>
            <w:tcW w:w="191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062"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593"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Cape Girardeau Behavioral Health, LLC</w:t>
            </w:r>
          </w:p>
        </w:tc>
        <w:tc>
          <w:tcPr>
            <w:tcW w:w="263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Missouri</w:t>
            </w:r>
          </w:p>
        </w:tc>
        <w:tc>
          <w:tcPr>
            <w:tcW w:w="191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75</w:t>
            </w:r>
          </w:p>
        </w:tc>
        <w:tc>
          <w:tcPr>
            <w:tcW w:w="2062"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75</w:t>
            </w:r>
          </w:p>
        </w:tc>
      </w:tr>
      <w:tr>
        <w:trPr/>
        <w:tc>
          <w:tcPr>
            <w:tcW w:w="3593"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CAT Seattle, LLC</w:t>
            </w:r>
          </w:p>
        </w:tc>
        <w:tc>
          <w:tcPr>
            <w:tcW w:w="263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Delaware</w:t>
            </w:r>
          </w:p>
        </w:tc>
        <w:tc>
          <w:tcPr>
            <w:tcW w:w="191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062"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593"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CCS/Lansing, Inc.</w:t>
            </w:r>
            <w:r>
              <w:rPr>
                <w:rFonts w:ascii="Times New Roman" w:hAnsi="Times New Roman"/>
                <w:color w:val="000000"/>
                <w:sz w:val="20"/>
              </w:rPr>
              <w:t xml:space="preserve"> </w:t>
            </w:r>
          </w:p>
        </w:tc>
        <w:tc>
          <w:tcPr>
            <w:tcW w:w="263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Michigan</w:t>
            </w:r>
          </w:p>
        </w:tc>
        <w:tc>
          <w:tcPr>
            <w:tcW w:w="191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062"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593"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Cedar Springs Hospital, Inc.</w:t>
            </w:r>
          </w:p>
        </w:tc>
        <w:tc>
          <w:tcPr>
            <w:tcW w:w="263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Delaware</w:t>
            </w:r>
          </w:p>
        </w:tc>
        <w:tc>
          <w:tcPr>
            <w:tcW w:w="191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062"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593"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Central Montgomery Medical Center, L.L.C.</w:t>
            </w:r>
            <w:r>
              <w:rPr>
                <w:rFonts w:ascii="Times New Roman" w:hAnsi="Times New Roman"/>
                <w:color w:val="000000"/>
                <w:sz w:val="20"/>
              </w:rPr>
              <w:t xml:space="preserve"> </w:t>
            </w:r>
          </w:p>
        </w:tc>
        <w:tc>
          <w:tcPr>
            <w:tcW w:w="263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Pennsylvania</w:t>
            </w:r>
          </w:p>
        </w:tc>
        <w:tc>
          <w:tcPr>
            <w:tcW w:w="191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062"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593"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Chalmette Medical Center, Inc.</w:t>
            </w:r>
            <w:r>
              <w:rPr>
                <w:rFonts w:ascii="Times New Roman" w:hAnsi="Times New Roman"/>
                <w:color w:val="000000"/>
                <w:sz w:val="20"/>
              </w:rPr>
              <w:t xml:space="preserve"> </w:t>
            </w:r>
          </w:p>
        </w:tc>
        <w:tc>
          <w:tcPr>
            <w:tcW w:w="263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Louisiana</w:t>
            </w:r>
          </w:p>
        </w:tc>
        <w:tc>
          <w:tcPr>
            <w:tcW w:w="191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062"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593"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Children’s Comprehensive Services, Inc.</w:t>
            </w:r>
            <w:r>
              <w:rPr>
                <w:rFonts w:ascii="Times New Roman" w:hAnsi="Times New Roman"/>
                <w:color w:val="000000"/>
                <w:sz w:val="20"/>
              </w:rPr>
              <w:t xml:space="preserve"> </w:t>
            </w:r>
          </w:p>
        </w:tc>
        <w:tc>
          <w:tcPr>
            <w:tcW w:w="263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Tennessee</w:t>
            </w:r>
          </w:p>
        </w:tc>
        <w:tc>
          <w:tcPr>
            <w:tcW w:w="191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062"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593"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Clive Behavioral Health, LLC</w:t>
            </w:r>
          </w:p>
        </w:tc>
        <w:tc>
          <w:tcPr>
            <w:tcW w:w="263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Delaware</w:t>
            </w:r>
          </w:p>
        </w:tc>
        <w:tc>
          <w:tcPr>
            <w:tcW w:w="191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52</w:t>
            </w:r>
          </w:p>
        </w:tc>
        <w:tc>
          <w:tcPr>
            <w:tcW w:w="2062"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52</w:t>
            </w:r>
          </w:p>
        </w:tc>
      </w:tr>
      <w:tr>
        <w:trPr/>
        <w:tc>
          <w:tcPr>
            <w:tcW w:w="3593"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Columbus Hospital Partners, LLC</w:t>
            </w:r>
          </w:p>
        </w:tc>
        <w:tc>
          <w:tcPr>
            <w:tcW w:w="263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Tennessee</w:t>
            </w:r>
          </w:p>
        </w:tc>
        <w:tc>
          <w:tcPr>
            <w:tcW w:w="191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062"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593"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Columbus Hospital, LLC</w:t>
            </w:r>
          </w:p>
        </w:tc>
        <w:tc>
          <w:tcPr>
            <w:tcW w:w="263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Delaware</w:t>
            </w:r>
          </w:p>
        </w:tc>
        <w:tc>
          <w:tcPr>
            <w:tcW w:w="191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062"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593"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Coral Shores Behavioral Health, LLC</w:t>
            </w:r>
          </w:p>
        </w:tc>
        <w:tc>
          <w:tcPr>
            <w:tcW w:w="263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Delaware</w:t>
            </w:r>
          </w:p>
        </w:tc>
        <w:tc>
          <w:tcPr>
            <w:tcW w:w="191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062"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593"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Cornerstone Hospital Management, LLC</w:t>
            </w:r>
          </w:p>
        </w:tc>
        <w:tc>
          <w:tcPr>
            <w:tcW w:w="263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Texas</w:t>
            </w:r>
          </w:p>
        </w:tc>
        <w:tc>
          <w:tcPr>
            <w:tcW w:w="191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58.3</w:t>
            </w:r>
          </w:p>
        </w:tc>
        <w:tc>
          <w:tcPr>
            <w:tcW w:w="2062"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58.3</w:t>
            </w:r>
          </w:p>
        </w:tc>
      </w:tr>
      <w:tr>
        <w:trPr/>
        <w:tc>
          <w:tcPr>
            <w:tcW w:w="3593"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Cornerstone Regional Hospital, LP</w:t>
            </w:r>
          </w:p>
        </w:tc>
        <w:tc>
          <w:tcPr>
            <w:tcW w:w="263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Texas</w:t>
            </w:r>
          </w:p>
        </w:tc>
        <w:tc>
          <w:tcPr>
            <w:tcW w:w="191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50.2</w:t>
            </w:r>
          </w:p>
        </w:tc>
        <w:tc>
          <w:tcPr>
            <w:tcW w:w="2062"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50.2</w:t>
            </w:r>
          </w:p>
        </w:tc>
      </w:tr>
      <w:tr>
        <w:trPr/>
        <w:tc>
          <w:tcPr>
            <w:tcW w:w="3593"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Crossings Healthcare Solutions, Inc.</w:t>
            </w:r>
          </w:p>
        </w:tc>
        <w:tc>
          <w:tcPr>
            <w:tcW w:w="263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c>
          <w:tcPr>
            <w:tcW w:w="191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062"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593"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Cumberland Hospital Partners, LLC</w:t>
            </w:r>
          </w:p>
        </w:tc>
        <w:tc>
          <w:tcPr>
            <w:tcW w:w="263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Delaware</w:t>
            </w:r>
          </w:p>
        </w:tc>
        <w:tc>
          <w:tcPr>
            <w:tcW w:w="191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062"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593"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Cumberland Hospital, LLC</w:t>
            </w:r>
          </w:p>
        </w:tc>
        <w:tc>
          <w:tcPr>
            <w:tcW w:w="263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Virginia</w:t>
            </w:r>
          </w:p>
        </w:tc>
        <w:tc>
          <w:tcPr>
            <w:tcW w:w="191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062"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593"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Cypress Creek Real Estate, L.P.</w:t>
            </w:r>
          </w:p>
        </w:tc>
        <w:tc>
          <w:tcPr>
            <w:tcW w:w="263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Delaware</w:t>
            </w:r>
          </w:p>
        </w:tc>
        <w:tc>
          <w:tcPr>
            <w:tcW w:w="191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99</w:t>
            </w:r>
          </w:p>
        </w:tc>
        <w:tc>
          <w:tcPr>
            <w:tcW w:w="2062"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99</w:t>
            </w:r>
          </w:p>
        </w:tc>
      </w:tr>
      <w:tr>
        <w:trPr/>
        <w:tc>
          <w:tcPr>
            <w:tcW w:w="3593"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Del Amo Hospital, Inc.</w:t>
            </w:r>
            <w:r>
              <w:rPr>
                <w:rFonts w:ascii="Times New Roman" w:hAnsi="Times New Roman"/>
                <w:color w:val="000000"/>
                <w:sz w:val="20"/>
              </w:rPr>
              <w:t xml:space="preserve"> </w:t>
            </w:r>
          </w:p>
        </w:tc>
        <w:tc>
          <w:tcPr>
            <w:tcW w:w="263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California</w:t>
            </w:r>
          </w:p>
        </w:tc>
        <w:tc>
          <w:tcPr>
            <w:tcW w:w="191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062"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593"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DHP 2131 K St, LLC</w:t>
            </w:r>
            <w:r>
              <w:rPr>
                <w:rFonts w:ascii="Times New Roman" w:hAnsi="Times New Roman"/>
                <w:color w:val="000000"/>
                <w:sz w:val="20"/>
              </w:rPr>
              <w:t xml:space="preserve"> </w:t>
            </w:r>
          </w:p>
        </w:tc>
        <w:tc>
          <w:tcPr>
            <w:tcW w:w="263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Delaware</w:t>
            </w:r>
          </w:p>
        </w:tc>
        <w:tc>
          <w:tcPr>
            <w:tcW w:w="191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062"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593"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Diamond Grove Center, LLC</w:t>
            </w:r>
          </w:p>
        </w:tc>
        <w:tc>
          <w:tcPr>
            <w:tcW w:w="263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Delaware</w:t>
            </w:r>
          </w:p>
        </w:tc>
        <w:tc>
          <w:tcPr>
            <w:tcW w:w="191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062"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593"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District Hospital Partners, L.P.</w:t>
            </w:r>
          </w:p>
        </w:tc>
        <w:tc>
          <w:tcPr>
            <w:tcW w:w="263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District of Columbia</w:t>
            </w:r>
          </w:p>
        </w:tc>
        <w:tc>
          <w:tcPr>
            <w:tcW w:w="191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062"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593"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Doctors’ Hospital of Shreveport, Inc.</w:t>
            </w:r>
            <w:r>
              <w:rPr>
                <w:rFonts w:ascii="Times New Roman" w:hAnsi="Times New Roman"/>
                <w:color w:val="000000"/>
                <w:sz w:val="20"/>
              </w:rPr>
              <w:t xml:space="preserve"> </w:t>
            </w:r>
          </w:p>
        </w:tc>
        <w:tc>
          <w:tcPr>
            <w:tcW w:w="263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Louisiana</w:t>
            </w:r>
          </w:p>
        </w:tc>
        <w:tc>
          <w:tcPr>
            <w:tcW w:w="191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062"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593"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DVH Hospital Alliance LLC</w:t>
            </w:r>
          </w:p>
        </w:tc>
        <w:tc>
          <w:tcPr>
            <w:tcW w:w="263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Delaware</w:t>
            </w:r>
          </w:p>
        </w:tc>
        <w:tc>
          <w:tcPr>
            <w:tcW w:w="191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062"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593"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Edinburg Ambulatory Surgical Center, Inc.</w:t>
            </w:r>
            <w:r>
              <w:rPr>
                <w:rFonts w:ascii="Times New Roman" w:hAnsi="Times New Roman"/>
                <w:color w:val="000000"/>
                <w:sz w:val="20"/>
              </w:rPr>
              <w:t xml:space="preserve"> </w:t>
            </w:r>
          </w:p>
        </w:tc>
        <w:tc>
          <w:tcPr>
            <w:tcW w:w="263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Texas</w:t>
            </w:r>
          </w:p>
        </w:tc>
        <w:tc>
          <w:tcPr>
            <w:tcW w:w="191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062"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593"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Edinburg Holdings, Inc.</w:t>
            </w:r>
            <w:r>
              <w:rPr>
                <w:rFonts w:ascii="Times New Roman" w:hAnsi="Times New Roman"/>
                <w:color w:val="000000"/>
                <w:sz w:val="20"/>
              </w:rPr>
              <w:t xml:space="preserve"> </w:t>
            </w:r>
          </w:p>
        </w:tc>
        <w:tc>
          <w:tcPr>
            <w:tcW w:w="263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Delaware</w:t>
            </w:r>
          </w:p>
        </w:tc>
        <w:tc>
          <w:tcPr>
            <w:tcW w:w="191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062"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593"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Edinburg MOB Properties, LLC</w:t>
            </w:r>
            <w:r>
              <w:rPr>
                <w:rFonts w:ascii="Times New Roman" w:hAnsi="Times New Roman"/>
                <w:color w:val="000000"/>
                <w:sz w:val="20"/>
              </w:rPr>
              <w:t xml:space="preserve"> </w:t>
            </w:r>
          </w:p>
        </w:tc>
        <w:tc>
          <w:tcPr>
            <w:tcW w:w="263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Florida</w:t>
            </w:r>
          </w:p>
        </w:tc>
        <w:tc>
          <w:tcPr>
            <w:tcW w:w="191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062"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bl>
    <w:p>
      <w:pPr>
        <w:pStyle w:val="TextBody"/>
        <w:bidi w:val="0"/>
        <w:jc w:val="left"/>
        <w:rPr>
          <w:rFonts w:ascii="Arial" w:hAnsi="Arial"/>
          <w:color w:val="000000"/>
          <w:sz w:val="22"/>
        </w:rPr>
      </w:pPr>
      <w:r>
        <w:rPr>
          <w:rFonts w:ascii="Arial" w:hAnsi="Arial"/>
          <w:color w:val="000000"/>
          <w:sz w:val="22"/>
        </w:rPr>
        <w:t>10</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549"/>
        <w:gridCol w:w="2681"/>
        <w:gridCol w:w="1914"/>
        <w:gridCol w:w="2061"/>
      </w:tblGrid>
      <w:tr>
        <w:trPr/>
        <w:tc>
          <w:tcPr>
            <w:tcW w:w="3549" w:type="dxa"/>
            <w:tcBorders/>
            <w:shd w:fill="FFFFFF" w:val="clear"/>
            <w:vAlign w:val="center"/>
          </w:tcPr>
          <w:p>
            <w:pPr>
              <w:pStyle w:val="TableContents"/>
              <w:bidi w:val="0"/>
              <w:spacing w:before="0" w:after="283"/>
              <w:jc w:val="left"/>
              <w:rPr>
                <w:sz w:val="4"/>
                <w:szCs w:val="4"/>
              </w:rPr>
            </w:pPr>
            <w:r>
              <w:rPr>
                <w:sz w:val="4"/>
                <w:szCs w:val="4"/>
              </w:rPr>
            </w:r>
          </w:p>
        </w:tc>
        <w:tc>
          <w:tcPr>
            <w:tcW w:w="2681" w:type="dxa"/>
            <w:tcBorders/>
            <w:shd w:fill="FFFFFF" w:val="clear"/>
            <w:vAlign w:val="center"/>
          </w:tcPr>
          <w:p>
            <w:pPr>
              <w:pStyle w:val="TableContents"/>
              <w:bidi w:val="0"/>
              <w:spacing w:before="0" w:after="283"/>
              <w:jc w:val="left"/>
              <w:rPr>
                <w:sz w:val="4"/>
                <w:szCs w:val="4"/>
              </w:rPr>
            </w:pPr>
            <w:r>
              <w:rPr>
                <w:sz w:val="4"/>
                <w:szCs w:val="4"/>
              </w:rPr>
            </w:r>
          </w:p>
        </w:tc>
        <w:tc>
          <w:tcPr>
            <w:tcW w:w="1914" w:type="dxa"/>
            <w:tcBorders/>
            <w:shd w:fill="FFFFFF" w:val="clear"/>
            <w:vAlign w:val="center"/>
          </w:tcPr>
          <w:p>
            <w:pPr>
              <w:pStyle w:val="TableContents"/>
              <w:bidi w:val="0"/>
              <w:spacing w:before="0" w:after="283"/>
              <w:jc w:val="left"/>
              <w:rPr>
                <w:sz w:val="4"/>
                <w:szCs w:val="4"/>
              </w:rPr>
            </w:pPr>
            <w:r>
              <w:rPr>
                <w:sz w:val="4"/>
                <w:szCs w:val="4"/>
              </w:rPr>
            </w:r>
          </w:p>
        </w:tc>
        <w:tc>
          <w:tcPr>
            <w:tcW w:w="2061" w:type="dxa"/>
            <w:tcBorders/>
            <w:shd w:fill="FFFFFF" w:val="clear"/>
            <w:vAlign w:val="center"/>
          </w:tcPr>
          <w:p>
            <w:pPr>
              <w:pStyle w:val="TableContents"/>
              <w:bidi w:val="0"/>
              <w:spacing w:before="0" w:after="283"/>
              <w:jc w:val="left"/>
              <w:rPr>
                <w:sz w:val="4"/>
                <w:szCs w:val="4"/>
              </w:rPr>
            </w:pPr>
            <w:r>
              <w:rPr>
                <w:sz w:val="4"/>
                <w:szCs w:val="4"/>
              </w:rPr>
            </w:r>
          </w:p>
        </w:tc>
      </w:tr>
      <w:tr>
        <w:trPr/>
        <w:tc>
          <w:tcPr>
            <w:tcW w:w="3549"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TableContents"/>
              <w:bidi w:val="0"/>
              <w:spacing w:before="240" w:after="240"/>
              <w:jc w:val="left"/>
              <w:rPr>
                <w:rFonts w:ascii="Arial" w:hAnsi="Arial"/>
                <w:b/>
                <w:color w:val="000000"/>
                <w:sz w:val="20"/>
              </w:rPr>
            </w:pPr>
            <w:r>
              <w:rPr>
                <w:rFonts w:ascii="Arial" w:hAnsi="Arial"/>
                <w:b/>
                <w:color w:val="000000"/>
                <w:sz w:val="20"/>
              </w:rPr>
              <w:br/>
              <w:t>Name of Issuer</w:t>
            </w:r>
          </w:p>
        </w:tc>
        <w:tc>
          <w:tcPr>
            <w:tcW w:w="2681"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240" w:after="240"/>
              <w:jc w:val="left"/>
              <w:rPr>
                <w:rFonts w:ascii="Arial" w:hAnsi="Arial"/>
                <w:b/>
                <w:color w:val="000000"/>
                <w:sz w:val="20"/>
              </w:rPr>
            </w:pPr>
            <w:r>
              <w:rPr>
                <w:rFonts w:ascii="Arial" w:hAnsi="Arial"/>
                <w:b/>
                <w:color w:val="000000"/>
                <w:sz w:val="20"/>
              </w:rPr>
              <w:t>Issuer Jurisdiction of Organization</w:t>
            </w:r>
          </w:p>
        </w:tc>
        <w:tc>
          <w:tcPr>
            <w:tcW w:w="1914"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240" w:after="240"/>
              <w:jc w:val="left"/>
              <w:rPr>
                <w:rFonts w:ascii="Arial" w:hAnsi="Arial"/>
                <w:b/>
                <w:color w:val="000000"/>
                <w:sz w:val="20"/>
              </w:rPr>
            </w:pPr>
            <w:r>
              <w:rPr>
                <w:rFonts w:ascii="Arial" w:hAnsi="Arial"/>
                <w:b/>
                <w:color w:val="000000"/>
                <w:sz w:val="20"/>
              </w:rPr>
              <w:t>Percent of Interest Owned</w:t>
            </w:r>
          </w:p>
        </w:tc>
        <w:tc>
          <w:tcPr>
            <w:tcW w:w="2061"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240" w:after="240"/>
              <w:jc w:val="left"/>
              <w:rPr>
                <w:rFonts w:ascii="Arial" w:hAnsi="Arial"/>
                <w:b/>
                <w:color w:val="000000"/>
                <w:sz w:val="20"/>
              </w:rPr>
            </w:pPr>
            <w:r>
              <w:rPr>
                <w:rFonts w:ascii="Arial" w:hAnsi="Arial"/>
                <w:b/>
                <w:color w:val="000000"/>
                <w:sz w:val="20"/>
              </w:rPr>
              <w:t>Percent of Interest Pledged</w:t>
            </w:r>
          </w:p>
        </w:tc>
      </w:tr>
      <w:tr>
        <w:trPr/>
        <w:tc>
          <w:tcPr>
            <w:tcW w:w="3549"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Emerald Coast Behavioral Hospital, LLC</w:t>
            </w:r>
          </w:p>
        </w:tc>
        <w:tc>
          <w:tcPr>
            <w:tcW w:w="268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Delaware</w:t>
            </w:r>
          </w:p>
        </w:tc>
        <w:tc>
          <w:tcPr>
            <w:tcW w:w="191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0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549"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Everglades Holdings, LLC</w:t>
            </w:r>
          </w:p>
        </w:tc>
        <w:tc>
          <w:tcPr>
            <w:tcW w:w="268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Delaware</w:t>
            </w:r>
          </w:p>
        </w:tc>
        <w:tc>
          <w:tcPr>
            <w:tcW w:w="191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0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549"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Fannin Management Services, LLC</w:t>
            </w:r>
          </w:p>
        </w:tc>
        <w:tc>
          <w:tcPr>
            <w:tcW w:w="268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Texas</w:t>
            </w:r>
          </w:p>
        </w:tc>
        <w:tc>
          <w:tcPr>
            <w:tcW w:w="191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0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549"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First Hospital Corporation of Virginia Beach</w:t>
            </w:r>
          </w:p>
        </w:tc>
        <w:tc>
          <w:tcPr>
            <w:tcW w:w="268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Virginia</w:t>
            </w:r>
          </w:p>
        </w:tc>
        <w:tc>
          <w:tcPr>
            <w:tcW w:w="191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0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549"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Forest View Psychiatric Hospital, Inc.</w:t>
            </w:r>
            <w:r>
              <w:rPr>
                <w:rFonts w:ascii="Times New Roman" w:hAnsi="Times New Roman"/>
                <w:color w:val="000000"/>
                <w:sz w:val="20"/>
              </w:rPr>
              <w:t xml:space="preserve"> </w:t>
            </w:r>
          </w:p>
        </w:tc>
        <w:tc>
          <w:tcPr>
            <w:tcW w:w="268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Michigan</w:t>
            </w:r>
          </w:p>
        </w:tc>
        <w:tc>
          <w:tcPr>
            <w:tcW w:w="191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0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549"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Fort Duncan Medical Center, Inc.</w:t>
            </w:r>
            <w:r>
              <w:rPr>
                <w:rFonts w:ascii="Times New Roman" w:hAnsi="Times New Roman"/>
                <w:color w:val="000000"/>
                <w:sz w:val="20"/>
              </w:rPr>
              <w:t xml:space="preserve"> </w:t>
            </w:r>
          </w:p>
        </w:tc>
        <w:tc>
          <w:tcPr>
            <w:tcW w:w="268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Delaware</w:t>
            </w:r>
          </w:p>
        </w:tc>
        <w:tc>
          <w:tcPr>
            <w:tcW w:w="191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0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549"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Fort Duncan Medical Center, L.P.</w:t>
            </w:r>
            <w:r>
              <w:rPr>
                <w:rFonts w:ascii="Times New Roman" w:hAnsi="Times New Roman"/>
                <w:color w:val="000000"/>
                <w:sz w:val="20"/>
              </w:rPr>
              <w:t xml:space="preserve"> </w:t>
            </w:r>
          </w:p>
        </w:tc>
        <w:tc>
          <w:tcPr>
            <w:tcW w:w="268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Delaware</w:t>
            </w:r>
          </w:p>
        </w:tc>
        <w:tc>
          <w:tcPr>
            <w:tcW w:w="191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99</w:t>
            </w:r>
          </w:p>
        </w:tc>
        <w:tc>
          <w:tcPr>
            <w:tcW w:w="20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99</w:t>
            </w:r>
          </w:p>
        </w:tc>
      </w:tr>
      <w:tr>
        <w:trPr/>
        <w:tc>
          <w:tcPr>
            <w:tcW w:w="3549"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Fort Lauderdale Hospital, Inc.</w:t>
            </w:r>
          </w:p>
        </w:tc>
        <w:tc>
          <w:tcPr>
            <w:tcW w:w="268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Florida</w:t>
            </w:r>
          </w:p>
        </w:tc>
        <w:tc>
          <w:tcPr>
            <w:tcW w:w="191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0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549"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Foundations Recovery Network, LLC</w:t>
            </w:r>
          </w:p>
        </w:tc>
        <w:tc>
          <w:tcPr>
            <w:tcW w:w="268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Tennessee</w:t>
            </w:r>
          </w:p>
        </w:tc>
        <w:tc>
          <w:tcPr>
            <w:tcW w:w="191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0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549"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Friends Behavioral Health System, LP</w:t>
            </w:r>
          </w:p>
        </w:tc>
        <w:tc>
          <w:tcPr>
            <w:tcW w:w="268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Pennsylvania</w:t>
            </w:r>
          </w:p>
        </w:tc>
        <w:tc>
          <w:tcPr>
            <w:tcW w:w="191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79.92</w:t>
            </w:r>
          </w:p>
        </w:tc>
        <w:tc>
          <w:tcPr>
            <w:tcW w:w="20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79.92</w:t>
            </w:r>
          </w:p>
        </w:tc>
      </w:tr>
      <w:tr>
        <w:trPr/>
        <w:tc>
          <w:tcPr>
            <w:tcW w:w="3549"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Friends GP, LLC</w:t>
            </w:r>
          </w:p>
        </w:tc>
        <w:tc>
          <w:tcPr>
            <w:tcW w:w="268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Pennsylvania</w:t>
            </w:r>
          </w:p>
        </w:tc>
        <w:tc>
          <w:tcPr>
            <w:tcW w:w="191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80</w:t>
            </w:r>
          </w:p>
        </w:tc>
        <w:tc>
          <w:tcPr>
            <w:tcW w:w="20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80</w:t>
            </w:r>
          </w:p>
        </w:tc>
      </w:tr>
      <w:tr>
        <w:trPr/>
        <w:tc>
          <w:tcPr>
            <w:tcW w:w="3549"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FRN, Inc.</w:t>
            </w:r>
          </w:p>
        </w:tc>
        <w:tc>
          <w:tcPr>
            <w:tcW w:w="268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Delaware</w:t>
            </w:r>
          </w:p>
        </w:tc>
        <w:tc>
          <w:tcPr>
            <w:tcW w:w="191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0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549"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Frontline Behavioral Health, Inc.</w:t>
            </w:r>
            <w:r>
              <w:rPr>
                <w:rFonts w:ascii="Times New Roman" w:hAnsi="Times New Roman"/>
                <w:color w:val="000000"/>
                <w:sz w:val="20"/>
              </w:rPr>
              <w:t xml:space="preserve"> </w:t>
            </w:r>
          </w:p>
        </w:tc>
        <w:tc>
          <w:tcPr>
            <w:tcW w:w="268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Delaware</w:t>
            </w:r>
          </w:p>
        </w:tc>
        <w:tc>
          <w:tcPr>
            <w:tcW w:w="191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0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549"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Frontline Children’s Hospital, L.L.C.</w:t>
            </w:r>
            <w:r>
              <w:rPr>
                <w:rFonts w:ascii="Times New Roman" w:hAnsi="Times New Roman"/>
                <w:color w:val="000000"/>
                <w:sz w:val="20"/>
              </w:rPr>
              <w:t xml:space="preserve"> </w:t>
            </w:r>
          </w:p>
        </w:tc>
        <w:tc>
          <w:tcPr>
            <w:tcW w:w="268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Delaware</w:t>
            </w:r>
          </w:p>
        </w:tc>
        <w:tc>
          <w:tcPr>
            <w:tcW w:w="191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0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549"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Frontline Hospital, LLC</w:t>
            </w:r>
            <w:r>
              <w:rPr>
                <w:rFonts w:ascii="Times New Roman" w:hAnsi="Times New Roman"/>
                <w:color w:val="000000"/>
                <w:sz w:val="20"/>
              </w:rPr>
              <w:t xml:space="preserve"> </w:t>
            </w:r>
          </w:p>
        </w:tc>
        <w:tc>
          <w:tcPr>
            <w:tcW w:w="268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Delaware</w:t>
            </w:r>
          </w:p>
        </w:tc>
        <w:tc>
          <w:tcPr>
            <w:tcW w:w="191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0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549"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Frontline Residential Treatment Center, LLC</w:t>
            </w:r>
            <w:r>
              <w:rPr>
                <w:rFonts w:ascii="Times New Roman" w:hAnsi="Times New Roman"/>
                <w:color w:val="000000"/>
                <w:sz w:val="20"/>
              </w:rPr>
              <w:t xml:space="preserve"> </w:t>
            </w:r>
          </w:p>
        </w:tc>
        <w:tc>
          <w:tcPr>
            <w:tcW w:w="268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Delaware</w:t>
            </w:r>
          </w:p>
        </w:tc>
        <w:tc>
          <w:tcPr>
            <w:tcW w:w="191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0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549"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Garfield Park Hospital, LLC</w:t>
            </w:r>
          </w:p>
        </w:tc>
        <w:tc>
          <w:tcPr>
            <w:tcW w:w="268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Illinois</w:t>
            </w:r>
          </w:p>
        </w:tc>
        <w:tc>
          <w:tcPr>
            <w:tcW w:w="191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0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549"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Glen Oaks Hospital, Inc.</w:t>
            </w:r>
            <w:r>
              <w:rPr>
                <w:rFonts w:ascii="Times New Roman" w:hAnsi="Times New Roman"/>
                <w:color w:val="000000"/>
                <w:sz w:val="20"/>
              </w:rPr>
              <w:t xml:space="preserve"> </w:t>
            </w:r>
          </w:p>
        </w:tc>
        <w:tc>
          <w:tcPr>
            <w:tcW w:w="268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Texas</w:t>
            </w:r>
          </w:p>
        </w:tc>
        <w:tc>
          <w:tcPr>
            <w:tcW w:w="191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0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549"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Great Plains Hospital, Inc.</w:t>
            </w:r>
          </w:p>
        </w:tc>
        <w:tc>
          <w:tcPr>
            <w:tcW w:w="268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Missouri</w:t>
            </w:r>
          </w:p>
        </w:tc>
        <w:tc>
          <w:tcPr>
            <w:tcW w:w="191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0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549"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Gulf Coast Treatment Center, Inc.</w:t>
            </w:r>
          </w:p>
        </w:tc>
        <w:tc>
          <w:tcPr>
            <w:tcW w:w="268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Florida</w:t>
            </w:r>
          </w:p>
        </w:tc>
        <w:tc>
          <w:tcPr>
            <w:tcW w:w="191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0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549"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Gulph Mills Associates, LLC</w:t>
            </w:r>
          </w:p>
        </w:tc>
        <w:tc>
          <w:tcPr>
            <w:tcW w:w="268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Pennsylvania</w:t>
            </w:r>
          </w:p>
        </w:tc>
        <w:tc>
          <w:tcPr>
            <w:tcW w:w="191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0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549"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H. C. Corporation</w:t>
            </w:r>
          </w:p>
        </w:tc>
        <w:tc>
          <w:tcPr>
            <w:tcW w:w="268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Alabama</w:t>
            </w:r>
          </w:p>
        </w:tc>
        <w:tc>
          <w:tcPr>
            <w:tcW w:w="191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0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549"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H. C. Partnership</w:t>
            </w:r>
          </w:p>
        </w:tc>
        <w:tc>
          <w:tcPr>
            <w:tcW w:w="268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Alabama</w:t>
            </w:r>
          </w:p>
        </w:tc>
        <w:tc>
          <w:tcPr>
            <w:tcW w:w="191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0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549"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Harbor Point Behavioral Health Center, Inc.</w:t>
            </w:r>
          </w:p>
        </w:tc>
        <w:tc>
          <w:tcPr>
            <w:tcW w:w="268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Virginia</w:t>
            </w:r>
          </w:p>
        </w:tc>
        <w:tc>
          <w:tcPr>
            <w:tcW w:w="191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0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549"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Havenwyck Hospital Inc.</w:t>
            </w:r>
          </w:p>
        </w:tc>
        <w:tc>
          <w:tcPr>
            <w:tcW w:w="268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Michigan</w:t>
            </w:r>
          </w:p>
        </w:tc>
        <w:tc>
          <w:tcPr>
            <w:tcW w:w="191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0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549"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HHC Augusta, Inc.</w:t>
            </w:r>
          </w:p>
        </w:tc>
        <w:tc>
          <w:tcPr>
            <w:tcW w:w="268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Georgia</w:t>
            </w:r>
          </w:p>
        </w:tc>
        <w:tc>
          <w:tcPr>
            <w:tcW w:w="191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0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549"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HHC Berkeley, Inc.</w:t>
            </w:r>
          </w:p>
        </w:tc>
        <w:tc>
          <w:tcPr>
            <w:tcW w:w="268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South Carolina</w:t>
            </w:r>
          </w:p>
        </w:tc>
        <w:tc>
          <w:tcPr>
            <w:tcW w:w="191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0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549"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HHC Delaware, Inc.</w:t>
            </w:r>
          </w:p>
        </w:tc>
        <w:tc>
          <w:tcPr>
            <w:tcW w:w="268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Delaware</w:t>
            </w:r>
          </w:p>
        </w:tc>
        <w:tc>
          <w:tcPr>
            <w:tcW w:w="191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0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549"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HHC Indiana, Inc.</w:t>
            </w:r>
          </w:p>
        </w:tc>
        <w:tc>
          <w:tcPr>
            <w:tcW w:w="268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Indiana</w:t>
            </w:r>
          </w:p>
        </w:tc>
        <w:tc>
          <w:tcPr>
            <w:tcW w:w="191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0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549"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HHC Kingwood Investment, LLC</w:t>
            </w:r>
          </w:p>
        </w:tc>
        <w:tc>
          <w:tcPr>
            <w:tcW w:w="268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Delaware</w:t>
            </w:r>
          </w:p>
        </w:tc>
        <w:tc>
          <w:tcPr>
            <w:tcW w:w="191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0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549"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HHC Oconee, Inc.</w:t>
            </w:r>
          </w:p>
        </w:tc>
        <w:tc>
          <w:tcPr>
            <w:tcW w:w="268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South Carolina</w:t>
            </w:r>
          </w:p>
        </w:tc>
        <w:tc>
          <w:tcPr>
            <w:tcW w:w="191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0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549"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HHC Ohio, Inc.</w:t>
            </w:r>
          </w:p>
        </w:tc>
        <w:tc>
          <w:tcPr>
            <w:tcW w:w="268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Ohio</w:t>
            </w:r>
          </w:p>
        </w:tc>
        <w:tc>
          <w:tcPr>
            <w:tcW w:w="191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0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549"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HHC Pennsylvania, LLC</w:t>
            </w:r>
          </w:p>
        </w:tc>
        <w:tc>
          <w:tcPr>
            <w:tcW w:w="268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Delaware</w:t>
            </w:r>
          </w:p>
        </w:tc>
        <w:tc>
          <w:tcPr>
            <w:tcW w:w="191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0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549"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HHC Poplar Springs, LLC</w:t>
            </w:r>
          </w:p>
        </w:tc>
        <w:tc>
          <w:tcPr>
            <w:tcW w:w="268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Virginia</w:t>
            </w:r>
          </w:p>
        </w:tc>
        <w:tc>
          <w:tcPr>
            <w:tcW w:w="191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0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549"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HHC River Park, Inc.</w:t>
            </w:r>
          </w:p>
        </w:tc>
        <w:tc>
          <w:tcPr>
            <w:tcW w:w="268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West Virginia</w:t>
            </w:r>
          </w:p>
        </w:tc>
        <w:tc>
          <w:tcPr>
            <w:tcW w:w="191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0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549"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HHC South Carolina, Inc.</w:t>
            </w:r>
          </w:p>
        </w:tc>
        <w:tc>
          <w:tcPr>
            <w:tcW w:w="268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South Carolina</w:t>
            </w:r>
          </w:p>
        </w:tc>
        <w:tc>
          <w:tcPr>
            <w:tcW w:w="191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0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549"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HHC St. Simons, Inc.</w:t>
            </w:r>
          </w:p>
        </w:tc>
        <w:tc>
          <w:tcPr>
            <w:tcW w:w="268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Georgia</w:t>
            </w:r>
          </w:p>
        </w:tc>
        <w:tc>
          <w:tcPr>
            <w:tcW w:w="191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0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549"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Hickory Trail Hospital, L.P.</w:t>
            </w:r>
          </w:p>
        </w:tc>
        <w:tc>
          <w:tcPr>
            <w:tcW w:w="268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Delaware</w:t>
            </w:r>
          </w:p>
        </w:tc>
        <w:tc>
          <w:tcPr>
            <w:tcW w:w="191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99</w:t>
            </w:r>
          </w:p>
        </w:tc>
        <w:tc>
          <w:tcPr>
            <w:tcW w:w="20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99</w:t>
            </w:r>
          </w:p>
        </w:tc>
      </w:tr>
      <w:tr>
        <w:trPr/>
        <w:tc>
          <w:tcPr>
            <w:tcW w:w="3549"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High Plains Behavioral Health, L.P.</w:t>
            </w:r>
          </w:p>
        </w:tc>
        <w:tc>
          <w:tcPr>
            <w:tcW w:w="268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Delaware</w:t>
            </w:r>
          </w:p>
        </w:tc>
        <w:tc>
          <w:tcPr>
            <w:tcW w:w="191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99</w:t>
            </w:r>
          </w:p>
        </w:tc>
        <w:tc>
          <w:tcPr>
            <w:tcW w:w="20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99</w:t>
            </w:r>
          </w:p>
        </w:tc>
      </w:tr>
      <w:tr>
        <w:trPr/>
        <w:tc>
          <w:tcPr>
            <w:tcW w:w="3549"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Holly Hill Hospital, LLC</w:t>
            </w:r>
          </w:p>
        </w:tc>
        <w:tc>
          <w:tcPr>
            <w:tcW w:w="268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Tennessee</w:t>
            </w:r>
          </w:p>
        </w:tc>
        <w:tc>
          <w:tcPr>
            <w:tcW w:w="191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0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549"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Holly Hill Real Estate, LLC</w:t>
            </w:r>
          </w:p>
        </w:tc>
        <w:tc>
          <w:tcPr>
            <w:tcW w:w="268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North Carolina</w:t>
            </w:r>
          </w:p>
        </w:tc>
        <w:tc>
          <w:tcPr>
            <w:tcW w:w="191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0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549"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Horizon Health Austin, Inc.</w:t>
            </w:r>
          </w:p>
        </w:tc>
        <w:tc>
          <w:tcPr>
            <w:tcW w:w="268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Texas</w:t>
            </w:r>
          </w:p>
        </w:tc>
        <w:tc>
          <w:tcPr>
            <w:tcW w:w="191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0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549"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Horizon Health Corporation</w:t>
            </w:r>
          </w:p>
        </w:tc>
        <w:tc>
          <w:tcPr>
            <w:tcW w:w="268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Delaware</w:t>
            </w:r>
          </w:p>
        </w:tc>
        <w:tc>
          <w:tcPr>
            <w:tcW w:w="191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0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549"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Horizon Health Hospital Services, LLC</w:t>
            </w:r>
          </w:p>
        </w:tc>
        <w:tc>
          <w:tcPr>
            <w:tcW w:w="268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Delaware</w:t>
            </w:r>
          </w:p>
        </w:tc>
        <w:tc>
          <w:tcPr>
            <w:tcW w:w="191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0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549"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Horizon Health Physical Rehabilitation Services, LLC</w:t>
            </w:r>
          </w:p>
        </w:tc>
        <w:tc>
          <w:tcPr>
            <w:tcW w:w="268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Delaware</w:t>
            </w:r>
            <w:r>
              <w:rPr>
                <w:rFonts w:ascii="Times New Roman" w:hAnsi="Times New Roman"/>
                <w:color w:val="000000"/>
                <w:sz w:val="20"/>
              </w:rPr>
              <w:t xml:space="preserve"> </w:t>
            </w:r>
          </w:p>
        </w:tc>
        <w:tc>
          <w:tcPr>
            <w:tcW w:w="191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0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549"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Horizon Mental Health Management, LLC</w:t>
            </w:r>
          </w:p>
        </w:tc>
        <w:tc>
          <w:tcPr>
            <w:tcW w:w="268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Texas</w:t>
            </w:r>
          </w:p>
        </w:tc>
        <w:tc>
          <w:tcPr>
            <w:tcW w:w="191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0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549"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HRI Clinics, Inc.</w:t>
            </w:r>
          </w:p>
        </w:tc>
        <w:tc>
          <w:tcPr>
            <w:tcW w:w="268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Massachusetts</w:t>
            </w:r>
          </w:p>
        </w:tc>
        <w:tc>
          <w:tcPr>
            <w:tcW w:w="191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0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549"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HRI Hospital, Inc.</w:t>
            </w:r>
          </w:p>
        </w:tc>
        <w:tc>
          <w:tcPr>
            <w:tcW w:w="268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Massachusetts</w:t>
            </w:r>
          </w:p>
        </w:tc>
        <w:tc>
          <w:tcPr>
            <w:tcW w:w="191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0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bl>
    <w:p>
      <w:pPr>
        <w:pStyle w:val="TextBody"/>
        <w:bidi w:val="0"/>
        <w:jc w:val="left"/>
        <w:rPr>
          <w:rFonts w:ascii="Arial" w:hAnsi="Arial"/>
          <w:color w:val="000000"/>
          <w:sz w:val="22"/>
        </w:rPr>
      </w:pPr>
      <w:r>
        <w:rPr>
          <w:rFonts w:ascii="Arial" w:hAnsi="Arial"/>
          <w:color w:val="000000"/>
          <w:sz w:val="22"/>
        </w:rPr>
        <w:t>11</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344"/>
        <w:gridCol w:w="2728"/>
        <w:gridCol w:w="1992"/>
        <w:gridCol w:w="2141"/>
      </w:tblGrid>
      <w:tr>
        <w:trPr/>
        <w:tc>
          <w:tcPr>
            <w:tcW w:w="3344" w:type="dxa"/>
            <w:tcBorders/>
            <w:shd w:fill="FFFFFF" w:val="clear"/>
            <w:vAlign w:val="center"/>
          </w:tcPr>
          <w:p>
            <w:pPr>
              <w:pStyle w:val="TableContents"/>
              <w:bidi w:val="0"/>
              <w:spacing w:before="0" w:after="283"/>
              <w:jc w:val="left"/>
              <w:rPr>
                <w:sz w:val="4"/>
                <w:szCs w:val="4"/>
              </w:rPr>
            </w:pPr>
            <w:r>
              <w:rPr>
                <w:sz w:val="4"/>
                <w:szCs w:val="4"/>
              </w:rPr>
            </w:r>
          </w:p>
        </w:tc>
        <w:tc>
          <w:tcPr>
            <w:tcW w:w="2728" w:type="dxa"/>
            <w:tcBorders/>
            <w:shd w:fill="FFFFFF" w:val="clear"/>
            <w:vAlign w:val="center"/>
          </w:tcPr>
          <w:p>
            <w:pPr>
              <w:pStyle w:val="TableContents"/>
              <w:bidi w:val="0"/>
              <w:spacing w:before="0" w:after="283"/>
              <w:jc w:val="left"/>
              <w:rPr>
                <w:sz w:val="4"/>
                <w:szCs w:val="4"/>
              </w:rPr>
            </w:pPr>
            <w:r>
              <w:rPr>
                <w:sz w:val="4"/>
                <w:szCs w:val="4"/>
              </w:rPr>
            </w:r>
          </w:p>
        </w:tc>
        <w:tc>
          <w:tcPr>
            <w:tcW w:w="1992" w:type="dxa"/>
            <w:tcBorders/>
            <w:shd w:fill="FFFFFF" w:val="clear"/>
            <w:vAlign w:val="center"/>
          </w:tcPr>
          <w:p>
            <w:pPr>
              <w:pStyle w:val="TableContents"/>
              <w:bidi w:val="0"/>
              <w:spacing w:before="0" w:after="283"/>
              <w:jc w:val="left"/>
              <w:rPr>
                <w:sz w:val="4"/>
                <w:szCs w:val="4"/>
              </w:rPr>
            </w:pPr>
            <w:r>
              <w:rPr>
                <w:sz w:val="4"/>
                <w:szCs w:val="4"/>
              </w:rPr>
            </w:r>
          </w:p>
        </w:tc>
        <w:tc>
          <w:tcPr>
            <w:tcW w:w="2141" w:type="dxa"/>
            <w:tcBorders/>
            <w:shd w:fill="FFFFFF" w:val="clear"/>
            <w:vAlign w:val="center"/>
          </w:tcPr>
          <w:p>
            <w:pPr>
              <w:pStyle w:val="TableContents"/>
              <w:bidi w:val="0"/>
              <w:spacing w:before="0" w:after="283"/>
              <w:jc w:val="left"/>
              <w:rPr>
                <w:sz w:val="4"/>
                <w:szCs w:val="4"/>
              </w:rPr>
            </w:pPr>
            <w:r>
              <w:rPr>
                <w:sz w:val="4"/>
                <w:szCs w:val="4"/>
              </w:rPr>
            </w:r>
          </w:p>
        </w:tc>
      </w:tr>
      <w:tr>
        <w:trPr/>
        <w:tc>
          <w:tcPr>
            <w:tcW w:w="3344"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TableContents"/>
              <w:bidi w:val="0"/>
              <w:spacing w:before="240" w:after="240"/>
              <w:jc w:val="left"/>
              <w:rPr>
                <w:rFonts w:ascii="Arial" w:hAnsi="Arial"/>
                <w:b/>
                <w:color w:val="000000"/>
                <w:sz w:val="20"/>
              </w:rPr>
            </w:pPr>
            <w:r>
              <w:rPr>
                <w:rFonts w:ascii="Arial" w:hAnsi="Arial"/>
                <w:b/>
                <w:color w:val="000000"/>
                <w:sz w:val="20"/>
              </w:rPr>
              <w:br/>
              <w:t>Name of Issuer</w:t>
            </w:r>
          </w:p>
        </w:tc>
        <w:tc>
          <w:tcPr>
            <w:tcW w:w="2728"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240" w:after="240"/>
              <w:jc w:val="left"/>
              <w:rPr>
                <w:rFonts w:ascii="Arial" w:hAnsi="Arial"/>
                <w:b/>
                <w:color w:val="000000"/>
                <w:sz w:val="20"/>
              </w:rPr>
            </w:pPr>
            <w:r>
              <w:rPr>
                <w:rFonts w:ascii="Arial" w:hAnsi="Arial"/>
                <w:b/>
                <w:color w:val="000000"/>
                <w:sz w:val="20"/>
              </w:rPr>
              <w:t>Issuer Jurisdiction of Organization</w:t>
            </w:r>
          </w:p>
        </w:tc>
        <w:tc>
          <w:tcPr>
            <w:tcW w:w="1992"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240" w:after="240"/>
              <w:jc w:val="left"/>
              <w:rPr>
                <w:rFonts w:ascii="Arial" w:hAnsi="Arial"/>
                <w:b/>
                <w:color w:val="000000"/>
                <w:sz w:val="20"/>
              </w:rPr>
            </w:pPr>
            <w:r>
              <w:rPr>
                <w:rFonts w:ascii="Arial" w:hAnsi="Arial"/>
                <w:b/>
                <w:color w:val="000000"/>
                <w:sz w:val="20"/>
              </w:rPr>
              <w:t>Percent of Interest Owned</w:t>
            </w:r>
          </w:p>
        </w:tc>
        <w:tc>
          <w:tcPr>
            <w:tcW w:w="2141"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240" w:after="240"/>
              <w:jc w:val="left"/>
              <w:rPr>
                <w:rFonts w:ascii="Arial" w:hAnsi="Arial"/>
                <w:b/>
                <w:color w:val="000000"/>
                <w:sz w:val="20"/>
              </w:rPr>
            </w:pPr>
            <w:r>
              <w:rPr>
                <w:rFonts w:ascii="Arial" w:hAnsi="Arial"/>
                <w:b/>
                <w:color w:val="000000"/>
                <w:sz w:val="20"/>
              </w:rPr>
              <w:t>Percent of Interest Pledged</w:t>
            </w:r>
          </w:p>
        </w:tc>
      </w:tr>
      <w:tr>
        <w:trPr/>
        <w:tc>
          <w:tcPr>
            <w:tcW w:w="3344"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HSA Hill Crest Corporation</w:t>
            </w:r>
          </w:p>
        </w:tc>
        <w:tc>
          <w:tcPr>
            <w:tcW w:w="272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Alabama</w:t>
            </w:r>
          </w:p>
        </w:tc>
        <w:tc>
          <w:tcPr>
            <w:tcW w:w="1992"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14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344"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Hughes Center, LLC</w:t>
            </w:r>
          </w:p>
        </w:tc>
        <w:tc>
          <w:tcPr>
            <w:tcW w:w="272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Virginia</w:t>
            </w:r>
          </w:p>
        </w:tc>
        <w:tc>
          <w:tcPr>
            <w:tcW w:w="1992"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14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344"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Independence Amarillo, LLC</w:t>
            </w:r>
          </w:p>
        </w:tc>
        <w:tc>
          <w:tcPr>
            <w:tcW w:w="272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Delaware</w:t>
            </w:r>
          </w:p>
        </w:tc>
        <w:tc>
          <w:tcPr>
            <w:tcW w:w="1992"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14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344"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Independence Denison, LLC</w:t>
            </w:r>
          </w:p>
        </w:tc>
        <w:tc>
          <w:tcPr>
            <w:tcW w:w="272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Delaware</w:t>
            </w:r>
          </w:p>
        </w:tc>
        <w:tc>
          <w:tcPr>
            <w:tcW w:w="1992"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14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344"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Independence Laredo, LLC</w:t>
            </w:r>
          </w:p>
        </w:tc>
        <w:tc>
          <w:tcPr>
            <w:tcW w:w="272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Delaware</w:t>
            </w:r>
          </w:p>
        </w:tc>
        <w:tc>
          <w:tcPr>
            <w:tcW w:w="1992"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14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344"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Independence McAllen, LLC</w:t>
            </w:r>
          </w:p>
        </w:tc>
        <w:tc>
          <w:tcPr>
            <w:tcW w:w="272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Delaware</w:t>
            </w:r>
          </w:p>
        </w:tc>
        <w:tc>
          <w:tcPr>
            <w:tcW w:w="1992"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14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344"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Independence Wellington, LLC</w:t>
            </w:r>
          </w:p>
        </w:tc>
        <w:tc>
          <w:tcPr>
            <w:tcW w:w="272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Delaware</w:t>
            </w:r>
            <w:r>
              <w:rPr>
                <w:rFonts w:ascii="Times New Roman" w:hAnsi="Times New Roman"/>
                <w:color w:val="000000"/>
                <w:sz w:val="20"/>
              </w:rPr>
              <w:t xml:space="preserve"> </w:t>
            </w:r>
          </w:p>
        </w:tc>
        <w:tc>
          <w:tcPr>
            <w:tcW w:w="1992"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14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344"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Independence Physician Management, LLC</w:t>
            </w:r>
          </w:p>
        </w:tc>
        <w:tc>
          <w:tcPr>
            <w:tcW w:w="272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Delaware</w:t>
            </w:r>
          </w:p>
        </w:tc>
        <w:tc>
          <w:tcPr>
            <w:tcW w:w="1992"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14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344"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Indiana Psychiatric Institutes, LLC</w:t>
            </w:r>
          </w:p>
        </w:tc>
        <w:tc>
          <w:tcPr>
            <w:tcW w:w="272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Delaware</w:t>
            </w:r>
            <w:r>
              <w:rPr>
                <w:rFonts w:ascii="Times New Roman" w:hAnsi="Times New Roman"/>
                <w:color w:val="000000"/>
                <w:sz w:val="20"/>
              </w:rPr>
              <w:t xml:space="preserve"> </w:t>
            </w:r>
          </w:p>
        </w:tc>
        <w:tc>
          <w:tcPr>
            <w:tcW w:w="1992"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14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344"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InfoScriber Corporation</w:t>
            </w:r>
          </w:p>
        </w:tc>
        <w:tc>
          <w:tcPr>
            <w:tcW w:w="272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Delaware</w:t>
            </w:r>
            <w:r>
              <w:rPr>
                <w:rFonts w:ascii="Times New Roman" w:hAnsi="Times New Roman"/>
                <w:color w:val="000000"/>
                <w:sz w:val="20"/>
              </w:rPr>
              <w:t xml:space="preserve"> </w:t>
            </w:r>
          </w:p>
        </w:tc>
        <w:tc>
          <w:tcPr>
            <w:tcW w:w="1992"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14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344"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Island 77 LLC</w:t>
            </w:r>
          </w:p>
        </w:tc>
        <w:tc>
          <w:tcPr>
            <w:tcW w:w="272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Delaware</w:t>
            </w:r>
          </w:p>
        </w:tc>
        <w:tc>
          <w:tcPr>
            <w:tcW w:w="1992"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14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344"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KEYS Group Holdings LLC</w:t>
            </w:r>
            <w:r>
              <w:rPr>
                <w:rFonts w:ascii="Times New Roman" w:hAnsi="Times New Roman"/>
                <w:color w:val="000000"/>
                <w:sz w:val="20"/>
              </w:rPr>
              <w:t xml:space="preserve"> </w:t>
            </w:r>
          </w:p>
        </w:tc>
        <w:tc>
          <w:tcPr>
            <w:tcW w:w="272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Delaware</w:t>
            </w:r>
          </w:p>
        </w:tc>
        <w:tc>
          <w:tcPr>
            <w:tcW w:w="1992"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14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344"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Keystone Charlotte LLC</w:t>
            </w:r>
            <w:r>
              <w:rPr>
                <w:rFonts w:ascii="Times New Roman" w:hAnsi="Times New Roman"/>
                <w:color w:val="000000"/>
                <w:sz w:val="20"/>
              </w:rPr>
              <w:t xml:space="preserve"> </w:t>
            </w:r>
          </w:p>
        </w:tc>
        <w:tc>
          <w:tcPr>
            <w:tcW w:w="272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North Carolina</w:t>
            </w:r>
            <w:r>
              <w:rPr>
                <w:rFonts w:ascii="Times New Roman" w:hAnsi="Times New Roman"/>
                <w:color w:val="000000"/>
                <w:sz w:val="20"/>
              </w:rPr>
              <w:t xml:space="preserve"> </w:t>
            </w:r>
          </w:p>
        </w:tc>
        <w:tc>
          <w:tcPr>
            <w:tcW w:w="1992"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14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344"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Keystone Continuum, LLC</w:t>
            </w:r>
            <w:r>
              <w:rPr>
                <w:rFonts w:ascii="Times New Roman" w:hAnsi="Times New Roman"/>
                <w:color w:val="000000"/>
                <w:sz w:val="20"/>
              </w:rPr>
              <w:t xml:space="preserve"> </w:t>
            </w:r>
          </w:p>
        </w:tc>
        <w:tc>
          <w:tcPr>
            <w:tcW w:w="272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Tennessee</w:t>
            </w:r>
          </w:p>
        </w:tc>
        <w:tc>
          <w:tcPr>
            <w:tcW w:w="1992"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14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344"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Keystone Education and Youth Services, LLC</w:t>
            </w:r>
            <w:r>
              <w:rPr>
                <w:rFonts w:ascii="Times New Roman" w:hAnsi="Times New Roman"/>
                <w:color w:val="000000"/>
                <w:sz w:val="20"/>
              </w:rPr>
              <w:t xml:space="preserve"> </w:t>
            </w:r>
          </w:p>
        </w:tc>
        <w:tc>
          <w:tcPr>
            <w:tcW w:w="272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Tennessee</w:t>
            </w:r>
          </w:p>
        </w:tc>
        <w:tc>
          <w:tcPr>
            <w:tcW w:w="1992"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14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344"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Keystone Marion, LLC</w:t>
            </w:r>
            <w:r>
              <w:rPr>
                <w:rFonts w:ascii="Times New Roman" w:hAnsi="Times New Roman"/>
                <w:color w:val="000000"/>
                <w:sz w:val="20"/>
              </w:rPr>
              <w:t xml:space="preserve"> </w:t>
            </w:r>
          </w:p>
        </w:tc>
        <w:tc>
          <w:tcPr>
            <w:tcW w:w="272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Virginia</w:t>
            </w:r>
          </w:p>
        </w:tc>
        <w:tc>
          <w:tcPr>
            <w:tcW w:w="1992"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14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344"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Keystone Memphis, LLC</w:t>
            </w:r>
            <w:r>
              <w:rPr>
                <w:rFonts w:ascii="Times New Roman" w:hAnsi="Times New Roman"/>
                <w:color w:val="000000"/>
                <w:sz w:val="20"/>
              </w:rPr>
              <w:t xml:space="preserve"> </w:t>
            </w:r>
          </w:p>
        </w:tc>
        <w:tc>
          <w:tcPr>
            <w:tcW w:w="272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Tennessee</w:t>
            </w:r>
          </w:p>
        </w:tc>
        <w:tc>
          <w:tcPr>
            <w:tcW w:w="1992"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14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344"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Keystone NPS LLC</w:t>
            </w:r>
            <w:r>
              <w:rPr>
                <w:rFonts w:ascii="Times New Roman" w:hAnsi="Times New Roman"/>
                <w:color w:val="000000"/>
                <w:sz w:val="20"/>
              </w:rPr>
              <w:t xml:space="preserve"> </w:t>
            </w:r>
          </w:p>
        </w:tc>
        <w:tc>
          <w:tcPr>
            <w:tcW w:w="272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California</w:t>
            </w:r>
          </w:p>
        </w:tc>
        <w:tc>
          <w:tcPr>
            <w:tcW w:w="1992"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14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344"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Keystone Newport News, LLC</w:t>
            </w:r>
            <w:r>
              <w:rPr>
                <w:rFonts w:ascii="Times New Roman" w:hAnsi="Times New Roman"/>
                <w:color w:val="000000"/>
                <w:sz w:val="20"/>
              </w:rPr>
              <w:t xml:space="preserve"> </w:t>
            </w:r>
          </w:p>
        </w:tc>
        <w:tc>
          <w:tcPr>
            <w:tcW w:w="272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Virginia</w:t>
            </w:r>
          </w:p>
        </w:tc>
        <w:tc>
          <w:tcPr>
            <w:tcW w:w="1992"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14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344"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Keystone Richland Center LLC</w:t>
            </w:r>
            <w:r>
              <w:rPr>
                <w:rFonts w:ascii="Times New Roman" w:hAnsi="Times New Roman"/>
                <w:color w:val="000000"/>
                <w:sz w:val="20"/>
              </w:rPr>
              <w:t xml:space="preserve"> </w:t>
            </w:r>
          </w:p>
        </w:tc>
        <w:tc>
          <w:tcPr>
            <w:tcW w:w="272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Ohio</w:t>
            </w:r>
          </w:p>
        </w:tc>
        <w:tc>
          <w:tcPr>
            <w:tcW w:w="1992"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14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344"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Keystone WSNC, L.L.C.</w:t>
            </w:r>
            <w:r>
              <w:rPr>
                <w:rFonts w:ascii="Times New Roman" w:hAnsi="Times New Roman"/>
                <w:color w:val="000000"/>
                <w:sz w:val="20"/>
              </w:rPr>
              <w:t xml:space="preserve"> </w:t>
            </w:r>
          </w:p>
        </w:tc>
        <w:tc>
          <w:tcPr>
            <w:tcW w:w="272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North Carolina</w:t>
            </w:r>
          </w:p>
        </w:tc>
        <w:tc>
          <w:tcPr>
            <w:tcW w:w="1992"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14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344"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Keystone/CCS Partners LLC</w:t>
            </w:r>
            <w:r>
              <w:rPr>
                <w:rFonts w:ascii="Times New Roman" w:hAnsi="Times New Roman"/>
                <w:color w:val="000000"/>
                <w:sz w:val="20"/>
              </w:rPr>
              <w:t xml:space="preserve"> </w:t>
            </w:r>
          </w:p>
        </w:tc>
        <w:tc>
          <w:tcPr>
            <w:tcW w:w="272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Delaware</w:t>
            </w:r>
          </w:p>
        </w:tc>
        <w:tc>
          <w:tcPr>
            <w:tcW w:w="1992"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14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344"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Kids Behavioral Health of Utah, Inc.</w:t>
            </w:r>
          </w:p>
        </w:tc>
        <w:tc>
          <w:tcPr>
            <w:tcW w:w="272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Utah</w:t>
            </w:r>
          </w:p>
        </w:tc>
        <w:tc>
          <w:tcPr>
            <w:tcW w:w="1992"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14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344"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Kingwood Pines Hospital, LLC</w:t>
            </w:r>
          </w:p>
        </w:tc>
        <w:tc>
          <w:tcPr>
            <w:tcW w:w="272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Texas</w:t>
            </w:r>
          </w:p>
        </w:tc>
        <w:tc>
          <w:tcPr>
            <w:tcW w:w="1992"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14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344"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KMI Acquisition, LLC</w:t>
            </w:r>
          </w:p>
        </w:tc>
        <w:tc>
          <w:tcPr>
            <w:tcW w:w="272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Delaware</w:t>
            </w:r>
          </w:p>
        </w:tc>
        <w:tc>
          <w:tcPr>
            <w:tcW w:w="1992"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14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344"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KOP Limited</w:t>
            </w:r>
          </w:p>
        </w:tc>
        <w:tc>
          <w:tcPr>
            <w:tcW w:w="272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South Carolina</w:t>
            </w:r>
          </w:p>
        </w:tc>
        <w:tc>
          <w:tcPr>
            <w:tcW w:w="1992"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14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344"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La Amistad Residential Treatment Center, LLC</w:t>
            </w:r>
            <w:r>
              <w:rPr>
                <w:rFonts w:ascii="Times New Roman" w:hAnsi="Times New Roman"/>
                <w:color w:val="000000"/>
                <w:sz w:val="20"/>
              </w:rPr>
              <w:t xml:space="preserve"> </w:t>
            </w:r>
          </w:p>
        </w:tc>
        <w:tc>
          <w:tcPr>
            <w:tcW w:w="272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Florida</w:t>
            </w:r>
          </w:p>
        </w:tc>
        <w:tc>
          <w:tcPr>
            <w:tcW w:w="1992"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14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344"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Lancaster Behavioral Health Hospital, LLC</w:t>
            </w:r>
          </w:p>
        </w:tc>
        <w:tc>
          <w:tcPr>
            <w:tcW w:w="272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Pennsylvania</w:t>
            </w:r>
          </w:p>
        </w:tc>
        <w:tc>
          <w:tcPr>
            <w:tcW w:w="1992"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50</w:t>
            </w:r>
          </w:p>
        </w:tc>
        <w:tc>
          <w:tcPr>
            <w:tcW w:w="214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50</w:t>
            </w:r>
          </w:p>
        </w:tc>
      </w:tr>
      <w:tr>
        <w:trPr/>
        <w:tc>
          <w:tcPr>
            <w:tcW w:w="3344"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Lancaster Hospital Corporation</w:t>
            </w:r>
            <w:r>
              <w:rPr>
                <w:rFonts w:ascii="Times New Roman" w:hAnsi="Times New Roman"/>
                <w:color w:val="000000"/>
                <w:sz w:val="20"/>
              </w:rPr>
              <w:t xml:space="preserve"> </w:t>
            </w:r>
          </w:p>
        </w:tc>
        <w:tc>
          <w:tcPr>
            <w:tcW w:w="272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California</w:t>
            </w:r>
          </w:p>
        </w:tc>
        <w:tc>
          <w:tcPr>
            <w:tcW w:w="1992"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14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344"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Laredo ASC, Inc.</w:t>
            </w:r>
            <w:r>
              <w:rPr>
                <w:rFonts w:ascii="Times New Roman" w:hAnsi="Times New Roman"/>
                <w:color w:val="000000"/>
                <w:sz w:val="20"/>
              </w:rPr>
              <w:t xml:space="preserve"> </w:t>
            </w:r>
          </w:p>
        </w:tc>
        <w:tc>
          <w:tcPr>
            <w:tcW w:w="272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Texas</w:t>
            </w:r>
          </w:p>
        </w:tc>
        <w:tc>
          <w:tcPr>
            <w:tcW w:w="1992"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14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344"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Laredo Holdings, Inc.</w:t>
            </w:r>
            <w:r>
              <w:rPr>
                <w:rFonts w:ascii="Times New Roman" w:hAnsi="Times New Roman"/>
                <w:color w:val="000000"/>
                <w:sz w:val="20"/>
              </w:rPr>
              <w:t xml:space="preserve"> </w:t>
            </w:r>
          </w:p>
        </w:tc>
        <w:tc>
          <w:tcPr>
            <w:tcW w:w="272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Delaware</w:t>
            </w:r>
          </w:p>
        </w:tc>
        <w:tc>
          <w:tcPr>
            <w:tcW w:w="1992"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14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344"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Laredo Regional, Inc.</w:t>
            </w:r>
            <w:r>
              <w:rPr>
                <w:rFonts w:ascii="Times New Roman" w:hAnsi="Times New Roman"/>
                <w:color w:val="000000"/>
                <w:sz w:val="20"/>
              </w:rPr>
              <w:t xml:space="preserve"> </w:t>
            </w:r>
          </w:p>
        </w:tc>
        <w:tc>
          <w:tcPr>
            <w:tcW w:w="272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Delaware</w:t>
            </w:r>
            <w:r>
              <w:rPr>
                <w:rFonts w:ascii="Times New Roman" w:hAnsi="Times New Roman"/>
                <w:color w:val="000000"/>
                <w:sz w:val="20"/>
              </w:rPr>
              <w:t xml:space="preserve"> </w:t>
            </w:r>
          </w:p>
        </w:tc>
        <w:tc>
          <w:tcPr>
            <w:tcW w:w="1992"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14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344"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Laredo Regional Medical Center, LP</w:t>
            </w:r>
          </w:p>
        </w:tc>
        <w:tc>
          <w:tcPr>
            <w:tcW w:w="272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Delaware</w:t>
            </w:r>
          </w:p>
        </w:tc>
        <w:tc>
          <w:tcPr>
            <w:tcW w:w="1992"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80.14</w:t>
            </w:r>
          </w:p>
        </w:tc>
        <w:tc>
          <w:tcPr>
            <w:tcW w:w="214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80.14</w:t>
            </w:r>
          </w:p>
        </w:tc>
      </w:tr>
      <w:tr>
        <w:trPr/>
        <w:tc>
          <w:tcPr>
            <w:tcW w:w="3344"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Laurel Oaks Behavioral Health Center, Inc.</w:t>
            </w:r>
          </w:p>
        </w:tc>
        <w:tc>
          <w:tcPr>
            <w:tcW w:w="272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Delaware</w:t>
            </w:r>
          </w:p>
        </w:tc>
        <w:tc>
          <w:tcPr>
            <w:tcW w:w="1992"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14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344"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Lebanon Hospital Partners, LLC</w:t>
            </w:r>
          </w:p>
        </w:tc>
        <w:tc>
          <w:tcPr>
            <w:tcW w:w="272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Tennessee</w:t>
            </w:r>
          </w:p>
        </w:tc>
        <w:tc>
          <w:tcPr>
            <w:tcW w:w="1992"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14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344"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Liberty Point Behavioral Healthcare, LLC</w:t>
            </w:r>
          </w:p>
        </w:tc>
        <w:tc>
          <w:tcPr>
            <w:tcW w:w="272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Delaware</w:t>
            </w:r>
          </w:p>
        </w:tc>
        <w:tc>
          <w:tcPr>
            <w:tcW w:w="1992"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14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344"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Manatee Memorial Hospital, L.P.</w:t>
            </w:r>
            <w:r>
              <w:rPr>
                <w:rFonts w:ascii="Times New Roman" w:hAnsi="Times New Roman"/>
                <w:color w:val="000000"/>
                <w:sz w:val="20"/>
              </w:rPr>
              <w:t xml:space="preserve"> </w:t>
            </w:r>
          </w:p>
        </w:tc>
        <w:tc>
          <w:tcPr>
            <w:tcW w:w="272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Delaware</w:t>
            </w:r>
          </w:p>
        </w:tc>
        <w:tc>
          <w:tcPr>
            <w:tcW w:w="1992"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14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344"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Mayhill Behavioral Health, LLC</w:t>
            </w:r>
          </w:p>
        </w:tc>
        <w:tc>
          <w:tcPr>
            <w:tcW w:w="272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Texas</w:t>
            </w:r>
          </w:p>
        </w:tc>
        <w:tc>
          <w:tcPr>
            <w:tcW w:w="1992"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14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344"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Mayhill Behavioral Properties, LLC</w:t>
            </w:r>
          </w:p>
        </w:tc>
        <w:tc>
          <w:tcPr>
            <w:tcW w:w="272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Texas</w:t>
            </w:r>
          </w:p>
        </w:tc>
        <w:tc>
          <w:tcPr>
            <w:tcW w:w="1992"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14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344"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McAllen Holdings, Inc.</w:t>
            </w:r>
            <w:r>
              <w:rPr>
                <w:rFonts w:ascii="Times New Roman" w:hAnsi="Times New Roman"/>
                <w:color w:val="000000"/>
                <w:sz w:val="20"/>
              </w:rPr>
              <w:t xml:space="preserve"> </w:t>
            </w:r>
          </w:p>
        </w:tc>
        <w:tc>
          <w:tcPr>
            <w:tcW w:w="272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Delaware</w:t>
            </w:r>
          </w:p>
        </w:tc>
        <w:tc>
          <w:tcPr>
            <w:tcW w:w="1992"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14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344"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McAllen Hospitals, L.P.</w:t>
            </w:r>
            <w:r>
              <w:rPr>
                <w:rFonts w:ascii="Times New Roman" w:hAnsi="Times New Roman"/>
                <w:color w:val="000000"/>
                <w:sz w:val="20"/>
              </w:rPr>
              <w:t xml:space="preserve"> </w:t>
            </w:r>
          </w:p>
        </w:tc>
        <w:tc>
          <w:tcPr>
            <w:tcW w:w="272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Delaware</w:t>
            </w:r>
          </w:p>
        </w:tc>
        <w:tc>
          <w:tcPr>
            <w:tcW w:w="1992"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14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344"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McAllen Medical Center, Inc.</w:t>
            </w:r>
            <w:r>
              <w:rPr>
                <w:rFonts w:ascii="Times New Roman" w:hAnsi="Times New Roman"/>
                <w:color w:val="000000"/>
                <w:sz w:val="20"/>
              </w:rPr>
              <w:t xml:space="preserve"> </w:t>
            </w:r>
          </w:p>
        </w:tc>
        <w:tc>
          <w:tcPr>
            <w:tcW w:w="272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Delaware</w:t>
            </w:r>
          </w:p>
        </w:tc>
        <w:tc>
          <w:tcPr>
            <w:tcW w:w="1992"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14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344"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Mental Health Outcomes, LLC</w:t>
            </w:r>
          </w:p>
        </w:tc>
        <w:tc>
          <w:tcPr>
            <w:tcW w:w="272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Delaware</w:t>
            </w:r>
          </w:p>
        </w:tc>
        <w:tc>
          <w:tcPr>
            <w:tcW w:w="1992"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14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344"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Meridell Achievement Center, Inc.</w:t>
            </w:r>
            <w:r>
              <w:rPr>
                <w:rFonts w:ascii="Times New Roman" w:hAnsi="Times New Roman"/>
                <w:color w:val="000000"/>
                <w:sz w:val="20"/>
              </w:rPr>
              <w:t xml:space="preserve"> </w:t>
            </w:r>
          </w:p>
        </w:tc>
        <w:tc>
          <w:tcPr>
            <w:tcW w:w="272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Texas</w:t>
            </w:r>
          </w:p>
        </w:tc>
        <w:tc>
          <w:tcPr>
            <w:tcW w:w="1992"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14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344"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Merion Building Management, Inc.</w:t>
            </w:r>
            <w:r>
              <w:rPr>
                <w:rFonts w:ascii="Times New Roman" w:hAnsi="Times New Roman"/>
                <w:color w:val="000000"/>
                <w:sz w:val="20"/>
              </w:rPr>
              <w:t xml:space="preserve"> </w:t>
            </w:r>
          </w:p>
        </w:tc>
        <w:tc>
          <w:tcPr>
            <w:tcW w:w="272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Delaware</w:t>
            </w:r>
          </w:p>
        </w:tc>
        <w:tc>
          <w:tcPr>
            <w:tcW w:w="1992"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14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344"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Mesilla Valley Hospital, Inc.</w:t>
            </w:r>
          </w:p>
        </w:tc>
        <w:tc>
          <w:tcPr>
            <w:tcW w:w="272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New Mexico</w:t>
            </w:r>
          </w:p>
        </w:tc>
        <w:tc>
          <w:tcPr>
            <w:tcW w:w="1992"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14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344"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Michigan BH JV, LLC</w:t>
            </w:r>
          </w:p>
        </w:tc>
        <w:tc>
          <w:tcPr>
            <w:tcW w:w="272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Michigan</w:t>
            </w:r>
          </w:p>
        </w:tc>
        <w:tc>
          <w:tcPr>
            <w:tcW w:w="1992"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74</w:t>
            </w:r>
          </w:p>
        </w:tc>
        <w:tc>
          <w:tcPr>
            <w:tcW w:w="214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74</w:t>
            </w:r>
          </w:p>
        </w:tc>
      </w:tr>
      <w:tr>
        <w:trPr/>
        <w:tc>
          <w:tcPr>
            <w:tcW w:w="3344"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Michigan Healthcare Staffing, LLC</w:t>
            </w:r>
          </w:p>
        </w:tc>
        <w:tc>
          <w:tcPr>
            <w:tcW w:w="272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Michigan</w:t>
            </w:r>
          </w:p>
        </w:tc>
        <w:tc>
          <w:tcPr>
            <w:tcW w:w="1992"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14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bl>
    <w:p>
      <w:pPr>
        <w:pStyle w:val="TextBody"/>
        <w:bidi w:val="0"/>
        <w:jc w:val="left"/>
        <w:rPr>
          <w:rFonts w:ascii="Arial" w:hAnsi="Arial"/>
          <w:color w:val="000000"/>
          <w:sz w:val="22"/>
        </w:rPr>
      </w:pPr>
      <w:r>
        <w:rPr>
          <w:rFonts w:ascii="Arial" w:hAnsi="Arial"/>
          <w:color w:val="000000"/>
          <w:sz w:val="22"/>
        </w:rPr>
        <w:t>12</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933"/>
        <w:gridCol w:w="2509"/>
        <w:gridCol w:w="1810"/>
        <w:gridCol w:w="1953"/>
      </w:tblGrid>
      <w:tr>
        <w:trPr/>
        <w:tc>
          <w:tcPr>
            <w:tcW w:w="3933" w:type="dxa"/>
            <w:tcBorders/>
            <w:shd w:fill="FFFFFF" w:val="clear"/>
            <w:vAlign w:val="center"/>
          </w:tcPr>
          <w:p>
            <w:pPr>
              <w:pStyle w:val="TableContents"/>
              <w:bidi w:val="0"/>
              <w:spacing w:before="0" w:after="283"/>
              <w:jc w:val="left"/>
              <w:rPr>
                <w:sz w:val="4"/>
                <w:szCs w:val="4"/>
              </w:rPr>
            </w:pPr>
            <w:r>
              <w:rPr>
                <w:sz w:val="4"/>
                <w:szCs w:val="4"/>
              </w:rPr>
            </w:r>
          </w:p>
        </w:tc>
        <w:tc>
          <w:tcPr>
            <w:tcW w:w="2509" w:type="dxa"/>
            <w:tcBorders/>
            <w:shd w:fill="FFFFFF" w:val="clear"/>
            <w:vAlign w:val="center"/>
          </w:tcPr>
          <w:p>
            <w:pPr>
              <w:pStyle w:val="TableContents"/>
              <w:bidi w:val="0"/>
              <w:spacing w:before="0" w:after="283"/>
              <w:jc w:val="left"/>
              <w:rPr>
                <w:sz w:val="4"/>
                <w:szCs w:val="4"/>
              </w:rPr>
            </w:pPr>
            <w:r>
              <w:rPr>
                <w:sz w:val="4"/>
                <w:szCs w:val="4"/>
              </w:rPr>
            </w:r>
          </w:p>
        </w:tc>
        <w:tc>
          <w:tcPr>
            <w:tcW w:w="1810" w:type="dxa"/>
            <w:tcBorders/>
            <w:shd w:fill="FFFFFF" w:val="clear"/>
            <w:vAlign w:val="center"/>
          </w:tcPr>
          <w:p>
            <w:pPr>
              <w:pStyle w:val="TableContents"/>
              <w:bidi w:val="0"/>
              <w:spacing w:before="0" w:after="283"/>
              <w:jc w:val="left"/>
              <w:rPr>
                <w:sz w:val="4"/>
                <w:szCs w:val="4"/>
              </w:rPr>
            </w:pPr>
            <w:r>
              <w:rPr>
                <w:sz w:val="4"/>
                <w:szCs w:val="4"/>
              </w:rPr>
            </w:r>
          </w:p>
        </w:tc>
        <w:tc>
          <w:tcPr>
            <w:tcW w:w="1953" w:type="dxa"/>
            <w:tcBorders/>
            <w:shd w:fill="FFFFFF" w:val="clear"/>
            <w:vAlign w:val="center"/>
          </w:tcPr>
          <w:p>
            <w:pPr>
              <w:pStyle w:val="TableContents"/>
              <w:bidi w:val="0"/>
              <w:spacing w:before="0" w:after="283"/>
              <w:jc w:val="left"/>
              <w:rPr>
                <w:sz w:val="4"/>
                <w:szCs w:val="4"/>
              </w:rPr>
            </w:pPr>
            <w:r>
              <w:rPr>
                <w:sz w:val="4"/>
                <w:szCs w:val="4"/>
              </w:rPr>
            </w:r>
          </w:p>
        </w:tc>
      </w:tr>
      <w:tr>
        <w:trPr/>
        <w:tc>
          <w:tcPr>
            <w:tcW w:w="3933"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TableContents"/>
              <w:bidi w:val="0"/>
              <w:spacing w:before="240" w:after="240"/>
              <w:jc w:val="left"/>
              <w:rPr>
                <w:rFonts w:ascii="Arial" w:hAnsi="Arial"/>
                <w:b/>
                <w:color w:val="000000"/>
                <w:sz w:val="20"/>
              </w:rPr>
            </w:pPr>
            <w:r>
              <w:rPr>
                <w:rFonts w:ascii="Arial" w:hAnsi="Arial"/>
                <w:b/>
                <w:color w:val="000000"/>
                <w:sz w:val="20"/>
              </w:rPr>
              <w:br/>
              <w:t>Name of Issuer</w:t>
            </w:r>
          </w:p>
        </w:tc>
        <w:tc>
          <w:tcPr>
            <w:tcW w:w="2509"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240" w:after="240"/>
              <w:jc w:val="left"/>
              <w:rPr>
                <w:rFonts w:ascii="Arial" w:hAnsi="Arial"/>
                <w:b/>
                <w:color w:val="000000"/>
                <w:sz w:val="20"/>
              </w:rPr>
            </w:pPr>
            <w:r>
              <w:rPr>
                <w:rFonts w:ascii="Arial" w:hAnsi="Arial"/>
                <w:b/>
                <w:color w:val="000000"/>
                <w:sz w:val="20"/>
              </w:rPr>
              <w:t>Issuer Jurisdiction of Organization</w:t>
            </w:r>
          </w:p>
        </w:tc>
        <w:tc>
          <w:tcPr>
            <w:tcW w:w="1810"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240" w:after="240"/>
              <w:jc w:val="left"/>
              <w:rPr>
                <w:rFonts w:ascii="Arial" w:hAnsi="Arial"/>
                <w:b/>
                <w:color w:val="000000"/>
                <w:sz w:val="20"/>
              </w:rPr>
            </w:pPr>
            <w:r>
              <w:rPr>
                <w:rFonts w:ascii="Arial" w:hAnsi="Arial"/>
                <w:b/>
                <w:color w:val="000000"/>
                <w:sz w:val="20"/>
              </w:rPr>
              <w:t>Percent of Interest Owned</w:t>
            </w:r>
          </w:p>
        </w:tc>
        <w:tc>
          <w:tcPr>
            <w:tcW w:w="1953"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240" w:after="240"/>
              <w:jc w:val="left"/>
              <w:rPr>
                <w:rFonts w:ascii="Arial" w:hAnsi="Arial"/>
                <w:b/>
                <w:color w:val="000000"/>
                <w:sz w:val="20"/>
              </w:rPr>
            </w:pPr>
            <w:r>
              <w:rPr>
                <w:rFonts w:ascii="Arial" w:hAnsi="Arial"/>
                <w:b/>
                <w:color w:val="000000"/>
                <w:sz w:val="20"/>
              </w:rPr>
              <w:t>Percent of Interest Pledged</w:t>
            </w:r>
          </w:p>
        </w:tc>
      </w:tr>
      <w:tr>
        <w:trPr/>
        <w:tc>
          <w:tcPr>
            <w:tcW w:w="3933"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Michigan Psychiatric Services, Inc.</w:t>
            </w:r>
          </w:p>
        </w:tc>
        <w:tc>
          <w:tcPr>
            <w:tcW w:w="2509"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Michigan</w:t>
            </w:r>
          </w:p>
        </w:tc>
        <w:tc>
          <w:tcPr>
            <w:tcW w:w="1810"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195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933"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Millwood Hospital, L.P.</w:t>
            </w:r>
          </w:p>
        </w:tc>
        <w:tc>
          <w:tcPr>
            <w:tcW w:w="2509"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Texas</w:t>
            </w:r>
          </w:p>
        </w:tc>
        <w:tc>
          <w:tcPr>
            <w:tcW w:w="1810"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99</w:t>
            </w:r>
          </w:p>
        </w:tc>
        <w:tc>
          <w:tcPr>
            <w:tcW w:w="195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99</w:t>
            </w:r>
          </w:p>
        </w:tc>
      </w:tr>
      <w:tr>
        <w:trPr/>
        <w:tc>
          <w:tcPr>
            <w:tcW w:w="3933"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Milwaukee Behavioral Health, LLC</w:t>
            </w:r>
          </w:p>
        </w:tc>
        <w:tc>
          <w:tcPr>
            <w:tcW w:w="2509"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Wisconsin</w:t>
            </w:r>
          </w:p>
        </w:tc>
        <w:tc>
          <w:tcPr>
            <w:tcW w:w="1810"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195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933"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Nashville Rehab, LLC</w:t>
            </w:r>
          </w:p>
        </w:tc>
        <w:tc>
          <w:tcPr>
            <w:tcW w:w="2509"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Tennessee</w:t>
            </w:r>
          </w:p>
        </w:tc>
        <w:tc>
          <w:tcPr>
            <w:tcW w:w="1810"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195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933"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Neuro Institute of Austin, L.P.</w:t>
            </w:r>
          </w:p>
        </w:tc>
        <w:tc>
          <w:tcPr>
            <w:tcW w:w="2509"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Texas</w:t>
            </w:r>
          </w:p>
        </w:tc>
        <w:tc>
          <w:tcPr>
            <w:tcW w:w="1810"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99</w:t>
            </w:r>
          </w:p>
        </w:tc>
        <w:tc>
          <w:tcPr>
            <w:tcW w:w="195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99</w:t>
            </w:r>
          </w:p>
        </w:tc>
      </w:tr>
      <w:tr>
        <w:trPr/>
        <w:tc>
          <w:tcPr>
            <w:tcW w:w="3933"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NEWCO Oregon, Inc.</w:t>
            </w:r>
          </w:p>
        </w:tc>
        <w:tc>
          <w:tcPr>
            <w:tcW w:w="2509"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Delaware</w:t>
            </w:r>
            <w:r>
              <w:rPr>
                <w:rFonts w:ascii="Times New Roman" w:hAnsi="Times New Roman"/>
                <w:color w:val="000000"/>
                <w:sz w:val="20"/>
              </w:rPr>
              <w:t xml:space="preserve"> </w:t>
            </w:r>
          </w:p>
        </w:tc>
        <w:tc>
          <w:tcPr>
            <w:tcW w:w="1810"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195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933"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North Spring Behavioral Healthcare, Inc.</w:t>
            </w:r>
          </w:p>
        </w:tc>
        <w:tc>
          <w:tcPr>
            <w:tcW w:w="2509"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Tennessee</w:t>
            </w:r>
          </w:p>
        </w:tc>
        <w:tc>
          <w:tcPr>
            <w:tcW w:w="1810"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195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933"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Northern Indiana Partners, LLC</w:t>
            </w:r>
          </w:p>
        </w:tc>
        <w:tc>
          <w:tcPr>
            <w:tcW w:w="2509"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Tennessee</w:t>
            </w:r>
          </w:p>
        </w:tc>
        <w:tc>
          <w:tcPr>
            <w:tcW w:w="1810"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195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933"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Northern Nevada Diagnostic Imaging-Spanish Springs, L.L.C</w:t>
            </w:r>
            <w:r>
              <w:rPr>
                <w:rFonts w:ascii="Times New Roman" w:hAnsi="Times New Roman"/>
                <w:color w:val="000000"/>
                <w:sz w:val="20"/>
              </w:rPr>
              <w:t xml:space="preserve"> </w:t>
            </w:r>
          </w:p>
        </w:tc>
        <w:tc>
          <w:tcPr>
            <w:tcW w:w="2509"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Nevada</w:t>
            </w:r>
          </w:p>
        </w:tc>
        <w:tc>
          <w:tcPr>
            <w:tcW w:w="1810"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195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933"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Northwest Texas Healthcare System, Inc.</w:t>
            </w:r>
            <w:r>
              <w:rPr>
                <w:rFonts w:ascii="Times New Roman" w:hAnsi="Times New Roman"/>
                <w:color w:val="000000"/>
                <w:sz w:val="20"/>
              </w:rPr>
              <w:t xml:space="preserve"> </w:t>
            </w:r>
          </w:p>
        </w:tc>
        <w:tc>
          <w:tcPr>
            <w:tcW w:w="2509"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Texas</w:t>
            </w:r>
          </w:p>
        </w:tc>
        <w:tc>
          <w:tcPr>
            <w:tcW w:w="1810"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195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933"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NWTHS Management, LLC</w:t>
            </w:r>
          </w:p>
        </w:tc>
        <w:tc>
          <w:tcPr>
            <w:tcW w:w="2509"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Texas</w:t>
            </w:r>
          </w:p>
        </w:tc>
        <w:tc>
          <w:tcPr>
            <w:tcW w:w="1810"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195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933"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Oak Plains Academy of Tennessee, Inc.</w:t>
            </w:r>
            <w:r>
              <w:rPr>
                <w:rFonts w:ascii="Times New Roman" w:hAnsi="Times New Roman"/>
                <w:color w:val="000000"/>
                <w:sz w:val="20"/>
              </w:rPr>
              <w:t xml:space="preserve"> </w:t>
            </w:r>
          </w:p>
        </w:tc>
        <w:tc>
          <w:tcPr>
            <w:tcW w:w="2509"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Tennessee</w:t>
            </w:r>
          </w:p>
        </w:tc>
        <w:tc>
          <w:tcPr>
            <w:tcW w:w="1810"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195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933"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Ocala Behavioral Health, LLC</w:t>
            </w:r>
          </w:p>
        </w:tc>
        <w:tc>
          <w:tcPr>
            <w:tcW w:w="2509"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Delaware</w:t>
            </w:r>
          </w:p>
        </w:tc>
        <w:tc>
          <w:tcPr>
            <w:tcW w:w="1810"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195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933"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Oregon Psychiatric Realty, LLC</w:t>
            </w:r>
          </w:p>
        </w:tc>
        <w:tc>
          <w:tcPr>
            <w:tcW w:w="2509"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Delaware</w:t>
            </w:r>
            <w:r>
              <w:rPr>
                <w:rFonts w:ascii="Times New Roman" w:hAnsi="Times New Roman"/>
                <w:color w:val="000000"/>
                <w:sz w:val="20"/>
              </w:rPr>
              <w:t xml:space="preserve"> </w:t>
            </w:r>
          </w:p>
        </w:tc>
        <w:tc>
          <w:tcPr>
            <w:tcW w:w="1810"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195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933"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Palm Point Behavioral Health, LLC</w:t>
            </w:r>
          </w:p>
        </w:tc>
        <w:tc>
          <w:tcPr>
            <w:tcW w:w="2509"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Florida</w:t>
            </w:r>
          </w:p>
        </w:tc>
        <w:tc>
          <w:tcPr>
            <w:tcW w:w="1810"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195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933"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Palmetto Behavioral Health Holdings, LLC</w:t>
            </w:r>
          </w:p>
        </w:tc>
        <w:tc>
          <w:tcPr>
            <w:tcW w:w="2509"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Delaware</w:t>
            </w:r>
          </w:p>
        </w:tc>
        <w:tc>
          <w:tcPr>
            <w:tcW w:w="1810"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195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933"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Palmetto Behavioral Health Solutions, LLC</w:t>
            </w:r>
          </w:p>
        </w:tc>
        <w:tc>
          <w:tcPr>
            <w:tcW w:w="2509"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South Carolina</w:t>
            </w:r>
          </w:p>
        </w:tc>
        <w:tc>
          <w:tcPr>
            <w:tcW w:w="1810"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195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933"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Palmetto Behavioral Health System, L.L.C.</w:t>
            </w:r>
          </w:p>
        </w:tc>
        <w:tc>
          <w:tcPr>
            <w:tcW w:w="2509"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South Carolina</w:t>
            </w:r>
          </w:p>
        </w:tc>
        <w:tc>
          <w:tcPr>
            <w:tcW w:w="1810"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195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933"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Palmetto Lowcountry Behavioral Health, L.L.C.</w:t>
            </w:r>
          </w:p>
        </w:tc>
        <w:tc>
          <w:tcPr>
            <w:tcW w:w="2509"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South Carolina</w:t>
            </w:r>
          </w:p>
        </w:tc>
        <w:tc>
          <w:tcPr>
            <w:tcW w:w="1810"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195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933"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Palmetto Pee Dee Behavioral Health, L.L.C.</w:t>
            </w:r>
          </w:p>
        </w:tc>
        <w:tc>
          <w:tcPr>
            <w:tcW w:w="2509"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South Carolina</w:t>
            </w:r>
          </w:p>
        </w:tc>
        <w:tc>
          <w:tcPr>
            <w:tcW w:w="1810"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195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933"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Park Healthcare Company</w:t>
            </w:r>
            <w:r>
              <w:rPr>
                <w:rFonts w:ascii="Times New Roman" w:hAnsi="Times New Roman"/>
                <w:color w:val="000000"/>
                <w:sz w:val="20"/>
              </w:rPr>
              <w:t xml:space="preserve"> </w:t>
            </w:r>
          </w:p>
        </w:tc>
        <w:tc>
          <w:tcPr>
            <w:tcW w:w="2509"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Tennessee</w:t>
            </w:r>
          </w:p>
        </w:tc>
        <w:tc>
          <w:tcPr>
            <w:tcW w:w="1810"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195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933"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Pasteur Healthcare Properties, LLC</w:t>
            </w:r>
          </w:p>
        </w:tc>
        <w:tc>
          <w:tcPr>
            <w:tcW w:w="2509"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Delaware</w:t>
            </w:r>
          </w:p>
        </w:tc>
        <w:tc>
          <w:tcPr>
            <w:tcW w:w="1810"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195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933"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Peak Behavioral Health Services, LLC</w:t>
            </w:r>
          </w:p>
        </w:tc>
        <w:tc>
          <w:tcPr>
            <w:tcW w:w="2509"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Delaware</w:t>
            </w:r>
          </w:p>
        </w:tc>
        <w:tc>
          <w:tcPr>
            <w:tcW w:w="1810"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195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933"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Pendleton Methodist Hospital, L.L.C.</w:t>
            </w:r>
            <w:r>
              <w:rPr>
                <w:rFonts w:ascii="Times New Roman" w:hAnsi="Times New Roman"/>
                <w:color w:val="000000"/>
                <w:sz w:val="20"/>
              </w:rPr>
              <w:t xml:space="preserve"> </w:t>
            </w:r>
          </w:p>
        </w:tc>
        <w:tc>
          <w:tcPr>
            <w:tcW w:w="2509"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Delaware</w:t>
            </w:r>
          </w:p>
        </w:tc>
        <w:tc>
          <w:tcPr>
            <w:tcW w:w="1810"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195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933"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Pennsylvania Clinical Schools, Inc.</w:t>
            </w:r>
            <w:r>
              <w:rPr>
                <w:rFonts w:ascii="Times New Roman" w:hAnsi="Times New Roman"/>
                <w:color w:val="000000"/>
                <w:sz w:val="20"/>
              </w:rPr>
              <w:t xml:space="preserve"> </w:t>
            </w:r>
          </w:p>
        </w:tc>
        <w:tc>
          <w:tcPr>
            <w:tcW w:w="2509"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Pennsylvania</w:t>
            </w:r>
          </w:p>
        </w:tc>
        <w:tc>
          <w:tcPr>
            <w:tcW w:w="1810"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195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933"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PR Holding II, Inc.</w:t>
            </w:r>
          </w:p>
        </w:tc>
        <w:tc>
          <w:tcPr>
            <w:tcW w:w="2509"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Puerto Rico</w:t>
            </w:r>
          </w:p>
        </w:tc>
        <w:tc>
          <w:tcPr>
            <w:tcW w:w="1810"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195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933"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Premier Behavioral Solutions of Florida, Inc.</w:t>
            </w:r>
          </w:p>
        </w:tc>
        <w:tc>
          <w:tcPr>
            <w:tcW w:w="2509"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Delaware</w:t>
            </w:r>
          </w:p>
        </w:tc>
        <w:tc>
          <w:tcPr>
            <w:tcW w:w="1810"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195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933"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Premier Behavioral Solutions, Inc.</w:t>
            </w:r>
          </w:p>
        </w:tc>
        <w:tc>
          <w:tcPr>
            <w:tcW w:w="2509"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Delaware</w:t>
            </w:r>
          </w:p>
        </w:tc>
        <w:tc>
          <w:tcPr>
            <w:tcW w:w="1810"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195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933"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Pride Institute, Inc.</w:t>
            </w:r>
          </w:p>
        </w:tc>
        <w:tc>
          <w:tcPr>
            <w:tcW w:w="2509"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Minnesota</w:t>
            </w:r>
          </w:p>
        </w:tc>
        <w:tc>
          <w:tcPr>
            <w:tcW w:w="1810"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195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933"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PSJ Acquisition, LLC</w:t>
            </w:r>
          </w:p>
        </w:tc>
        <w:tc>
          <w:tcPr>
            <w:tcW w:w="2509"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North Dakota</w:t>
            </w:r>
          </w:p>
        </w:tc>
        <w:tc>
          <w:tcPr>
            <w:tcW w:w="1810"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195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933"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Psychiatric Realty, LLC</w:t>
            </w:r>
          </w:p>
        </w:tc>
        <w:tc>
          <w:tcPr>
            <w:tcW w:w="2509"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Delaware</w:t>
            </w:r>
          </w:p>
        </w:tc>
        <w:tc>
          <w:tcPr>
            <w:tcW w:w="1810"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195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933"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Psychiatric Solutions, Inc.</w:t>
            </w:r>
          </w:p>
        </w:tc>
        <w:tc>
          <w:tcPr>
            <w:tcW w:w="2509"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Delaware</w:t>
            </w:r>
          </w:p>
        </w:tc>
        <w:tc>
          <w:tcPr>
            <w:tcW w:w="1810"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195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933"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Psychiatric Solutions Hospitals, LLC</w:t>
            </w:r>
          </w:p>
        </w:tc>
        <w:tc>
          <w:tcPr>
            <w:tcW w:w="2509"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Delaware</w:t>
            </w:r>
          </w:p>
        </w:tc>
        <w:tc>
          <w:tcPr>
            <w:tcW w:w="1810"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195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933"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Psychiatric Solutions of Virginia, Inc.</w:t>
            </w:r>
          </w:p>
        </w:tc>
        <w:tc>
          <w:tcPr>
            <w:tcW w:w="2509"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Tennessee</w:t>
            </w:r>
          </w:p>
        </w:tc>
        <w:tc>
          <w:tcPr>
            <w:tcW w:w="1810"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195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933"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PsychManagement Group, Inc.</w:t>
            </w:r>
          </w:p>
        </w:tc>
        <w:tc>
          <w:tcPr>
            <w:tcW w:w="2509"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West Virginia</w:t>
            </w:r>
          </w:p>
        </w:tc>
        <w:tc>
          <w:tcPr>
            <w:tcW w:w="1810"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195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933"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Radiation Oncology Center of Aiken, LLC</w:t>
            </w:r>
          </w:p>
        </w:tc>
        <w:tc>
          <w:tcPr>
            <w:tcW w:w="2509"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South Carolina</w:t>
            </w:r>
          </w:p>
        </w:tc>
        <w:tc>
          <w:tcPr>
            <w:tcW w:w="1810"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95</w:t>
            </w:r>
          </w:p>
        </w:tc>
        <w:tc>
          <w:tcPr>
            <w:tcW w:w="195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95</w:t>
            </w:r>
          </w:p>
        </w:tc>
      </w:tr>
      <w:tr>
        <w:trPr/>
        <w:tc>
          <w:tcPr>
            <w:tcW w:w="3933"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Ramsay Managed Care, LLC</w:t>
            </w:r>
          </w:p>
        </w:tc>
        <w:tc>
          <w:tcPr>
            <w:tcW w:w="2509"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Delaware</w:t>
            </w:r>
          </w:p>
        </w:tc>
        <w:tc>
          <w:tcPr>
            <w:tcW w:w="1810"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195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933"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Ramsay Youth Services of Georgia, Inc.</w:t>
            </w:r>
          </w:p>
        </w:tc>
        <w:tc>
          <w:tcPr>
            <w:tcW w:w="2509"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Delaware</w:t>
            </w:r>
          </w:p>
        </w:tc>
        <w:tc>
          <w:tcPr>
            <w:tcW w:w="1810"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195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933"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Red Rock Solutions, LLC</w:t>
            </w:r>
          </w:p>
        </w:tc>
        <w:tc>
          <w:tcPr>
            <w:tcW w:w="2509"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Delaware</w:t>
            </w:r>
          </w:p>
        </w:tc>
        <w:tc>
          <w:tcPr>
            <w:tcW w:w="1810"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195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933"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Relational Therapy Clinic, Inc.</w:t>
            </w:r>
            <w:r>
              <w:rPr>
                <w:rFonts w:ascii="Times New Roman" w:hAnsi="Times New Roman"/>
                <w:color w:val="000000"/>
                <w:sz w:val="20"/>
              </w:rPr>
              <w:t xml:space="preserve"> </w:t>
            </w:r>
          </w:p>
        </w:tc>
        <w:tc>
          <w:tcPr>
            <w:tcW w:w="2509"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Louisiana</w:t>
            </w:r>
          </w:p>
        </w:tc>
        <w:tc>
          <w:tcPr>
            <w:tcW w:w="1810"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195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933"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Ridge Outpatient Counseling, L.L.C.</w:t>
            </w:r>
            <w:r>
              <w:rPr>
                <w:rFonts w:ascii="Times New Roman" w:hAnsi="Times New Roman"/>
                <w:color w:val="000000"/>
                <w:sz w:val="20"/>
              </w:rPr>
              <w:t xml:space="preserve"> </w:t>
            </w:r>
          </w:p>
        </w:tc>
        <w:tc>
          <w:tcPr>
            <w:tcW w:w="2509"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Kentucky</w:t>
            </w:r>
          </w:p>
        </w:tc>
        <w:tc>
          <w:tcPr>
            <w:tcW w:w="1810"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195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933"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River Crest Hospital, Inc.</w:t>
            </w:r>
            <w:r>
              <w:rPr>
                <w:rFonts w:ascii="Times New Roman" w:hAnsi="Times New Roman"/>
                <w:color w:val="000000"/>
                <w:sz w:val="20"/>
              </w:rPr>
              <w:t xml:space="preserve"> </w:t>
            </w:r>
          </w:p>
        </w:tc>
        <w:tc>
          <w:tcPr>
            <w:tcW w:w="2509"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Texas</w:t>
            </w:r>
          </w:p>
        </w:tc>
        <w:tc>
          <w:tcPr>
            <w:tcW w:w="1810"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195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933"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River Oaks, Inc.</w:t>
            </w:r>
            <w:r>
              <w:rPr>
                <w:rFonts w:ascii="Times New Roman" w:hAnsi="Times New Roman"/>
                <w:color w:val="000000"/>
                <w:sz w:val="20"/>
              </w:rPr>
              <w:t xml:space="preserve"> </w:t>
            </w:r>
          </w:p>
        </w:tc>
        <w:tc>
          <w:tcPr>
            <w:tcW w:w="2509"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Louisiana</w:t>
            </w:r>
          </w:p>
        </w:tc>
        <w:tc>
          <w:tcPr>
            <w:tcW w:w="1810"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195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933"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Riveredge Hospital Holdings, Inc.</w:t>
            </w:r>
          </w:p>
        </w:tc>
        <w:tc>
          <w:tcPr>
            <w:tcW w:w="2509"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Delaware</w:t>
            </w:r>
          </w:p>
        </w:tc>
        <w:tc>
          <w:tcPr>
            <w:tcW w:w="1810"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195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933"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Riveredge Hospital, Inc.</w:t>
            </w:r>
          </w:p>
        </w:tc>
        <w:tc>
          <w:tcPr>
            <w:tcW w:w="2509"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Illinois</w:t>
            </w:r>
          </w:p>
        </w:tc>
        <w:tc>
          <w:tcPr>
            <w:tcW w:w="1810"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195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933"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Riveredge Real Estate, Inc.</w:t>
            </w:r>
          </w:p>
        </w:tc>
        <w:tc>
          <w:tcPr>
            <w:tcW w:w="2509"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Illinois</w:t>
            </w:r>
          </w:p>
        </w:tc>
        <w:tc>
          <w:tcPr>
            <w:tcW w:w="1810"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195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bl>
    <w:p>
      <w:pPr>
        <w:pStyle w:val="TextBody"/>
        <w:bidi w:val="0"/>
        <w:jc w:val="left"/>
        <w:rPr>
          <w:rFonts w:ascii="Arial" w:hAnsi="Arial"/>
          <w:color w:val="000000"/>
          <w:sz w:val="22"/>
        </w:rPr>
      </w:pPr>
      <w:r>
        <w:rPr>
          <w:rFonts w:ascii="Arial" w:hAnsi="Arial"/>
          <w:color w:val="000000"/>
          <w:sz w:val="22"/>
        </w:rPr>
        <w:t>13</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735"/>
        <w:gridCol w:w="2615"/>
        <w:gridCol w:w="1855"/>
        <w:gridCol w:w="2000"/>
      </w:tblGrid>
      <w:tr>
        <w:trPr/>
        <w:tc>
          <w:tcPr>
            <w:tcW w:w="3735" w:type="dxa"/>
            <w:tcBorders/>
            <w:shd w:fill="FFFFFF" w:val="clear"/>
            <w:vAlign w:val="center"/>
          </w:tcPr>
          <w:p>
            <w:pPr>
              <w:pStyle w:val="TableContents"/>
              <w:bidi w:val="0"/>
              <w:spacing w:before="0" w:after="283"/>
              <w:jc w:val="left"/>
              <w:rPr>
                <w:sz w:val="4"/>
                <w:szCs w:val="4"/>
              </w:rPr>
            </w:pPr>
            <w:r>
              <w:rPr>
                <w:sz w:val="4"/>
                <w:szCs w:val="4"/>
              </w:rPr>
            </w:r>
          </w:p>
        </w:tc>
        <w:tc>
          <w:tcPr>
            <w:tcW w:w="2615" w:type="dxa"/>
            <w:tcBorders/>
            <w:shd w:fill="FFFFFF" w:val="clear"/>
            <w:vAlign w:val="center"/>
          </w:tcPr>
          <w:p>
            <w:pPr>
              <w:pStyle w:val="TableContents"/>
              <w:bidi w:val="0"/>
              <w:spacing w:before="0" w:after="283"/>
              <w:jc w:val="left"/>
              <w:rPr>
                <w:sz w:val="4"/>
                <w:szCs w:val="4"/>
              </w:rPr>
            </w:pPr>
            <w:r>
              <w:rPr>
                <w:sz w:val="4"/>
                <w:szCs w:val="4"/>
              </w:rPr>
            </w:r>
          </w:p>
        </w:tc>
        <w:tc>
          <w:tcPr>
            <w:tcW w:w="1855" w:type="dxa"/>
            <w:tcBorders/>
            <w:shd w:fill="FFFFFF" w:val="clear"/>
            <w:vAlign w:val="center"/>
          </w:tcPr>
          <w:p>
            <w:pPr>
              <w:pStyle w:val="TableContents"/>
              <w:bidi w:val="0"/>
              <w:spacing w:before="0" w:after="283"/>
              <w:jc w:val="left"/>
              <w:rPr>
                <w:sz w:val="4"/>
                <w:szCs w:val="4"/>
              </w:rPr>
            </w:pPr>
            <w:r>
              <w:rPr>
                <w:sz w:val="4"/>
                <w:szCs w:val="4"/>
              </w:rPr>
            </w:r>
          </w:p>
        </w:tc>
        <w:tc>
          <w:tcPr>
            <w:tcW w:w="2000" w:type="dxa"/>
            <w:tcBorders/>
            <w:shd w:fill="FFFFFF" w:val="clear"/>
            <w:vAlign w:val="center"/>
          </w:tcPr>
          <w:p>
            <w:pPr>
              <w:pStyle w:val="TableContents"/>
              <w:bidi w:val="0"/>
              <w:spacing w:before="0" w:after="283"/>
              <w:jc w:val="left"/>
              <w:rPr>
                <w:sz w:val="4"/>
                <w:szCs w:val="4"/>
              </w:rPr>
            </w:pPr>
            <w:r>
              <w:rPr>
                <w:sz w:val="4"/>
                <w:szCs w:val="4"/>
              </w:rPr>
            </w:r>
          </w:p>
        </w:tc>
      </w:tr>
      <w:tr>
        <w:trPr/>
        <w:tc>
          <w:tcPr>
            <w:tcW w:w="3735"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TableContents"/>
              <w:bidi w:val="0"/>
              <w:spacing w:before="240" w:after="240"/>
              <w:jc w:val="left"/>
              <w:rPr>
                <w:rFonts w:ascii="Arial" w:hAnsi="Arial"/>
                <w:b/>
                <w:color w:val="000000"/>
                <w:sz w:val="20"/>
              </w:rPr>
            </w:pPr>
            <w:r>
              <w:rPr>
                <w:rFonts w:ascii="Arial" w:hAnsi="Arial"/>
                <w:b/>
                <w:color w:val="000000"/>
                <w:sz w:val="20"/>
              </w:rPr>
              <w:br/>
              <w:t>Name of Issuer</w:t>
            </w:r>
          </w:p>
        </w:tc>
        <w:tc>
          <w:tcPr>
            <w:tcW w:w="2615"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240" w:after="240"/>
              <w:jc w:val="left"/>
              <w:rPr>
                <w:rFonts w:ascii="Arial" w:hAnsi="Arial"/>
                <w:b/>
                <w:color w:val="000000"/>
                <w:sz w:val="20"/>
              </w:rPr>
            </w:pPr>
            <w:r>
              <w:rPr>
                <w:rFonts w:ascii="Arial" w:hAnsi="Arial"/>
                <w:b/>
                <w:color w:val="000000"/>
                <w:sz w:val="20"/>
              </w:rPr>
              <w:t>Issuer Jurisdiction of Organization</w:t>
            </w:r>
          </w:p>
        </w:tc>
        <w:tc>
          <w:tcPr>
            <w:tcW w:w="1855"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240" w:after="240"/>
              <w:jc w:val="left"/>
              <w:rPr>
                <w:rFonts w:ascii="Arial" w:hAnsi="Arial"/>
                <w:b/>
                <w:color w:val="000000"/>
                <w:sz w:val="20"/>
              </w:rPr>
            </w:pPr>
            <w:r>
              <w:rPr>
                <w:rFonts w:ascii="Arial" w:hAnsi="Arial"/>
                <w:b/>
                <w:color w:val="000000"/>
                <w:sz w:val="20"/>
              </w:rPr>
              <w:t>Percent of Interest Owned</w:t>
            </w:r>
          </w:p>
        </w:tc>
        <w:tc>
          <w:tcPr>
            <w:tcW w:w="2000"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240" w:after="240"/>
              <w:jc w:val="left"/>
              <w:rPr>
                <w:rFonts w:ascii="Arial" w:hAnsi="Arial"/>
                <w:b/>
                <w:color w:val="000000"/>
                <w:sz w:val="20"/>
              </w:rPr>
            </w:pPr>
            <w:r>
              <w:rPr>
                <w:rFonts w:ascii="Arial" w:hAnsi="Arial"/>
                <w:b/>
                <w:color w:val="000000"/>
                <w:sz w:val="20"/>
              </w:rPr>
              <w:t>Percent of Interest Pledged</w:t>
            </w:r>
          </w:p>
        </w:tc>
      </w:tr>
      <w:tr>
        <w:trPr/>
        <w:tc>
          <w:tcPr>
            <w:tcW w:w="3735"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Riverside Medical Clinic Patient Services, L.L.C.</w:t>
            </w:r>
          </w:p>
        </w:tc>
        <w:tc>
          <w:tcPr>
            <w:tcW w:w="261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California</w:t>
            </w:r>
          </w:p>
        </w:tc>
        <w:tc>
          <w:tcPr>
            <w:tcW w:w="185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000"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735"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Rolling Hills Hospital, LLC</w:t>
            </w:r>
          </w:p>
        </w:tc>
        <w:tc>
          <w:tcPr>
            <w:tcW w:w="261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Tennessee</w:t>
            </w:r>
          </w:p>
        </w:tc>
        <w:tc>
          <w:tcPr>
            <w:tcW w:w="185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000"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735"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RR Behavioral Realty LLC</w:t>
            </w:r>
          </w:p>
        </w:tc>
        <w:tc>
          <w:tcPr>
            <w:tcW w:w="261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Delaware</w:t>
            </w:r>
            <w:r>
              <w:rPr>
                <w:rFonts w:ascii="Times New Roman" w:hAnsi="Times New Roman"/>
                <w:color w:val="000000"/>
                <w:sz w:val="20"/>
              </w:rPr>
              <w:t xml:space="preserve"> </w:t>
            </w:r>
          </w:p>
        </w:tc>
        <w:tc>
          <w:tcPr>
            <w:tcW w:w="185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000"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735"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RR Recovery, LLC</w:t>
            </w:r>
          </w:p>
        </w:tc>
        <w:tc>
          <w:tcPr>
            <w:tcW w:w="261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Delaware</w:t>
            </w:r>
          </w:p>
        </w:tc>
        <w:tc>
          <w:tcPr>
            <w:tcW w:w="185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000"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735"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Salt Lake Behavioral Health, LLC</w:t>
            </w:r>
          </w:p>
        </w:tc>
        <w:tc>
          <w:tcPr>
            <w:tcW w:w="261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Delaware</w:t>
            </w:r>
          </w:p>
        </w:tc>
        <w:tc>
          <w:tcPr>
            <w:tcW w:w="185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000"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735"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Salt Lake Psychiatric Realty, LLC</w:t>
            </w:r>
          </w:p>
        </w:tc>
        <w:tc>
          <w:tcPr>
            <w:tcW w:w="261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Delaware</w:t>
            </w:r>
          </w:p>
        </w:tc>
        <w:tc>
          <w:tcPr>
            <w:tcW w:w="185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000"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735"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Samson Properties, LLC</w:t>
            </w:r>
          </w:p>
        </w:tc>
        <w:tc>
          <w:tcPr>
            <w:tcW w:w="261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Florida</w:t>
            </w:r>
          </w:p>
        </w:tc>
        <w:tc>
          <w:tcPr>
            <w:tcW w:w="185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000"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735"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Schick Shadel of Florida, LLC</w:t>
            </w:r>
          </w:p>
        </w:tc>
        <w:tc>
          <w:tcPr>
            <w:tcW w:w="261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Florida</w:t>
            </w:r>
          </w:p>
        </w:tc>
        <w:tc>
          <w:tcPr>
            <w:tcW w:w="185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000"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735"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Shadow Mountain Behavioral Health System, LLC</w:t>
            </w:r>
          </w:p>
        </w:tc>
        <w:tc>
          <w:tcPr>
            <w:tcW w:w="261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Delaware</w:t>
            </w:r>
          </w:p>
        </w:tc>
        <w:tc>
          <w:tcPr>
            <w:tcW w:w="185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000"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735"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SHC-KPH, LP</w:t>
            </w:r>
          </w:p>
        </w:tc>
        <w:tc>
          <w:tcPr>
            <w:tcW w:w="261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Texas</w:t>
            </w:r>
          </w:p>
        </w:tc>
        <w:tc>
          <w:tcPr>
            <w:tcW w:w="185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99.1</w:t>
            </w:r>
          </w:p>
        </w:tc>
        <w:tc>
          <w:tcPr>
            <w:tcW w:w="2000"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99.1</w:t>
            </w:r>
          </w:p>
        </w:tc>
      </w:tr>
      <w:tr>
        <w:trPr/>
        <w:tc>
          <w:tcPr>
            <w:tcW w:w="3735"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Somerset, Incorporated</w:t>
            </w:r>
          </w:p>
        </w:tc>
        <w:tc>
          <w:tcPr>
            <w:tcW w:w="261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California</w:t>
            </w:r>
          </w:p>
        </w:tc>
        <w:tc>
          <w:tcPr>
            <w:tcW w:w="185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000"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735"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Southeastern Hospital Corporation</w:t>
            </w:r>
            <w:r>
              <w:rPr>
                <w:rFonts w:ascii="Times New Roman" w:hAnsi="Times New Roman"/>
                <w:color w:val="000000"/>
                <w:sz w:val="20"/>
              </w:rPr>
              <w:t xml:space="preserve"> </w:t>
            </w:r>
          </w:p>
        </w:tc>
        <w:tc>
          <w:tcPr>
            <w:tcW w:w="261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Tennessee</w:t>
            </w:r>
          </w:p>
        </w:tc>
        <w:tc>
          <w:tcPr>
            <w:tcW w:w="185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000"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735"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Southside Imaging Center, LLC</w:t>
            </w:r>
            <w:r>
              <w:rPr>
                <w:rFonts w:ascii="Times New Roman" w:hAnsi="Times New Roman"/>
                <w:color w:val="000000"/>
                <w:sz w:val="20"/>
              </w:rPr>
              <w:t xml:space="preserve"> </w:t>
            </w:r>
          </w:p>
        </w:tc>
        <w:tc>
          <w:tcPr>
            <w:tcW w:w="261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South Carolina</w:t>
            </w:r>
          </w:p>
        </w:tc>
        <w:tc>
          <w:tcPr>
            <w:tcW w:w="185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000"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735"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SP Behavioral, LLC</w:t>
            </w:r>
          </w:p>
        </w:tc>
        <w:tc>
          <w:tcPr>
            <w:tcW w:w="261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Florida</w:t>
            </w:r>
          </w:p>
        </w:tc>
        <w:tc>
          <w:tcPr>
            <w:tcW w:w="185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000"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735"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Sparks Family Hospital, Inc.</w:t>
            </w:r>
            <w:r>
              <w:rPr>
                <w:rFonts w:ascii="Times New Roman" w:hAnsi="Times New Roman"/>
                <w:color w:val="000000"/>
                <w:sz w:val="20"/>
              </w:rPr>
              <w:t xml:space="preserve"> </w:t>
            </w:r>
          </w:p>
        </w:tc>
        <w:tc>
          <w:tcPr>
            <w:tcW w:w="261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Nevada</w:t>
            </w:r>
          </w:p>
        </w:tc>
        <w:tc>
          <w:tcPr>
            <w:tcW w:w="185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000"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735"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Spokane Behavioral Health, LLC</w:t>
            </w:r>
          </w:p>
        </w:tc>
        <w:tc>
          <w:tcPr>
            <w:tcW w:w="261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Washington</w:t>
            </w:r>
          </w:p>
        </w:tc>
        <w:tc>
          <w:tcPr>
            <w:tcW w:w="185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80</w:t>
            </w:r>
          </w:p>
        </w:tc>
        <w:tc>
          <w:tcPr>
            <w:tcW w:w="2000"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80</w:t>
            </w:r>
          </w:p>
        </w:tc>
      </w:tr>
      <w:tr>
        <w:trPr/>
        <w:tc>
          <w:tcPr>
            <w:tcW w:w="3735"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Spokane Valley Behavioral Health, LLC</w:t>
            </w:r>
          </w:p>
        </w:tc>
        <w:tc>
          <w:tcPr>
            <w:tcW w:w="261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Delaware</w:t>
            </w:r>
            <w:r>
              <w:rPr>
                <w:rFonts w:ascii="Times New Roman" w:hAnsi="Times New Roman"/>
                <w:color w:val="000000"/>
                <w:sz w:val="20"/>
              </w:rPr>
              <w:t xml:space="preserve"> </w:t>
            </w:r>
          </w:p>
        </w:tc>
        <w:tc>
          <w:tcPr>
            <w:tcW w:w="185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000"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735"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Springfield Hospital, Inc.</w:t>
            </w:r>
          </w:p>
        </w:tc>
        <w:tc>
          <w:tcPr>
            <w:tcW w:w="261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Delaware</w:t>
            </w:r>
          </w:p>
        </w:tc>
        <w:tc>
          <w:tcPr>
            <w:tcW w:w="185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000"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735"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St. Louis Behavioral Medicine Institute, Inc.</w:t>
            </w:r>
            <w:r>
              <w:rPr>
                <w:rFonts w:ascii="Times New Roman" w:hAnsi="Times New Roman"/>
                <w:color w:val="000000"/>
                <w:sz w:val="20"/>
              </w:rPr>
              <w:t xml:space="preserve"> </w:t>
            </w:r>
          </w:p>
        </w:tc>
        <w:tc>
          <w:tcPr>
            <w:tcW w:w="261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Missouri</w:t>
            </w:r>
          </w:p>
        </w:tc>
        <w:tc>
          <w:tcPr>
            <w:tcW w:w="185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000"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735"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Stonington Behavioral Health, Inc.</w:t>
            </w:r>
            <w:r>
              <w:rPr>
                <w:rFonts w:ascii="Times New Roman" w:hAnsi="Times New Roman"/>
                <w:color w:val="000000"/>
                <w:sz w:val="20"/>
              </w:rPr>
              <w:t xml:space="preserve"> </w:t>
            </w:r>
          </w:p>
        </w:tc>
        <w:tc>
          <w:tcPr>
            <w:tcW w:w="261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Delaware</w:t>
            </w:r>
          </w:p>
        </w:tc>
        <w:tc>
          <w:tcPr>
            <w:tcW w:w="185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000"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735"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Summerlin Hospital Medical Center, LP</w:t>
            </w:r>
          </w:p>
        </w:tc>
        <w:tc>
          <w:tcPr>
            <w:tcW w:w="261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Delaware</w:t>
            </w:r>
          </w:p>
        </w:tc>
        <w:tc>
          <w:tcPr>
            <w:tcW w:w="185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93.2</w:t>
            </w:r>
          </w:p>
        </w:tc>
        <w:tc>
          <w:tcPr>
            <w:tcW w:w="2000"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93.2</w:t>
            </w:r>
          </w:p>
        </w:tc>
      </w:tr>
      <w:tr>
        <w:trPr/>
        <w:tc>
          <w:tcPr>
            <w:tcW w:w="3735"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Summit Oaks Hospital, Inc.</w:t>
            </w:r>
          </w:p>
        </w:tc>
        <w:tc>
          <w:tcPr>
            <w:tcW w:w="261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New Jersey</w:t>
            </w:r>
          </w:p>
        </w:tc>
        <w:tc>
          <w:tcPr>
            <w:tcW w:w="185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000"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735"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Sunstone Behavioral Health, LLC</w:t>
            </w:r>
          </w:p>
        </w:tc>
        <w:tc>
          <w:tcPr>
            <w:tcW w:w="261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Tennessee</w:t>
            </w:r>
          </w:p>
        </w:tc>
        <w:tc>
          <w:tcPr>
            <w:tcW w:w="185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000"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735"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TBD Acquisition, LLC</w:t>
            </w:r>
          </w:p>
        </w:tc>
        <w:tc>
          <w:tcPr>
            <w:tcW w:w="261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Delaware</w:t>
            </w:r>
          </w:p>
        </w:tc>
        <w:tc>
          <w:tcPr>
            <w:tcW w:w="185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000"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735"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TBD Acquisition II, LLC</w:t>
            </w:r>
          </w:p>
        </w:tc>
        <w:tc>
          <w:tcPr>
            <w:tcW w:w="261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Delaware</w:t>
            </w:r>
          </w:p>
        </w:tc>
        <w:tc>
          <w:tcPr>
            <w:tcW w:w="185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000"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735"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TBJ Behavioral Center, LLC</w:t>
            </w:r>
          </w:p>
        </w:tc>
        <w:tc>
          <w:tcPr>
            <w:tcW w:w="261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Delaware</w:t>
            </w:r>
          </w:p>
        </w:tc>
        <w:tc>
          <w:tcPr>
            <w:tcW w:w="185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000"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735"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Temecula Valley Hospital, Inc.</w:t>
            </w:r>
          </w:p>
        </w:tc>
        <w:tc>
          <w:tcPr>
            <w:tcW w:w="261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California</w:t>
            </w:r>
          </w:p>
        </w:tc>
        <w:tc>
          <w:tcPr>
            <w:tcW w:w="185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000"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735"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Temple Behavioral Healthcare Hospital, Inc.</w:t>
            </w:r>
          </w:p>
        </w:tc>
        <w:tc>
          <w:tcPr>
            <w:tcW w:w="261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Texas</w:t>
            </w:r>
          </w:p>
        </w:tc>
        <w:tc>
          <w:tcPr>
            <w:tcW w:w="185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000"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735"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Tennessee Clinical Schools, LLC</w:t>
            </w:r>
            <w:r>
              <w:rPr>
                <w:rFonts w:ascii="Times New Roman" w:hAnsi="Times New Roman"/>
                <w:color w:val="000000"/>
                <w:sz w:val="20"/>
              </w:rPr>
              <w:t xml:space="preserve"> </w:t>
            </w:r>
          </w:p>
        </w:tc>
        <w:tc>
          <w:tcPr>
            <w:tcW w:w="261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Tennessee</w:t>
            </w:r>
          </w:p>
        </w:tc>
        <w:tc>
          <w:tcPr>
            <w:tcW w:w="185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000"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735"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Texas Cypress Creek Hospital, L.P.</w:t>
            </w:r>
          </w:p>
        </w:tc>
        <w:tc>
          <w:tcPr>
            <w:tcW w:w="261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Texas</w:t>
            </w:r>
          </w:p>
        </w:tc>
        <w:tc>
          <w:tcPr>
            <w:tcW w:w="185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99</w:t>
            </w:r>
          </w:p>
        </w:tc>
        <w:tc>
          <w:tcPr>
            <w:tcW w:w="2000"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99</w:t>
            </w:r>
          </w:p>
        </w:tc>
      </w:tr>
      <w:tr>
        <w:trPr/>
        <w:tc>
          <w:tcPr>
            <w:tcW w:w="3735"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Texas Hospital Holdings, Inc.</w:t>
            </w:r>
          </w:p>
        </w:tc>
        <w:tc>
          <w:tcPr>
            <w:tcW w:w="261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Delaware</w:t>
            </w:r>
          </w:p>
        </w:tc>
        <w:tc>
          <w:tcPr>
            <w:tcW w:w="185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000"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735"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Texas Hospital Holdings, LLC</w:t>
            </w:r>
          </w:p>
        </w:tc>
        <w:tc>
          <w:tcPr>
            <w:tcW w:w="261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Texas</w:t>
            </w:r>
          </w:p>
        </w:tc>
        <w:tc>
          <w:tcPr>
            <w:tcW w:w="185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000"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735"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Texas Laurel Ridge Hospital, L.P.</w:t>
            </w:r>
          </w:p>
        </w:tc>
        <w:tc>
          <w:tcPr>
            <w:tcW w:w="261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Texas</w:t>
            </w:r>
          </w:p>
        </w:tc>
        <w:tc>
          <w:tcPr>
            <w:tcW w:w="185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99</w:t>
            </w:r>
          </w:p>
        </w:tc>
        <w:tc>
          <w:tcPr>
            <w:tcW w:w="2000"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99</w:t>
            </w:r>
          </w:p>
        </w:tc>
      </w:tr>
      <w:tr>
        <w:trPr/>
        <w:tc>
          <w:tcPr>
            <w:tcW w:w="3735"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Texas Oaks Psychiatric Hospital, L.P.</w:t>
            </w:r>
          </w:p>
        </w:tc>
        <w:tc>
          <w:tcPr>
            <w:tcW w:w="261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Texas</w:t>
            </w:r>
          </w:p>
        </w:tc>
        <w:tc>
          <w:tcPr>
            <w:tcW w:w="185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99</w:t>
            </w:r>
          </w:p>
        </w:tc>
        <w:tc>
          <w:tcPr>
            <w:tcW w:w="2000"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99</w:t>
            </w:r>
          </w:p>
        </w:tc>
      </w:tr>
      <w:tr>
        <w:trPr/>
        <w:tc>
          <w:tcPr>
            <w:tcW w:w="3735"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Texas San Marcos Treatment Center, L.P.</w:t>
            </w:r>
          </w:p>
        </w:tc>
        <w:tc>
          <w:tcPr>
            <w:tcW w:w="261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Texas</w:t>
            </w:r>
          </w:p>
        </w:tc>
        <w:tc>
          <w:tcPr>
            <w:tcW w:w="185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99</w:t>
            </w:r>
          </w:p>
        </w:tc>
        <w:tc>
          <w:tcPr>
            <w:tcW w:w="2000"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99</w:t>
            </w:r>
          </w:p>
        </w:tc>
      </w:tr>
      <w:tr>
        <w:trPr/>
        <w:tc>
          <w:tcPr>
            <w:tcW w:w="3735"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Texas West Oaks Hospital, L.P.</w:t>
            </w:r>
          </w:p>
        </w:tc>
        <w:tc>
          <w:tcPr>
            <w:tcW w:w="261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Texas</w:t>
            </w:r>
          </w:p>
        </w:tc>
        <w:tc>
          <w:tcPr>
            <w:tcW w:w="185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99</w:t>
            </w:r>
          </w:p>
        </w:tc>
        <w:tc>
          <w:tcPr>
            <w:tcW w:w="2000"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99</w:t>
            </w:r>
          </w:p>
        </w:tc>
      </w:tr>
      <w:tr>
        <w:trPr/>
        <w:tc>
          <w:tcPr>
            <w:tcW w:w="3735"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The Arbour, Inc.</w:t>
            </w:r>
          </w:p>
        </w:tc>
        <w:tc>
          <w:tcPr>
            <w:tcW w:w="261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Massachusetts</w:t>
            </w:r>
          </w:p>
        </w:tc>
        <w:tc>
          <w:tcPr>
            <w:tcW w:w="185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000"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735"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The Bridgeway, LLC</w:t>
            </w:r>
            <w:r>
              <w:rPr>
                <w:rFonts w:ascii="Times New Roman" w:hAnsi="Times New Roman"/>
                <w:color w:val="000000"/>
                <w:sz w:val="20"/>
              </w:rPr>
              <w:t xml:space="preserve"> </w:t>
            </w:r>
          </w:p>
        </w:tc>
        <w:tc>
          <w:tcPr>
            <w:tcW w:w="261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Arkansas</w:t>
            </w:r>
          </w:p>
        </w:tc>
        <w:tc>
          <w:tcPr>
            <w:tcW w:w="185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000"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735"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The National Deaf Academy, LLC</w:t>
            </w:r>
          </w:p>
        </w:tc>
        <w:tc>
          <w:tcPr>
            <w:tcW w:w="261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Florida</w:t>
            </w:r>
          </w:p>
        </w:tc>
        <w:tc>
          <w:tcPr>
            <w:tcW w:w="185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000"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735"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Three Rivers Behavioral Health, LLC</w:t>
            </w:r>
          </w:p>
        </w:tc>
        <w:tc>
          <w:tcPr>
            <w:tcW w:w="261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South Carolina</w:t>
            </w:r>
          </w:p>
        </w:tc>
        <w:tc>
          <w:tcPr>
            <w:tcW w:w="185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000"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735"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Three Rivers Healthcare Group, LLC</w:t>
            </w:r>
          </w:p>
        </w:tc>
        <w:tc>
          <w:tcPr>
            <w:tcW w:w="261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South Carolina</w:t>
            </w:r>
          </w:p>
        </w:tc>
        <w:tc>
          <w:tcPr>
            <w:tcW w:w="185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000"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735"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Three Rivers Residential Treatment/Midlands Campus, Inc.</w:t>
            </w:r>
          </w:p>
        </w:tc>
        <w:tc>
          <w:tcPr>
            <w:tcW w:w="261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South Carolina</w:t>
            </w:r>
          </w:p>
        </w:tc>
        <w:tc>
          <w:tcPr>
            <w:tcW w:w="185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000"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735"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Three Rivers SPE Holding, LLC</w:t>
            </w:r>
          </w:p>
        </w:tc>
        <w:tc>
          <w:tcPr>
            <w:tcW w:w="261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South Carolina</w:t>
            </w:r>
          </w:p>
        </w:tc>
        <w:tc>
          <w:tcPr>
            <w:tcW w:w="185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000"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735"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Toledo Holding Co., LLC</w:t>
            </w:r>
          </w:p>
        </w:tc>
        <w:tc>
          <w:tcPr>
            <w:tcW w:w="261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Delaware</w:t>
            </w:r>
          </w:p>
        </w:tc>
        <w:tc>
          <w:tcPr>
            <w:tcW w:w="185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000"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735"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Turning Point Care Center, LLC</w:t>
            </w:r>
            <w:r>
              <w:rPr>
                <w:rFonts w:ascii="Times New Roman" w:hAnsi="Times New Roman"/>
                <w:color w:val="000000"/>
                <w:sz w:val="20"/>
              </w:rPr>
              <w:t xml:space="preserve"> </w:t>
            </w:r>
          </w:p>
        </w:tc>
        <w:tc>
          <w:tcPr>
            <w:tcW w:w="261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Georgia</w:t>
            </w:r>
          </w:p>
        </w:tc>
        <w:tc>
          <w:tcPr>
            <w:tcW w:w="185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000"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735"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Two Rivers Psychiatric Hospital, Inc.</w:t>
            </w:r>
            <w:r>
              <w:rPr>
                <w:rFonts w:ascii="Times New Roman" w:hAnsi="Times New Roman"/>
                <w:color w:val="000000"/>
                <w:sz w:val="20"/>
              </w:rPr>
              <w:t xml:space="preserve"> </w:t>
            </w:r>
          </w:p>
        </w:tc>
        <w:tc>
          <w:tcPr>
            <w:tcW w:w="261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Delaware</w:t>
            </w:r>
          </w:p>
        </w:tc>
        <w:tc>
          <w:tcPr>
            <w:tcW w:w="185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000"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bl>
    <w:p>
      <w:pPr>
        <w:pStyle w:val="TextBody"/>
        <w:bidi w:val="0"/>
        <w:jc w:val="left"/>
        <w:rPr>
          <w:rFonts w:ascii="Arial" w:hAnsi="Arial"/>
          <w:color w:val="000000"/>
          <w:sz w:val="22"/>
        </w:rPr>
      </w:pPr>
      <w:r>
        <w:rPr>
          <w:rFonts w:ascii="Arial" w:hAnsi="Arial"/>
          <w:color w:val="000000"/>
          <w:sz w:val="22"/>
        </w:rPr>
        <w:t>14</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669"/>
        <w:gridCol w:w="2638"/>
        <w:gridCol w:w="1876"/>
        <w:gridCol w:w="2022"/>
      </w:tblGrid>
      <w:tr>
        <w:trPr/>
        <w:tc>
          <w:tcPr>
            <w:tcW w:w="3669" w:type="dxa"/>
            <w:tcBorders/>
            <w:shd w:fill="FFFFFF" w:val="clear"/>
            <w:vAlign w:val="center"/>
          </w:tcPr>
          <w:p>
            <w:pPr>
              <w:pStyle w:val="TableContents"/>
              <w:bidi w:val="0"/>
              <w:spacing w:before="0" w:after="283"/>
              <w:jc w:val="left"/>
              <w:rPr>
                <w:sz w:val="4"/>
                <w:szCs w:val="4"/>
              </w:rPr>
            </w:pPr>
            <w:r>
              <w:rPr>
                <w:sz w:val="4"/>
                <w:szCs w:val="4"/>
              </w:rPr>
            </w:r>
          </w:p>
        </w:tc>
        <w:tc>
          <w:tcPr>
            <w:tcW w:w="2638" w:type="dxa"/>
            <w:tcBorders/>
            <w:shd w:fill="FFFFFF" w:val="clear"/>
            <w:vAlign w:val="center"/>
          </w:tcPr>
          <w:p>
            <w:pPr>
              <w:pStyle w:val="TableContents"/>
              <w:bidi w:val="0"/>
              <w:spacing w:before="0" w:after="283"/>
              <w:jc w:val="left"/>
              <w:rPr>
                <w:sz w:val="4"/>
                <w:szCs w:val="4"/>
              </w:rPr>
            </w:pPr>
            <w:r>
              <w:rPr>
                <w:sz w:val="4"/>
                <w:szCs w:val="4"/>
              </w:rPr>
            </w:r>
          </w:p>
        </w:tc>
        <w:tc>
          <w:tcPr>
            <w:tcW w:w="1876" w:type="dxa"/>
            <w:tcBorders/>
            <w:shd w:fill="FFFFFF" w:val="clear"/>
            <w:vAlign w:val="center"/>
          </w:tcPr>
          <w:p>
            <w:pPr>
              <w:pStyle w:val="TableContents"/>
              <w:bidi w:val="0"/>
              <w:spacing w:before="0" w:after="283"/>
              <w:jc w:val="left"/>
              <w:rPr>
                <w:sz w:val="4"/>
                <w:szCs w:val="4"/>
              </w:rPr>
            </w:pPr>
            <w:r>
              <w:rPr>
                <w:sz w:val="4"/>
                <w:szCs w:val="4"/>
              </w:rPr>
            </w:r>
          </w:p>
        </w:tc>
        <w:tc>
          <w:tcPr>
            <w:tcW w:w="2022" w:type="dxa"/>
            <w:tcBorders/>
            <w:shd w:fill="FFFFFF" w:val="clear"/>
            <w:vAlign w:val="center"/>
          </w:tcPr>
          <w:p>
            <w:pPr>
              <w:pStyle w:val="TableContents"/>
              <w:bidi w:val="0"/>
              <w:spacing w:before="0" w:after="283"/>
              <w:jc w:val="left"/>
              <w:rPr>
                <w:sz w:val="4"/>
                <w:szCs w:val="4"/>
              </w:rPr>
            </w:pPr>
            <w:r>
              <w:rPr>
                <w:sz w:val="4"/>
                <w:szCs w:val="4"/>
              </w:rPr>
            </w:r>
          </w:p>
        </w:tc>
      </w:tr>
      <w:tr>
        <w:trPr/>
        <w:tc>
          <w:tcPr>
            <w:tcW w:w="3669"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TableContents"/>
              <w:bidi w:val="0"/>
              <w:spacing w:before="240" w:after="240"/>
              <w:jc w:val="left"/>
              <w:rPr>
                <w:rFonts w:ascii="Arial" w:hAnsi="Arial"/>
                <w:b/>
                <w:color w:val="000000"/>
                <w:sz w:val="20"/>
              </w:rPr>
            </w:pPr>
            <w:r>
              <w:rPr>
                <w:rFonts w:ascii="Arial" w:hAnsi="Arial"/>
                <w:b/>
                <w:color w:val="000000"/>
                <w:sz w:val="20"/>
              </w:rPr>
              <w:br/>
              <w:t>Name of Issuer</w:t>
            </w:r>
          </w:p>
        </w:tc>
        <w:tc>
          <w:tcPr>
            <w:tcW w:w="2638"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240" w:after="240"/>
              <w:jc w:val="left"/>
              <w:rPr>
                <w:rFonts w:ascii="Arial" w:hAnsi="Arial"/>
                <w:b/>
                <w:color w:val="000000"/>
                <w:sz w:val="20"/>
              </w:rPr>
            </w:pPr>
            <w:r>
              <w:rPr>
                <w:rFonts w:ascii="Arial" w:hAnsi="Arial"/>
                <w:b/>
                <w:color w:val="000000"/>
                <w:sz w:val="20"/>
              </w:rPr>
              <w:t>Issuer Jurisdiction of Organization</w:t>
            </w:r>
          </w:p>
        </w:tc>
        <w:tc>
          <w:tcPr>
            <w:tcW w:w="1876"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240" w:after="240"/>
              <w:jc w:val="left"/>
              <w:rPr>
                <w:rFonts w:ascii="Arial" w:hAnsi="Arial"/>
                <w:b/>
                <w:color w:val="000000"/>
                <w:sz w:val="20"/>
              </w:rPr>
            </w:pPr>
            <w:r>
              <w:rPr>
                <w:rFonts w:ascii="Arial" w:hAnsi="Arial"/>
                <w:b/>
                <w:color w:val="000000"/>
                <w:sz w:val="20"/>
              </w:rPr>
              <w:t>Percent of Interest Owned</w:t>
            </w:r>
          </w:p>
        </w:tc>
        <w:tc>
          <w:tcPr>
            <w:tcW w:w="2022"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240" w:after="240"/>
              <w:jc w:val="left"/>
              <w:rPr>
                <w:rFonts w:ascii="Arial" w:hAnsi="Arial"/>
                <w:b/>
                <w:color w:val="000000"/>
                <w:sz w:val="20"/>
              </w:rPr>
            </w:pPr>
            <w:r>
              <w:rPr>
                <w:rFonts w:ascii="Arial" w:hAnsi="Arial"/>
                <w:b/>
                <w:color w:val="000000"/>
                <w:sz w:val="20"/>
              </w:rPr>
              <w:t>Percent of Interest Pledged</w:t>
            </w:r>
          </w:p>
        </w:tc>
      </w:tr>
      <w:tr>
        <w:trPr/>
        <w:tc>
          <w:tcPr>
            <w:tcW w:w="3669"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UBH of Phoenix, LLC</w:t>
            </w:r>
          </w:p>
        </w:tc>
        <w:tc>
          <w:tcPr>
            <w:tcW w:w="263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Delaware</w:t>
            </w:r>
          </w:p>
        </w:tc>
        <w:tc>
          <w:tcPr>
            <w:tcW w:w="187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022"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669"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UBH of Phoenix Realty, LLC</w:t>
            </w:r>
          </w:p>
        </w:tc>
        <w:tc>
          <w:tcPr>
            <w:tcW w:w="263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Delaware</w:t>
            </w:r>
          </w:p>
        </w:tc>
        <w:tc>
          <w:tcPr>
            <w:tcW w:w="187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022"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669"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UBH of Oregon, LLC</w:t>
            </w:r>
          </w:p>
        </w:tc>
        <w:tc>
          <w:tcPr>
            <w:tcW w:w="263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Delaware</w:t>
            </w:r>
          </w:p>
        </w:tc>
        <w:tc>
          <w:tcPr>
            <w:tcW w:w="187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022"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669"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UHP LP</w:t>
            </w:r>
          </w:p>
        </w:tc>
        <w:tc>
          <w:tcPr>
            <w:tcW w:w="263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Delaware</w:t>
            </w:r>
          </w:p>
        </w:tc>
        <w:tc>
          <w:tcPr>
            <w:tcW w:w="187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022"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669"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UHS Advisory, Inc.</w:t>
            </w:r>
            <w:r>
              <w:rPr>
                <w:rFonts w:ascii="Times New Roman" w:hAnsi="Times New Roman"/>
                <w:color w:val="000000"/>
                <w:sz w:val="20"/>
              </w:rPr>
              <w:t xml:space="preserve"> </w:t>
            </w:r>
          </w:p>
        </w:tc>
        <w:tc>
          <w:tcPr>
            <w:tcW w:w="263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Delaware</w:t>
            </w:r>
          </w:p>
        </w:tc>
        <w:tc>
          <w:tcPr>
            <w:tcW w:w="187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022"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669"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UHS BH Telepsych, LLC</w:t>
            </w:r>
          </w:p>
        </w:tc>
        <w:tc>
          <w:tcPr>
            <w:tcW w:w="263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Delaware</w:t>
            </w:r>
          </w:p>
        </w:tc>
        <w:tc>
          <w:tcPr>
            <w:tcW w:w="187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022"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669"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UHS Building Solutions, Inc.</w:t>
            </w:r>
            <w:r>
              <w:rPr>
                <w:rFonts w:ascii="Times New Roman" w:hAnsi="Times New Roman"/>
                <w:color w:val="000000"/>
                <w:sz w:val="20"/>
              </w:rPr>
              <w:t xml:space="preserve"> </w:t>
            </w:r>
          </w:p>
        </w:tc>
        <w:tc>
          <w:tcPr>
            <w:tcW w:w="263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Delaware</w:t>
            </w:r>
          </w:p>
        </w:tc>
        <w:tc>
          <w:tcPr>
            <w:tcW w:w="187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022"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669"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UHS Capitol Acquisition, LLC</w:t>
            </w:r>
          </w:p>
        </w:tc>
        <w:tc>
          <w:tcPr>
            <w:tcW w:w="263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Delaware</w:t>
            </w:r>
          </w:p>
        </w:tc>
        <w:tc>
          <w:tcPr>
            <w:tcW w:w="187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022"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669"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UHS Children Services, Inc.</w:t>
            </w:r>
            <w:r>
              <w:rPr>
                <w:rFonts w:ascii="Times New Roman" w:hAnsi="Times New Roman"/>
                <w:color w:val="000000"/>
                <w:sz w:val="20"/>
              </w:rPr>
              <w:t xml:space="preserve"> </w:t>
            </w:r>
          </w:p>
        </w:tc>
        <w:tc>
          <w:tcPr>
            <w:tcW w:w="263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Delaware</w:t>
            </w:r>
          </w:p>
        </w:tc>
        <w:tc>
          <w:tcPr>
            <w:tcW w:w="187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022"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669"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UHS Funding, LLC</w:t>
            </w:r>
          </w:p>
        </w:tc>
        <w:tc>
          <w:tcPr>
            <w:tcW w:w="263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Delaware</w:t>
            </w:r>
          </w:p>
        </w:tc>
        <w:tc>
          <w:tcPr>
            <w:tcW w:w="187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022"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669"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UHS Good Samaritan, L.L.C.</w:t>
            </w:r>
            <w:r>
              <w:rPr>
                <w:rFonts w:ascii="Times New Roman" w:hAnsi="Times New Roman"/>
                <w:color w:val="000000"/>
                <w:sz w:val="20"/>
              </w:rPr>
              <w:t xml:space="preserve"> </w:t>
            </w:r>
          </w:p>
        </w:tc>
        <w:tc>
          <w:tcPr>
            <w:tcW w:w="263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Delaware</w:t>
            </w:r>
          </w:p>
        </w:tc>
        <w:tc>
          <w:tcPr>
            <w:tcW w:w="187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022"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669"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UHS Holding Company, Inc.</w:t>
            </w:r>
            <w:r>
              <w:rPr>
                <w:rFonts w:ascii="Times New Roman" w:hAnsi="Times New Roman"/>
                <w:color w:val="000000"/>
                <w:sz w:val="20"/>
              </w:rPr>
              <w:t xml:space="preserve"> </w:t>
            </w:r>
          </w:p>
        </w:tc>
        <w:tc>
          <w:tcPr>
            <w:tcW w:w="263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Nevada</w:t>
            </w:r>
          </w:p>
        </w:tc>
        <w:tc>
          <w:tcPr>
            <w:tcW w:w="187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022"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669"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UHS International, Inc.</w:t>
            </w:r>
            <w:r>
              <w:rPr>
                <w:rFonts w:ascii="Times New Roman" w:hAnsi="Times New Roman"/>
                <w:color w:val="000000"/>
                <w:sz w:val="20"/>
              </w:rPr>
              <w:t xml:space="preserve"> </w:t>
            </w:r>
          </w:p>
        </w:tc>
        <w:tc>
          <w:tcPr>
            <w:tcW w:w="263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Delaware</w:t>
            </w:r>
          </w:p>
        </w:tc>
        <w:tc>
          <w:tcPr>
            <w:tcW w:w="187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022"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669"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UHS Kentucky Holdings, L.L.C.</w:t>
            </w:r>
            <w:r>
              <w:rPr>
                <w:rFonts w:ascii="Times New Roman" w:hAnsi="Times New Roman"/>
                <w:color w:val="000000"/>
                <w:sz w:val="20"/>
              </w:rPr>
              <w:t xml:space="preserve"> </w:t>
            </w:r>
          </w:p>
        </w:tc>
        <w:tc>
          <w:tcPr>
            <w:tcW w:w="263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Delaware</w:t>
            </w:r>
          </w:p>
        </w:tc>
        <w:tc>
          <w:tcPr>
            <w:tcW w:w="187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022"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669"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UHS Midwest Behavioral Health, LLC</w:t>
            </w:r>
          </w:p>
        </w:tc>
        <w:tc>
          <w:tcPr>
            <w:tcW w:w="263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Delaware</w:t>
            </w:r>
          </w:p>
        </w:tc>
        <w:tc>
          <w:tcPr>
            <w:tcW w:w="187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022"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669"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UHS Midwest Center for Youth and Families, LLC</w:t>
            </w:r>
            <w:r>
              <w:rPr>
                <w:rFonts w:ascii="Times New Roman" w:hAnsi="Times New Roman"/>
                <w:color w:val="000000"/>
                <w:sz w:val="20"/>
              </w:rPr>
              <w:t xml:space="preserve"> </w:t>
            </w:r>
          </w:p>
        </w:tc>
        <w:tc>
          <w:tcPr>
            <w:tcW w:w="263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Indiana</w:t>
            </w:r>
          </w:p>
        </w:tc>
        <w:tc>
          <w:tcPr>
            <w:tcW w:w="187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022"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669"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UHS Oklahoma City LLC</w:t>
            </w:r>
            <w:r>
              <w:rPr>
                <w:rFonts w:ascii="Times New Roman" w:hAnsi="Times New Roman"/>
                <w:color w:val="000000"/>
                <w:sz w:val="20"/>
              </w:rPr>
              <w:t xml:space="preserve"> </w:t>
            </w:r>
          </w:p>
        </w:tc>
        <w:tc>
          <w:tcPr>
            <w:tcW w:w="263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Oklahoma</w:t>
            </w:r>
          </w:p>
        </w:tc>
        <w:tc>
          <w:tcPr>
            <w:tcW w:w="187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022"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669"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UHS Receivables Corp.</w:t>
            </w:r>
            <w:r>
              <w:rPr>
                <w:rFonts w:ascii="Times New Roman" w:hAnsi="Times New Roman"/>
                <w:color w:val="000000"/>
                <w:sz w:val="20"/>
              </w:rPr>
              <w:t xml:space="preserve"> </w:t>
            </w:r>
          </w:p>
        </w:tc>
        <w:tc>
          <w:tcPr>
            <w:tcW w:w="263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Delaware</w:t>
            </w:r>
          </w:p>
        </w:tc>
        <w:tc>
          <w:tcPr>
            <w:tcW w:w="187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022"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669"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UHS Sahara, Inc.</w:t>
            </w:r>
            <w:r>
              <w:rPr>
                <w:rFonts w:ascii="Times New Roman" w:hAnsi="Times New Roman"/>
                <w:color w:val="000000"/>
                <w:sz w:val="20"/>
              </w:rPr>
              <w:t xml:space="preserve"> </w:t>
            </w:r>
          </w:p>
        </w:tc>
        <w:tc>
          <w:tcPr>
            <w:tcW w:w="263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Delaware</w:t>
            </w:r>
          </w:p>
        </w:tc>
        <w:tc>
          <w:tcPr>
            <w:tcW w:w="187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022"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669"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UHS Surgical Hospital of Texoma, LLC</w:t>
            </w:r>
            <w:r>
              <w:rPr>
                <w:rFonts w:ascii="Times New Roman" w:hAnsi="Times New Roman"/>
                <w:color w:val="000000"/>
                <w:sz w:val="20"/>
              </w:rPr>
              <w:t xml:space="preserve"> </w:t>
            </w:r>
          </w:p>
        </w:tc>
        <w:tc>
          <w:tcPr>
            <w:tcW w:w="263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Texas</w:t>
            </w:r>
          </w:p>
        </w:tc>
        <w:tc>
          <w:tcPr>
            <w:tcW w:w="187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022"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669"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UHS of Anchor, L.P.</w:t>
            </w:r>
            <w:r>
              <w:rPr>
                <w:rFonts w:ascii="Times New Roman" w:hAnsi="Times New Roman"/>
                <w:color w:val="000000"/>
                <w:sz w:val="20"/>
              </w:rPr>
              <w:t xml:space="preserve"> </w:t>
            </w:r>
          </w:p>
        </w:tc>
        <w:tc>
          <w:tcPr>
            <w:tcW w:w="263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Delaware</w:t>
            </w:r>
          </w:p>
        </w:tc>
        <w:tc>
          <w:tcPr>
            <w:tcW w:w="187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022"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669"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UHS of Benton Day School and Treatment Program, Inc.</w:t>
            </w:r>
            <w:r>
              <w:rPr>
                <w:rFonts w:ascii="Times New Roman" w:hAnsi="Times New Roman"/>
                <w:color w:val="000000"/>
                <w:sz w:val="20"/>
              </w:rPr>
              <w:t xml:space="preserve"> </w:t>
            </w:r>
          </w:p>
        </w:tc>
        <w:tc>
          <w:tcPr>
            <w:tcW w:w="263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Delaware</w:t>
            </w:r>
          </w:p>
        </w:tc>
        <w:tc>
          <w:tcPr>
            <w:tcW w:w="187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022"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669"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UHS of Benton, LLC</w:t>
            </w:r>
          </w:p>
        </w:tc>
        <w:tc>
          <w:tcPr>
            <w:tcW w:w="263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Delaware</w:t>
            </w:r>
          </w:p>
        </w:tc>
        <w:tc>
          <w:tcPr>
            <w:tcW w:w="187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022"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669"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UHS of Bowling Green, LLC</w:t>
            </w:r>
            <w:r>
              <w:rPr>
                <w:rFonts w:ascii="Times New Roman" w:hAnsi="Times New Roman"/>
                <w:color w:val="000000"/>
                <w:sz w:val="20"/>
              </w:rPr>
              <w:t xml:space="preserve"> </w:t>
            </w:r>
          </w:p>
        </w:tc>
        <w:tc>
          <w:tcPr>
            <w:tcW w:w="263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Delaware</w:t>
            </w:r>
          </w:p>
        </w:tc>
        <w:tc>
          <w:tcPr>
            <w:tcW w:w="187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022"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669"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UHS of Centennial Peaks, L.L.C.</w:t>
            </w:r>
            <w:r>
              <w:rPr>
                <w:rFonts w:ascii="Times New Roman" w:hAnsi="Times New Roman"/>
                <w:color w:val="000000"/>
                <w:sz w:val="20"/>
              </w:rPr>
              <w:t xml:space="preserve"> </w:t>
            </w:r>
          </w:p>
        </w:tc>
        <w:tc>
          <w:tcPr>
            <w:tcW w:w="263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Delaware</w:t>
            </w:r>
          </w:p>
        </w:tc>
        <w:tc>
          <w:tcPr>
            <w:tcW w:w="187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022"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669"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UHS of Cornerstone Holdings, Inc.</w:t>
            </w:r>
            <w:r>
              <w:rPr>
                <w:rFonts w:ascii="Times New Roman" w:hAnsi="Times New Roman"/>
                <w:color w:val="000000"/>
                <w:sz w:val="20"/>
              </w:rPr>
              <w:t xml:space="preserve"> </w:t>
            </w:r>
          </w:p>
        </w:tc>
        <w:tc>
          <w:tcPr>
            <w:tcW w:w="263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Delaware</w:t>
            </w:r>
          </w:p>
        </w:tc>
        <w:tc>
          <w:tcPr>
            <w:tcW w:w="187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022"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669"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UHS of Cornerstone, Inc.</w:t>
            </w:r>
            <w:r>
              <w:rPr>
                <w:rFonts w:ascii="Times New Roman" w:hAnsi="Times New Roman"/>
                <w:color w:val="000000"/>
                <w:sz w:val="20"/>
              </w:rPr>
              <w:t xml:space="preserve"> </w:t>
            </w:r>
          </w:p>
        </w:tc>
        <w:tc>
          <w:tcPr>
            <w:tcW w:w="263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Delaware</w:t>
            </w:r>
          </w:p>
        </w:tc>
        <w:tc>
          <w:tcPr>
            <w:tcW w:w="187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022"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669"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UHS of D.C., Inc.</w:t>
            </w:r>
            <w:r>
              <w:rPr>
                <w:rFonts w:ascii="Times New Roman" w:hAnsi="Times New Roman"/>
                <w:color w:val="000000"/>
                <w:sz w:val="20"/>
              </w:rPr>
              <w:t xml:space="preserve"> </w:t>
            </w:r>
          </w:p>
        </w:tc>
        <w:tc>
          <w:tcPr>
            <w:tcW w:w="263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Delaware</w:t>
            </w:r>
          </w:p>
        </w:tc>
        <w:tc>
          <w:tcPr>
            <w:tcW w:w="187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022"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669"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UHS of Delaware, Inc.</w:t>
            </w:r>
            <w:r>
              <w:rPr>
                <w:rFonts w:ascii="Times New Roman" w:hAnsi="Times New Roman"/>
                <w:color w:val="000000"/>
                <w:sz w:val="20"/>
              </w:rPr>
              <w:t xml:space="preserve"> </w:t>
            </w:r>
          </w:p>
        </w:tc>
        <w:tc>
          <w:tcPr>
            <w:tcW w:w="263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Delaware</w:t>
            </w:r>
          </w:p>
        </w:tc>
        <w:tc>
          <w:tcPr>
            <w:tcW w:w="187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022"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669"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UHS of Denver, Inc.</w:t>
            </w:r>
            <w:r>
              <w:rPr>
                <w:rFonts w:ascii="Times New Roman" w:hAnsi="Times New Roman"/>
                <w:color w:val="000000"/>
                <w:sz w:val="20"/>
              </w:rPr>
              <w:t xml:space="preserve"> </w:t>
            </w:r>
          </w:p>
        </w:tc>
        <w:tc>
          <w:tcPr>
            <w:tcW w:w="263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Delaware</w:t>
            </w:r>
          </w:p>
        </w:tc>
        <w:tc>
          <w:tcPr>
            <w:tcW w:w="187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022"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669"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UHS of Dover, L.L.C.</w:t>
            </w:r>
            <w:r>
              <w:rPr>
                <w:rFonts w:ascii="Times New Roman" w:hAnsi="Times New Roman"/>
                <w:color w:val="000000"/>
                <w:sz w:val="20"/>
              </w:rPr>
              <w:t xml:space="preserve"> </w:t>
            </w:r>
          </w:p>
        </w:tc>
        <w:tc>
          <w:tcPr>
            <w:tcW w:w="263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Delaware</w:t>
            </w:r>
          </w:p>
        </w:tc>
        <w:tc>
          <w:tcPr>
            <w:tcW w:w="187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022"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669"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UHS of Doylestown, L.L.C.</w:t>
            </w:r>
            <w:r>
              <w:rPr>
                <w:rFonts w:ascii="Times New Roman" w:hAnsi="Times New Roman"/>
                <w:color w:val="000000"/>
                <w:sz w:val="20"/>
              </w:rPr>
              <w:t xml:space="preserve"> </w:t>
            </w:r>
          </w:p>
        </w:tc>
        <w:tc>
          <w:tcPr>
            <w:tcW w:w="263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Delaware</w:t>
            </w:r>
          </w:p>
        </w:tc>
        <w:tc>
          <w:tcPr>
            <w:tcW w:w="187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022"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669"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UHS of Fairmount, Inc.</w:t>
            </w:r>
            <w:r>
              <w:rPr>
                <w:rFonts w:ascii="Times New Roman" w:hAnsi="Times New Roman"/>
                <w:color w:val="000000"/>
                <w:sz w:val="20"/>
              </w:rPr>
              <w:t xml:space="preserve"> </w:t>
            </w:r>
          </w:p>
        </w:tc>
        <w:tc>
          <w:tcPr>
            <w:tcW w:w="263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Delaware</w:t>
            </w:r>
          </w:p>
        </w:tc>
        <w:tc>
          <w:tcPr>
            <w:tcW w:w="187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022"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669"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UHS of Fuller, Inc.</w:t>
            </w:r>
            <w:r>
              <w:rPr>
                <w:rFonts w:ascii="Times New Roman" w:hAnsi="Times New Roman"/>
                <w:color w:val="000000"/>
                <w:sz w:val="20"/>
              </w:rPr>
              <w:t xml:space="preserve"> </w:t>
            </w:r>
          </w:p>
        </w:tc>
        <w:tc>
          <w:tcPr>
            <w:tcW w:w="263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Massachusetts</w:t>
            </w:r>
          </w:p>
        </w:tc>
        <w:tc>
          <w:tcPr>
            <w:tcW w:w="187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022"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669"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UHS of GB, Inc.</w:t>
            </w:r>
          </w:p>
        </w:tc>
        <w:tc>
          <w:tcPr>
            <w:tcW w:w="263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Delaware</w:t>
            </w:r>
          </w:p>
        </w:tc>
        <w:tc>
          <w:tcPr>
            <w:tcW w:w="187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022"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669"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UHS of Georgia Holdings, Inc.</w:t>
            </w:r>
            <w:r>
              <w:rPr>
                <w:rFonts w:ascii="Times New Roman" w:hAnsi="Times New Roman"/>
                <w:color w:val="000000"/>
                <w:sz w:val="20"/>
              </w:rPr>
              <w:t xml:space="preserve"> </w:t>
            </w:r>
          </w:p>
        </w:tc>
        <w:tc>
          <w:tcPr>
            <w:tcW w:w="263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Delaware</w:t>
            </w:r>
          </w:p>
        </w:tc>
        <w:tc>
          <w:tcPr>
            <w:tcW w:w="187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022"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669"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UHS of Georgia, Inc.</w:t>
            </w:r>
            <w:r>
              <w:rPr>
                <w:rFonts w:ascii="Times New Roman" w:hAnsi="Times New Roman"/>
                <w:color w:val="000000"/>
                <w:sz w:val="20"/>
              </w:rPr>
              <w:t xml:space="preserve"> </w:t>
            </w:r>
          </w:p>
        </w:tc>
        <w:tc>
          <w:tcPr>
            <w:tcW w:w="263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Delaware</w:t>
            </w:r>
          </w:p>
        </w:tc>
        <w:tc>
          <w:tcPr>
            <w:tcW w:w="187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022"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669"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UHS of Greenville, LLC</w:t>
            </w:r>
          </w:p>
        </w:tc>
        <w:tc>
          <w:tcPr>
            <w:tcW w:w="263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Delaware</w:t>
            </w:r>
          </w:p>
        </w:tc>
        <w:tc>
          <w:tcPr>
            <w:tcW w:w="187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022"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669"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UHS of Hampton Learning Center, Inc.</w:t>
            </w:r>
            <w:r>
              <w:rPr>
                <w:rFonts w:ascii="Times New Roman" w:hAnsi="Times New Roman"/>
                <w:color w:val="000000"/>
                <w:sz w:val="20"/>
              </w:rPr>
              <w:t xml:space="preserve"> </w:t>
            </w:r>
          </w:p>
        </w:tc>
        <w:tc>
          <w:tcPr>
            <w:tcW w:w="263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New Jersey</w:t>
            </w:r>
          </w:p>
        </w:tc>
        <w:tc>
          <w:tcPr>
            <w:tcW w:w="187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022"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669"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UHS of Hampton, Inc.</w:t>
            </w:r>
            <w:r>
              <w:rPr>
                <w:rFonts w:ascii="Times New Roman" w:hAnsi="Times New Roman"/>
                <w:color w:val="000000"/>
                <w:sz w:val="20"/>
              </w:rPr>
              <w:t xml:space="preserve"> </w:t>
            </w:r>
          </w:p>
        </w:tc>
        <w:tc>
          <w:tcPr>
            <w:tcW w:w="263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New Jersey</w:t>
            </w:r>
          </w:p>
        </w:tc>
        <w:tc>
          <w:tcPr>
            <w:tcW w:w="187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022"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669"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UHS of Hartgrove, Inc.</w:t>
            </w:r>
            <w:r>
              <w:rPr>
                <w:rFonts w:ascii="Times New Roman" w:hAnsi="Times New Roman"/>
                <w:color w:val="000000"/>
                <w:sz w:val="20"/>
              </w:rPr>
              <w:t xml:space="preserve"> </w:t>
            </w:r>
          </w:p>
        </w:tc>
        <w:tc>
          <w:tcPr>
            <w:tcW w:w="263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Illinois</w:t>
            </w:r>
          </w:p>
        </w:tc>
        <w:tc>
          <w:tcPr>
            <w:tcW w:w="187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022"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669"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UHS of Indiana, Inc.</w:t>
            </w:r>
            <w:r>
              <w:rPr>
                <w:rFonts w:ascii="Times New Roman" w:hAnsi="Times New Roman"/>
                <w:color w:val="000000"/>
                <w:sz w:val="20"/>
              </w:rPr>
              <w:t xml:space="preserve"> </w:t>
            </w:r>
          </w:p>
        </w:tc>
        <w:tc>
          <w:tcPr>
            <w:tcW w:w="263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Indiana</w:t>
            </w:r>
          </w:p>
        </w:tc>
        <w:tc>
          <w:tcPr>
            <w:tcW w:w="187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022"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669"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UHS of Kootenai River, Inc.</w:t>
            </w:r>
            <w:r>
              <w:rPr>
                <w:rFonts w:ascii="Times New Roman" w:hAnsi="Times New Roman"/>
                <w:color w:val="000000"/>
                <w:sz w:val="20"/>
              </w:rPr>
              <w:t xml:space="preserve"> </w:t>
            </w:r>
          </w:p>
        </w:tc>
        <w:tc>
          <w:tcPr>
            <w:tcW w:w="263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Delaware</w:t>
            </w:r>
          </w:p>
        </w:tc>
        <w:tc>
          <w:tcPr>
            <w:tcW w:w="187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022"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669"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UHS of Lakeside, LLC</w:t>
            </w:r>
            <w:r>
              <w:rPr>
                <w:rFonts w:ascii="Times New Roman" w:hAnsi="Times New Roman"/>
                <w:color w:val="000000"/>
                <w:sz w:val="20"/>
              </w:rPr>
              <w:t xml:space="preserve"> </w:t>
            </w:r>
          </w:p>
        </w:tc>
        <w:tc>
          <w:tcPr>
            <w:tcW w:w="263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Delaware</w:t>
            </w:r>
          </w:p>
        </w:tc>
        <w:tc>
          <w:tcPr>
            <w:tcW w:w="187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022"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669"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UHS of Lancaster, LLC</w:t>
            </w:r>
          </w:p>
        </w:tc>
        <w:tc>
          <w:tcPr>
            <w:tcW w:w="263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Pennsylvania</w:t>
            </w:r>
          </w:p>
        </w:tc>
        <w:tc>
          <w:tcPr>
            <w:tcW w:w="187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022"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669"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UHS of Laurel Heights, L.P.</w:t>
            </w:r>
            <w:r>
              <w:rPr>
                <w:rFonts w:ascii="Times New Roman" w:hAnsi="Times New Roman"/>
                <w:color w:val="000000"/>
                <w:sz w:val="20"/>
              </w:rPr>
              <w:t xml:space="preserve"> </w:t>
            </w:r>
          </w:p>
        </w:tc>
        <w:tc>
          <w:tcPr>
            <w:tcW w:w="263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Delaware</w:t>
            </w:r>
          </w:p>
        </w:tc>
        <w:tc>
          <w:tcPr>
            <w:tcW w:w="187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022"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669"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UHS of Madera, Inc.</w:t>
            </w:r>
          </w:p>
        </w:tc>
        <w:tc>
          <w:tcPr>
            <w:tcW w:w="263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Delaware</w:t>
            </w:r>
          </w:p>
        </w:tc>
        <w:tc>
          <w:tcPr>
            <w:tcW w:w="187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022"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bl>
    <w:p>
      <w:pPr>
        <w:pStyle w:val="TextBody"/>
        <w:bidi w:val="0"/>
        <w:jc w:val="left"/>
        <w:rPr>
          <w:rFonts w:ascii="Arial" w:hAnsi="Arial"/>
          <w:color w:val="000000"/>
          <w:sz w:val="22"/>
        </w:rPr>
      </w:pPr>
      <w:r>
        <w:rPr>
          <w:rFonts w:ascii="Arial" w:hAnsi="Arial"/>
          <w:color w:val="000000"/>
          <w:sz w:val="22"/>
        </w:rPr>
        <w:t>15</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472"/>
        <w:gridCol w:w="2708"/>
        <w:gridCol w:w="1939"/>
        <w:gridCol w:w="2086"/>
      </w:tblGrid>
      <w:tr>
        <w:trPr/>
        <w:tc>
          <w:tcPr>
            <w:tcW w:w="3472" w:type="dxa"/>
            <w:tcBorders/>
            <w:shd w:fill="FFFFFF" w:val="clear"/>
            <w:vAlign w:val="center"/>
          </w:tcPr>
          <w:p>
            <w:pPr>
              <w:pStyle w:val="TableContents"/>
              <w:bidi w:val="0"/>
              <w:spacing w:before="0" w:after="283"/>
              <w:jc w:val="left"/>
              <w:rPr>
                <w:sz w:val="4"/>
                <w:szCs w:val="4"/>
              </w:rPr>
            </w:pPr>
            <w:r>
              <w:rPr>
                <w:sz w:val="4"/>
                <w:szCs w:val="4"/>
              </w:rPr>
            </w:r>
          </w:p>
        </w:tc>
        <w:tc>
          <w:tcPr>
            <w:tcW w:w="2708" w:type="dxa"/>
            <w:tcBorders/>
            <w:shd w:fill="FFFFFF" w:val="clear"/>
            <w:vAlign w:val="center"/>
          </w:tcPr>
          <w:p>
            <w:pPr>
              <w:pStyle w:val="TableContents"/>
              <w:bidi w:val="0"/>
              <w:spacing w:before="0" w:after="283"/>
              <w:jc w:val="left"/>
              <w:rPr>
                <w:sz w:val="4"/>
                <w:szCs w:val="4"/>
              </w:rPr>
            </w:pPr>
            <w:r>
              <w:rPr>
                <w:sz w:val="4"/>
                <w:szCs w:val="4"/>
              </w:rPr>
            </w:r>
          </w:p>
        </w:tc>
        <w:tc>
          <w:tcPr>
            <w:tcW w:w="1939" w:type="dxa"/>
            <w:tcBorders/>
            <w:shd w:fill="FFFFFF" w:val="clear"/>
            <w:vAlign w:val="center"/>
          </w:tcPr>
          <w:p>
            <w:pPr>
              <w:pStyle w:val="TableContents"/>
              <w:bidi w:val="0"/>
              <w:spacing w:before="0" w:after="283"/>
              <w:jc w:val="left"/>
              <w:rPr>
                <w:sz w:val="4"/>
                <w:szCs w:val="4"/>
              </w:rPr>
            </w:pPr>
            <w:r>
              <w:rPr>
                <w:sz w:val="4"/>
                <w:szCs w:val="4"/>
              </w:rPr>
            </w:r>
          </w:p>
        </w:tc>
        <w:tc>
          <w:tcPr>
            <w:tcW w:w="2086" w:type="dxa"/>
            <w:tcBorders/>
            <w:shd w:fill="FFFFFF" w:val="clear"/>
            <w:vAlign w:val="center"/>
          </w:tcPr>
          <w:p>
            <w:pPr>
              <w:pStyle w:val="TableContents"/>
              <w:bidi w:val="0"/>
              <w:spacing w:before="0" w:after="283"/>
              <w:jc w:val="left"/>
              <w:rPr>
                <w:sz w:val="4"/>
                <w:szCs w:val="4"/>
              </w:rPr>
            </w:pPr>
            <w:r>
              <w:rPr>
                <w:sz w:val="4"/>
                <w:szCs w:val="4"/>
              </w:rPr>
            </w:r>
          </w:p>
        </w:tc>
      </w:tr>
      <w:tr>
        <w:trPr/>
        <w:tc>
          <w:tcPr>
            <w:tcW w:w="3472"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TableContents"/>
              <w:bidi w:val="0"/>
              <w:spacing w:before="240" w:after="240"/>
              <w:jc w:val="left"/>
              <w:rPr>
                <w:rFonts w:ascii="Arial" w:hAnsi="Arial"/>
                <w:b/>
                <w:color w:val="000000"/>
                <w:sz w:val="20"/>
              </w:rPr>
            </w:pPr>
            <w:r>
              <w:rPr>
                <w:rFonts w:ascii="Arial" w:hAnsi="Arial"/>
                <w:b/>
                <w:color w:val="000000"/>
                <w:sz w:val="20"/>
              </w:rPr>
              <w:br/>
              <w:t>Name of Issuer</w:t>
            </w:r>
          </w:p>
        </w:tc>
        <w:tc>
          <w:tcPr>
            <w:tcW w:w="2708"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240" w:after="240"/>
              <w:jc w:val="left"/>
              <w:rPr>
                <w:rFonts w:ascii="Arial" w:hAnsi="Arial"/>
                <w:b/>
                <w:color w:val="000000"/>
                <w:sz w:val="20"/>
              </w:rPr>
            </w:pPr>
            <w:r>
              <w:rPr>
                <w:rFonts w:ascii="Arial" w:hAnsi="Arial"/>
                <w:b/>
                <w:color w:val="000000"/>
                <w:sz w:val="20"/>
              </w:rPr>
              <w:t>Issuer Jurisdiction of Organization</w:t>
            </w:r>
          </w:p>
        </w:tc>
        <w:tc>
          <w:tcPr>
            <w:tcW w:w="1939"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240" w:after="240"/>
              <w:jc w:val="left"/>
              <w:rPr>
                <w:rFonts w:ascii="Arial" w:hAnsi="Arial"/>
                <w:b/>
                <w:color w:val="000000"/>
                <w:sz w:val="20"/>
              </w:rPr>
            </w:pPr>
            <w:r>
              <w:rPr>
                <w:rFonts w:ascii="Arial" w:hAnsi="Arial"/>
                <w:b/>
                <w:color w:val="000000"/>
                <w:sz w:val="20"/>
              </w:rPr>
              <w:t>Percent of Interest Owned</w:t>
            </w:r>
          </w:p>
        </w:tc>
        <w:tc>
          <w:tcPr>
            <w:tcW w:w="2086"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240" w:after="240"/>
              <w:jc w:val="left"/>
              <w:rPr>
                <w:rFonts w:ascii="Arial" w:hAnsi="Arial"/>
                <w:b/>
                <w:color w:val="000000"/>
                <w:sz w:val="20"/>
              </w:rPr>
            </w:pPr>
            <w:r>
              <w:rPr>
                <w:rFonts w:ascii="Arial" w:hAnsi="Arial"/>
                <w:b/>
                <w:color w:val="000000"/>
                <w:sz w:val="20"/>
              </w:rPr>
              <w:t>Percent of Interest Pledged</w:t>
            </w:r>
          </w:p>
        </w:tc>
      </w:tr>
      <w:tr>
        <w:trPr/>
        <w:tc>
          <w:tcPr>
            <w:tcW w:w="3472"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UHS of New Orleans, LLC</w:t>
            </w:r>
            <w:r>
              <w:rPr>
                <w:rFonts w:ascii="Times New Roman" w:hAnsi="Times New Roman"/>
                <w:color w:val="000000"/>
                <w:sz w:val="20"/>
              </w:rPr>
              <w:t xml:space="preserve"> </w:t>
            </w:r>
          </w:p>
        </w:tc>
        <w:tc>
          <w:tcPr>
            <w:tcW w:w="270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Louisiana</w:t>
            </w:r>
          </w:p>
        </w:tc>
        <w:tc>
          <w:tcPr>
            <w:tcW w:w="1939"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08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472"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UHS of No. Nevada, LLC</w:t>
            </w:r>
            <w:r>
              <w:rPr>
                <w:rFonts w:ascii="Times New Roman" w:hAnsi="Times New Roman"/>
                <w:color w:val="000000"/>
                <w:sz w:val="20"/>
              </w:rPr>
              <w:t xml:space="preserve"> </w:t>
            </w:r>
          </w:p>
        </w:tc>
        <w:tc>
          <w:tcPr>
            <w:tcW w:w="270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Nevada</w:t>
            </w:r>
          </w:p>
        </w:tc>
        <w:tc>
          <w:tcPr>
            <w:tcW w:w="1939"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08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472"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UHS of Oklahoma Receivables, L.L.C</w:t>
            </w:r>
            <w:r>
              <w:rPr>
                <w:rFonts w:ascii="Times New Roman" w:hAnsi="Times New Roman"/>
                <w:color w:val="000000"/>
                <w:sz w:val="20"/>
              </w:rPr>
              <w:t xml:space="preserve"> </w:t>
            </w:r>
          </w:p>
        </w:tc>
        <w:tc>
          <w:tcPr>
            <w:tcW w:w="270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Delaware</w:t>
            </w:r>
          </w:p>
        </w:tc>
        <w:tc>
          <w:tcPr>
            <w:tcW w:w="1939"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08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472"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UHS of Oklahoma, LLC</w:t>
            </w:r>
          </w:p>
        </w:tc>
        <w:tc>
          <w:tcPr>
            <w:tcW w:w="270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Oklahoma</w:t>
            </w:r>
          </w:p>
        </w:tc>
        <w:tc>
          <w:tcPr>
            <w:tcW w:w="1939"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08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472"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UHS of Parkwood, Inc.</w:t>
            </w:r>
            <w:r>
              <w:rPr>
                <w:rFonts w:ascii="Times New Roman" w:hAnsi="Times New Roman"/>
                <w:color w:val="000000"/>
                <w:sz w:val="20"/>
              </w:rPr>
              <w:t xml:space="preserve"> </w:t>
            </w:r>
          </w:p>
        </w:tc>
        <w:tc>
          <w:tcPr>
            <w:tcW w:w="270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Delaware</w:t>
            </w:r>
          </w:p>
        </w:tc>
        <w:tc>
          <w:tcPr>
            <w:tcW w:w="1939"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08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472"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UHS of Peachford, L.P.</w:t>
            </w:r>
            <w:r>
              <w:rPr>
                <w:rFonts w:ascii="Times New Roman" w:hAnsi="Times New Roman"/>
                <w:color w:val="000000"/>
                <w:sz w:val="20"/>
              </w:rPr>
              <w:t xml:space="preserve"> </w:t>
            </w:r>
          </w:p>
        </w:tc>
        <w:tc>
          <w:tcPr>
            <w:tcW w:w="270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Delaware</w:t>
            </w:r>
          </w:p>
        </w:tc>
        <w:tc>
          <w:tcPr>
            <w:tcW w:w="1939"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08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472"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UHS of Pennsylvania, Inc.</w:t>
            </w:r>
            <w:r>
              <w:rPr>
                <w:rFonts w:ascii="Times New Roman" w:hAnsi="Times New Roman"/>
                <w:color w:val="000000"/>
                <w:sz w:val="20"/>
              </w:rPr>
              <w:t xml:space="preserve"> </w:t>
            </w:r>
          </w:p>
        </w:tc>
        <w:tc>
          <w:tcPr>
            <w:tcW w:w="270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Pennsylvania</w:t>
            </w:r>
          </w:p>
        </w:tc>
        <w:tc>
          <w:tcPr>
            <w:tcW w:w="1939"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08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472"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UHS of Phoenix, LLC</w:t>
            </w:r>
          </w:p>
        </w:tc>
        <w:tc>
          <w:tcPr>
            <w:tcW w:w="270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Delaware</w:t>
            </w:r>
          </w:p>
        </w:tc>
        <w:tc>
          <w:tcPr>
            <w:tcW w:w="1939"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08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472"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UHS of Provo Canyon, Inc.</w:t>
            </w:r>
            <w:r>
              <w:rPr>
                <w:rFonts w:ascii="Times New Roman" w:hAnsi="Times New Roman"/>
                <w:color w:val="000000"/>
                <w:sz w:val="20"/>
              </w:rPr>
              <w:t xml:space="preserve"> </w:t>
            </w:r>
          </w:p>
        </w:tc>
        <w:tc>
          <w:tcPr>
            <w:tcW w:w="270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Delaware</w:t>
            </w:r>
          </w:p>
        </w:tc>
        <w:tc>
          <w:tcPr>
            <w:tcW w:w="1939"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08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472"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UHS of Puerto Rico, Inc.</w:t>
            </w:r>
            <w:r>
              <w:rPr>
                <w:rFonts w:ascii="Times New Roman" w:hAnsi="Times New Roman"/>
                <w:color w:val="000000"/>
                <w:sz w:val="20"/>
              </w:rPr>
              <w:t xml:space="preserve"> </w:t>
            </w:r>
          </w:p>
        </w:tc>
        <w:tc>
          <w:tcPr>
            <w:tcW w:w="270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Delaware</w:t>
            </w:r>
          </w:p>
        </w:tc>
        <w:tc>
          <w:tcPr>
            <w:tcW w:w="1939"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08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472"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UHS of Ridge, LLC</w:t>
            </w:r>
            <w:r>
              <w:rPr>
                <w:rFonts w:ascii="Times New Roman" w:hAnsi="Times New Roman"/>
                <w:color w:val="000000"/>
                <w:sz w:val="20"/>
              </w:rPr>
              <w:t xml:space="preserve"> </w:t>
            </w:r>
          </w:p>
        </w:tc>
        <w:tc>
          <w:tcPr>
            <w:tcW w:w="270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Delaware</w:t>
            </w:r>
          </w:p>
        </w:tc>
        <w:tc>
          <w:tcPr>
            <w:tcW w:w="1939"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08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472"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UHS of River Parishes, Inc.</w:t>
            </w:r>
            <w:r>
              <w:rPr>
                <w:rFonts w:ascii="Times New Roman" w:hAnsi="Times New Roman"/>
                <w:color w:val="000000"/>
                <w:sz w:val="20"/>
              </w:rPr>
              <w:t xml:space="preserve"> </w:t>
            </w:r>
          </w:p>
        </w:tc>
        <w:tc>
          <w:tcPr>
            <w:tcW w:w="270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Louisiana</w:t>
            </w:r>
          </w:p>
        </w:tc>
        <w:tc>
          <w:tcPr>
            <w:tcW w:w="1939"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08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472"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UHS of Rockford, LLC</w:t>
            </w:r>
            <w:r>
              <w:rPr>
                <w:rFonts w:ascii="Times New Roman" w:hAnsi="Times New Roman"/>
                <w:color w:val="000000"/>
                <w:sz w:val="20"/>
              </w:rPr>
              <w:t xml:space="preserve"> </w:t>
            </w:r>
          </w:p>
        </w:tc>
        <w:tc>
          <w:tcPr>
            <w:tcW w:w="270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Delaware</w:t>
            </w:r>
          </w:p>
        </w:tc>
        <w:tc>
          <w:tcPr>
            <w:tcW w:w="1939"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08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472"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UHS of Salt Lake City, L.L.C.</w:t>
            </w:r>
            <w:r>
              <w:rPr>
                <w:rFonts w:ascii="Times New Roman" w:hAnsi="Times New Roman"/>
                <w:color w:val="000000"/>
                <w:sz w:val="20"/>
              </w:rPr>
              <w:t xml:space="preserve"> </w:t>
            </w:r>
          </w:p>
        </w:tc>
        <w:tc>
          <w:tcPr>
            <w:tcW w:w="270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Delaware</w:t>
            </w:r>
          </w:p>
        </w:tc>
        <w:tc>
          <w:tcPr>
            <w:tcW w:w="1939"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08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472"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UHS of Savannah, L.L.C.</w:t>
            </w:r>
            <w:r>
              <w:rPr>
                <w:rFonts w:ascii="Times New Roman" w:hAnsi="Times New Roman"/>
                <w:color w:val="000000"/>
                <w:sz w:val="20"/>
              </w:rPr>
              <w:t xml:space="preserve"> </w:t>
            </w:r>
          </w:p>
        </w:tc>
        <w:tc>
          <w:tcPr>
            <w:tcW w:w="270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Delaware</w:t>
            </w:r>
          </w:p>
        </w:tc>
        <w:tc>
          <w:tcPr>
            <w:tcW w:w="1939"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08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472"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UHS of Spring Mountain, Inc.</w:t>
            </w:r>
            <w:r>
              <w:rPr>
                <w:rFonts w:ascii="Times New Roman" w:hAnsi="Times New Roman"/>
                <w:color w:val="000000"/>
                <w:sz w:val="20"/>
              </w:rPr>
              <w:t xml:space="preserve"> </w:t>
            </w:r>
          </w:p>
        </w:tc>
        <w:tc>
          <w:tcPr>
            <w:tcW w:w="270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Delaware</w:t>
            </w:r>
          </w:p>
        </w:tc>
        <w:tc>
          <w:tcPr>
            <w:tcW w:w="1939"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08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472"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UHS of Springwoods, L.L.C.</w:t>
            </w:r>
            <w:r>
              <w:rPr>
                <w:rFonts w:ascii="Times New Roman" w:hAnsi="Times New Roman"/>
                <w:color w:val="000000"/>
                <w:sz w:val="20"/>
              </w:rPr>
              <w:t xml:space="preserve"> </w:t>
            </w:r>
          </w:p>
        </w:tc>
        <w:tc>
          <w:tcPr>
            <w:tcW w:w="270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Delaware</w:t>
            </w:r>
          </w:p>
        </w:tc>
        <w:tc>
          <w:tcPr>
            <w:tcW w:w="1939"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08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472"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UHS of SummitRidge, L.L.C.</w:t>
            </w:r>
            <w:r>
              <w:rPr>
                <w:rFonts w:ascii="Times New Roman" w:hAnsi="Times New Roman"/>
                <w:color w:val="000000"/>
                <w:sz w:val="20"/>
              </w:rPr>
              <w:t xml:space="preserve"> </w:t>
            </w:r>
          </w:p>
        </w:tc>
        <w:tc>
          <w:tcPr>
            <w:tcW w:w="270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Delaware</w:t>
            </w:r>
          </w:p>
        </w:tc>
        <w:tc>
          <w:tcPr>
            <w:tcW w:w="1939"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08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472"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UHS of Sutton, Inc.</w:t>
            </w:r>
            <w:r>
              <w:rPr>
                <w:rFonts w:ascii="Times New Roman" w:hAnsi="Times New Roman"/>
                <w:color w:val="000000"/>
                <w:sz w:val="20"/>
              </w:rPr>
              <w:t xml:space="preserve"> </w:t>
            </w:r>
          </w:p>
        </w:tc>
        <w:tc>
          <w:tcPr>
            <w:tcW w:w="270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Delaware</w:t>
            </w:r>
          </w:p>
        </w:tc>
        <w:tc>
          <w:tcPr>
            <w:tcW w:w="1939"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08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472"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UHS of Talbot, L.P.</w:t>
            </w:r>
            <w:r>
              <w:rPr>
                <w:rFonts w:ascii="Times New Roman" w:hAnsi="Times New Roman"/>
                <w:color w:val="000000"/>
                <w:sz w:val="20"/>
              </w:rPr>
              <w:t xml:space="preserve"> </w:t>
            </w:r>
          </w:p>
        </w:tc>
        <w:tc>
          <w:tcPr>
            <w:tcW w:w="270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Delaware</w:t>
            </w:r>
          </w:p>
        </w:tc>
        <w:tc>
          <w:tcPr>
            <w:tcW w:w="1939"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08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472"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UHS of Texoma, Inc.</w:t>
            </w:r>
            <w:r>
              <w:rPr>
                <w:rFonts w:ascii="Times New Roman" w:hAnsi="Times New Roman"/>
                <w:color w:val="000000"/>
                <w:sz w:val="20"/>
              </w:rPr>
              <w:t xml:space="preserve"> </w:t>
            </w:r>
          </w:p>
        </w:tc>
        <w:tc>
          <w:tcPr>
            <w:tcW w:w="270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Delaware</w:t>
            </w:r>
          </w:p>
        </w:tc>
        <w:tc>
          <w:tcPr>
            <w:tcW w:w="1939"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08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472"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UHS of Timberlawn, Inc.</w:t>
            </w:r>
            <w:r>
              <w:rPr>
                <w:rFonts w:ascii="Times New Roman" w:hAnsi="Times New Roman"/>
                <w:color w:val="000000"/>
                <w:sz w:val="20"/>
              </w:rPr>
              <w:t xml:space="preserve"> </w:t>
            </w:r>
          </w:p>
        </w:tc>
        <w:tc>
          <w:tcPr>
            <w:tcW w:w="270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Texas</w:t>
            </w:r>
          </w:p>
        </w:tc>
        <w:tc>
          <w:tcPr>
            <w:tcW w:w="1939"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08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472"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UHS of Timpanogos, Inc.</w:t>
            </w:r>
            <w:r>
              <w:rPr>
                <w:rFonts w:ascii="Times New Roman" w:hAnsi="Times New Roman"/>
                <w:color w:val="000000"/>
                <w:sz w:val="20"/>
              </w:rPr>
              <w:t xml:space="preserve"> </w:t>
            </w:r>
          </w:p>
        </w:tc>
        <w:tc>
          <w:tcPr>
            <w:tcW w:w="270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Delaware</w:t>
            </w:r>
          </w:p>
        </w:tc>
        <w:tc>
          <w:tcPr>
            <w:tcW w:w="1939"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08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472"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UHS of Tuscon, LLC</w:t>
            </w:r>
          </w:p>
        </w:tc>
        <w:tc>
          <w:tcPr>
            <w:tcW w:w="270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Delaware</w:t>
            </w:r>
          </w:p>
        </w:tc>
        <w:tc>
          <w:tcPr>
            <w:tcW w:w="1939"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08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472"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UHS of Westwood Pembroke, Inc.</w:t>
            </w:r>
          </w:p>
        </w:tc>
        <w:tc>
          <w:tcPr>
            <w:tcW w:w="270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Massachusetts</w:t>
            </w:r>
          </w:p>
        </w:tc>
        <w:tc>
          <w:tcPr>
            <w:tcW w:w="1939"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08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472"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UHS of Wyoming, Inc.</w:t>
            </w:r>
            <w:r>
              <w:rPr>
                <w:rFonts w:ascii="Times New Roman" w:hAnsi="Times New Roman"/>
                <w:color w:val="000000"/>
                <w:sz w:val="20"/>
              </w:rPr>
              <w:t xml:space="preserve"> </w:t>
            </w:r>
          </w:p>
        </w:tc>
        <w:tc>
          <w:tcPr>
            <w:tcW w:w="270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Delaware</w:t>
            </w:r>
          </w:p>
        </w:tc>
        <w:tc>
          <w:tcPr>
            <w:tcW w:w="1939"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08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472"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UHS-Corona, Inc.</w:t>
            </w:r>
            <w:r>
              <w:rPr>
                <w:rFonts w:ascii="Times New Roman" w:hAnsi="Times New Roman"/>
                <w:color w:val="000000"/>
                <w:sz w:val="20"/>
              </w:rPr>
              <w:t xml:space="preserve"> </w:t>
            </w:r>
          </w:p>
        </w:tc>
        <w:tc>
          <w:tcPr>
            <w:tcW w:w="270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Delaware</w:t>
            </w:r>
          </w:p>
        </w:tc>
        <w:tc>
          <w:tcPr>
            <w:tcW w:w="1939"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08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472"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UHS-Lakeland Medical Center, L.L.C.</w:t>
            </w:r>
            <w:r>
              <w:rPr>
                <w:rFonts w:ascii="Times New Roman" w:hAnsi="Times New Roman"/>
                <w:color w:val="000000"/>
                <w:sz w:val="20"/>
              </w:rPr>
              <w:t xml:space="preserve"> </w:t>
            </w:r>
          </w:p>
        </w:tc>
        <w:tc>
          <w:tcPr>
            <w:tcW w:w="270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Delaware</w:t>
            </w:r>
          </w:p>
        </w:tc>
        <w:tc>
          <w:tcPr>
            <w:tcW w:w="1939"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08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472"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UHS Sub III, LLC</w:t>
            </w:r>
          </w:p>
        </w:tc>
        <w:tc>
          <w:tcPr>
            <w:tcW w:w="270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Delaware</w:t>
            </w:r>
          </w:p>
        </w:tc>
        <w:tc>
          <w:tcPr>
            <w:tcW w:w="1939"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08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472"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UHSD, L.L.C</w:t>
            </w:r>
            <w:r>
              <w:rPr>
                <w:rFonts w:ascii="Times New Roman" w:hAnsi="Times New Roman"/>
                <w:color w:val="000000"/>
                <w:sz w:val="20"/>
              </w:rPr>
              <w:t xml:space="preserve"> </w:t>
            </w:r>
          </w:p>
        </w:tc>
        <w:tc>
          <w:tcPr>
            <w:tcW w:w="270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Nevada</w:t>
            </w:r>
          </w:p>
        </w:tc>
        <w:tc>
          <w:tcPr>
            <w:tcW w:w="1939"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08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472"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UHSF, L.L.C</w:t>
            </w:r>
            <w:r>
              <w:rPr>
                <w:rFonts w:ascii="Times New Roman" w:hAnsi="Times New Roman"/>
                <w:color w:val="000000"/>
                <w:sz w:val="20"/>
              </w:rPr>
              <w:t xml:space="preserve"> </w:t>
            </w:r>
          </w:p>
        </w:tc>
        <w:tc>
          <w:tcPr>
            <w:tcW w:w="270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Delaware</w:t>
            </w:r>
          </w:p>
        </w:tc>
        <w:tc>
          <w:tcPr>
            <w:tcW w:w="1939"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08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472"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UHSL, L.L.C</w:t>
            </w:r>
            <w:r>
              <w:rPr>
                <w:rFonts w:ascii="Times New Roman" w:hAnsi="Times New Roman"/>
                <w:color w:val="000000"/>
                <w:sz w:val="20"/>
              </w:rPr>
              <w:t xml:space="preserve"> </w:t>
            </w:r>
          </w:p>
        </w:tc>
        <w:tc>
          <w:tcPr>
            <w:tcW w:w="270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Nevada</w:t>
            </w:r>
          </w:p>
        </w:tc>
        <w:tc>
          <w:tcPr>
            <w:tcW w:w="1939"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08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472"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UK Acquisition No. 6, Ltd</w:t>
            </w:r>
          </w:p>
        </w:tc>
        <w:tc>
          <w:tcPr>
            <w:tcW w:w="270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United Kingdom</w:t>
            </w:r>
          </w:p>
        </w:tc>
        <w:tc>
          <w:tcPr>
            <w:tcW w:w="1939"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08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65</w:t>
            </w:r>
          </w:p>
        </w:tc>
      </w:tr>
      <w:tr>
        <w:trPr/>
        <w:tc>
          <w:tcPr>
            <w:tcW w:w="3472"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United Healthcare of Hardin, Inc.</w:t>
            </w:r>
            <w:r>
              <w:rPr>
                <w:rFonts w:ascii="Times New Roman" w:hAnsi="Times New Roman"/>
                <w:color w:val="000000"/>
                <w:sz w:val="20"/>
              </w:rPr>
              <w:t xml:space="preserve"> </w:t>
            </w:r>
          </w:p>
        </w:tc>
        <w:tc>
          <w:tcPr>
            <w:tcW w:w="270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Tennessee</w:t>
            </w:r>
          </w:p>
        </w:tc>
        <w:tc>
          <w:tcPr>
            <w:tcW w:w="1939"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08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472"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Universal Community Behavioral Health, Inc.</w:t>
            </w:r>
            <w:r>
              <w:rPr>
                <w:rFonts w:ascii="Times New Roman" w:hAnsi="Times New Roman"/>
                <w:color w:val="000000"/>
                <w:sz w:val="20"/>
              </w:rPr>
              <w:t xml:space="preserve"> </w:t>
            </w:r>
          </w:p>
        </w:tc>
        <w:tc>
          <w:tcPr>
            <w:tcW w:w="270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Pennsylvania</w:t>
            </w:r>
          </w:p>
        </w:tc>
        <w:tc>
          <w:tcPr>
            <w:tcW w:w="1939"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08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472"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Universal HMO, Inc.</w:t>
            </w:r>
            <w:r>
              <w:rPr>
                <w:rFonts w:ascii="Times New Roman" w:hAnsi="Times New Roman"/>
                <w:color w:val="000000"/>
                <w:sz w:val="20"/>
              </w:rPr>
              <w:t xml:space="preserve"> </w:t>
            </w:r>
          </w:p>
        </w:tc>
        <w:tc>
          <w:tcPr>
            <w:tcW w:w="270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Nevada</w:t>
            </w:r>
          </w:p>
        </w:tc>
        <w:tc>
          <w:tcPr>
            <w:tcW w:w="1939"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08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472"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Universal Health Network, Inc.</w:t>
            </w:r>
            <w:r>
              <w:rPr>
                <w:rFonts w:ascii="Times New Roman" w:hAnsi="Times New Roman"/>
                <w:color w:val="000000"/>
                <w:sz w:val="20"/>
              </w:rPr>
              <w:t xml:space="preserve"> </w:t>
            </w:r>
          </w:p>
        </w:tc>
        <w:tc>
          <w:tcPr>
            <w:tcW w:w="270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Nevada</w:t>
            </w:r>
          </w:p>
        </w:tc>
        <w:tc>
          <w:tcPr>
            <w:tcW w:w="1939"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08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472"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Universal Health Recovery Centers, Inc.</w:t>
            </w:r>
            <w:r>
              <w:rPr>
                <w:rFonts w:ascii="Times New Roman" w:hAnsi="Times New Roman"/>
                <w:color w:val="000000"/>
                <w:sz w:val="20"/>
              </w:rPr>
              <w:t xml:space="preserve"> </w:t>
            </w:r>
          </w:p>
        </w:tc>
        <w:tc>
          <w:tcPr>
            <w:tcW w:w="270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Pennsylvania</w:t>
            </w:r>
          </w:p>
        </w:tc>
        <w:tc>
          <w:tcPr>
            <w:tcW w:w="1939"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08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472"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Universal Health Services of Cedar Hill, Inc.</w:t>
            </w:r>
            <w:r>
              <w:rPr>
                <w:rFonts w:ascii="Times New Roman" w:hAnsi="Times New Roman"/>
                <w:color w:val="000000"/>
                <w:sz w:val="20"/>
              </w:rPr>
              <w:t xml:space="preserve"> </w:t>
            </w:r>
          </w:p>
        </w:tc>
        <w:tc>
          <w:tcPr>
            <w:tcW w:w="270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Texas</w:t>
            </w:r>
          </w:p>
        </w:tc>
        <w:tc>
          <w:tcPr>
            <w:tcW w:w="1939"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08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472"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Universal Health Services of Palmdale, Inc.</w:t>
            </w:r>
            <w:r>
              <w:rPr>
                <w:rFonts w:ascii="Times New Roman" w:hAnsi="Times New Roman"/>
                <w:color w:val="000000"/>
                <w:sz w:val="20"/>
              </w:rPr>
              <w:t xml:space="preserve"> </w:t>
            </w:r>
          </w:p>
        </w:tc>
        <w:tc>
          <w:tcPr>
            <w:tcW w:w="270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Delaware</w:t>
            </w:r>
          </w:p>
        </w:tc>
        <w:tc>
          <w:tcPr>
            <w:tcW w:w="1939"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08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472"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Universal Health Services of Rancho Springs, Inc.</w:t>
            </w:r>
            <w:r>
              <w:rPr>
                <w:rFonts w:ascii="Times New Roman" w:hAnsi="Times New Roman"/>
                <w:color w:val="000000"/>
                <w:sz w:val="20"/>
              </w:rPr>
              <w:t xml:space="preserve"> </w:t>
            </w:r>
          </w:p>
        </w:tc>
        <w:tc>
          <w:tcPr>
            <w:tcW w:w="270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California</w:t>
            </w:r>
          </w:p>
        </w:tc>
        <w:tc>
          <w:tcPr>
            <w:tcW w:w="1939"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08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472"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Universal Treatment Centers, Inc.</w:t>
            </w:r>
            <w:r>
              <w:rPr>
                <w:rFonts w:ascii="Times New Roman" w:hAnsi="Times New Roman"/>
                <w:color w:val="000000"/>
                <w:sz w:val="20"/>
              </w:rPr>
              <w:t xml:space="preserve"> </w:t>
            </w:r>
          </w:p>
        </w:tc>
        <w:tc>
          <w:tcPr>
            <w:tcW w:w="270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Delaware</w:t>
            </w:r>
          </w:p>
        </w:tc>
        <w:tc>
          <w:tcPr>
            <w:tcW w:w="1939"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08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472"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University Behavioral, LLC</w:t>
            </w:r>
          </w:p>
        </w:tc>
        <w:tc>
          <w:tcPr>
            <w:tcW w:w="270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Florida</w:t>
            </w:r>
          </w:p>
        </w:tc>
        <w:tc>
          <w:tcPr>
            <w:tcW w:w="1939"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08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472"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University Behavioral Health of El Paso, LLC</w:t>
            </w:r>
          </w:p>
        </w:tc>
        <w:tc>
          <w:tcPr>
            <w:tcW w:w="270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Delaware</w:t>
            </w:r>
          </w:p>
        </w:tc>
        <w:tc>
          <w:tcPr>
            <w:tcW w:w="1939"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08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472"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Valle Vista Hospital Partners, LLC</w:t>
            </w:r>
          </w:p>
        </w:tc>
        <w:tc>
          <w:tcPr>
            <w:tcW w:w="270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Tennessee</w:t>
            </w:r>
          </w:p>
        </w:tc>
        <w:tc>
          <w:tcPr>
            <w:tcW w:w="1939"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08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472"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Valle Vista, LLC</w:t>
            </w:r>
          </w:p>
        </w:tc>
        <w:tc>
          <w:tcPr>
            <w:tcW w:w="270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Delaware</w:t>
            </w:r>
          </w:p>
        </w:tc>
        <w:tc>
          <w:tcPr>
            <w:tcW w:w="1939"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08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472"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Valley Health System LLC</w:t>
            </w:r>
            <w:r>
              <w:rPr>
                <w:rFonts w:ascii="Times New Roman" w:hAnsi="Times New Roman"/>
                <w:color w:val="000000"/>
                <w:sz w:val="20"/>
              </w:rPr>
              <w:t xml:space="preserve"> </w:t>
            </w:r>
          </w:p>
        </w:tc>
        <w:tc>
          <w:tcPr>
            <w:tcW w:w="270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Delaware</w:t>
            </w:r>
          </w:p>
        </w:tc>
        <w:tc>
          <w:tcPr>
            <w:tcW w:w="1939"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08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472"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Valley Hospital Medical Center, Inc.</w:t>
            </w:r>
            <w:r>
              <w:rPr>
                <w:rFonts w:ascii="Times New Roman" w:hAnsi="Times New Roman"/>
                <w:color w:val="000000"/>
                <w:sz w:val="20"/>
              </w:rPr>
              <w:t xml:space="preserve"> </w:t>
            </w:r>
          </w:p>
        </w:tc>
        <w:tc>
          <w:tcPr>
            <w:tcW w:w="270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Nevada</w:t>
            </w:r>
          </w:p>
        </w:tc>
        <w:tc>
          <w:tcPr>
            <w:tcW w:w="1939"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08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bl>
    <w:p>
      <w:pPr>
        <w:pStyle w:val="TextBody"/>
        <w:bidi w:val="0"/>
        <w:jc w:val="left"/>
        <w:rPr>
          <w:rFonts w:ascii="Arial" w:hAnsi="Arial"/>
          <w:color w:val="000000"/>
          <w:sz w:val="22"/>
        </w:rPr>
      </w:pPr>
      <w:r>
        <w:rPr>
          <w:rFonts w:ascii="Arial" w:hAnsi="Arial"/>
          <w:color w:val="000000"/>
          <w:sz w:val="22"/>
        </w:rPr>
        <w:t>16</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223"/>
        <w:gridCol w:w="2773"/>
        <w:gridCol w:w="2030"/>
        <w:gridCol w:w="2179"/>
      </w:tblGrid>
      <w:tr>
        <w:trPr/>
        <w:tc>
          <w:tcPr>
            <w:tcW w:w="3223" w:type="dxa"/>
            <w:tcBorders/>
            <w:shd w:fill="FFFFFF" w:val="clear"/>
            <w:vAlign w:val="center"/>
          </w:tcPr>
          <w:p>
            <w:pPr>
              <w:pStyle w:val="TableContents"/>
              <w:bidi w:val="0"/>
              <w:spacing w:before="0" w:after="283"/>
              <w:jc w:val="left"/>
              <w:rPr>
                <w:sz w:val="4"/>
                <w:szCs w:val="4"/>
              </w:rPr>
            </w:pPr>
            <w:r>
              <w:rPr>
                <w:sz w:val="4"/>
                <w:szCs w:val="4"/>
              </w:rPr>
            </w:r>
          </w:p>
        </w:tc>
        <w:tc>
          <w:tcPr>
            <w:tcW w:w="2773" w:type="dxa"/>
            <w:tcBorders/>
            <w:shd w:fill="FFFFFF" w:val="clear"/>
            <w:vAlign w:val="center"/>
          </w:tcPr>
          <w:p>
            <w:pPr>
              <w:pStyle w:val="TableContents"/>
              <w:bidi w:val="0"/>
              <w:spacing w:before="0" w:after="283"/>
              <w:jc w:val="left"/>
              <w:rPr>
                <w:sz w:val="4"/>
                <w:szCs w:val="4"/>
              </w:rPr>
            </w:pPr>
            <w:r>
              <w:rPr>
                <w:sz w:val="4"/>
                <w:szCs w:val="4"/>
              </w:rPr>
            </w:r>
          </w:p>
        </w:tc>
        <w:tc>
          <w:tcPr>
            <w:tcW w:w="2030" w:type="dxa"/>
            <w:tcBorders/>
            <w:shd w:fill="FFFFFF" w:val="clear"/>
            <w:vAlign w:val="center"/>
          </w:tcPr>
          <w:p>
            <w:pPr>
              <w:pStyle w:val="TableContents"/>
              <w:bidi w:val="0"/>
              <w:spacing w:before="0" w:after="283"/>
              <w:jc w:val="left"/>
              <w:rPr>
                <w:sz w:val="4"/>
                <w:szCs w:val="4"/>
              </w:rPr>
            </w:pPr>
            <w:r>
              <w:rPr>
                <w:sz w:val="4"/>
                <w:szCs w:val="4"/>
              </w:rPr>
            </w:r>
          </w:p>
        </w:tc>
        <w:tc>
          <w:tcPr>
            <w:tcW w:w="2179" w:type="dxa"/>
            <w:tcBorders/>
            <w:shd w:fill="FFFFFF" w:val="clear"/>
            <w:vAlign w:val="center"/>
          </w:tcPr>
          <w:p>
            <w:pPr>
              <w:pStyle w:val="TableContents"/>
              <w:bidi w:val="0"/>
              <w:spacing w:before="0" w:after="283"/>
              <w:jc w:val="left"/>
              <w:rPr>
                <w:sz w:val="4"/>
                <w:szCs w:val="4"/>
              </w:rPr>
            </w:pPr>
            <w:r>
              <w:rPr>
                <w:sz w:val="4"/>
                <w:szCs w:val="4"/>
              </w:rPr>
            </w:r>
          </w:p>
        </w:tc>
      </w:tr>
      <w:tr>
        <w:trPr/>
        <w:tc>
          <w:tcPr>
            <w:tcW w:w="3223"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TableContents"/>
              <w:bidi w:val="0"/>
              <w:spacing w:before="240" w:after="240"/>
              <w:jc w:val="left"/>
              <w:rPr>
                <w:rFonts w:ascii="Arial" w:hAnsi="Arial"/>
                <w:b/>
                <w:color w:val="000000"/>
                <w:sz w:val="20"/>
              </w:rPr>
            </w:pPr>
            <w:r>
              <w:rPr>
                <w:rFonts w:ascii="Arial" w:hAnsi="Arial"/>
                <w:b/>
                <w:color w:val="000000"/>
                <w:sz w:val="20"/>
              </w:rPr>
              <w:br/>
              <w:t>Name of Issuer</w:t>
            </w:r>
          </w:p>
        </w:tc>
        <w:tc>
          <w:tcPr>
            <w:tcW w:w="2773"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240" w:after="240"/>
              <w:jc w:val="left"/>
              <w:rPr>
                <w:rFonts w:ascii="Arial" w:hAnsi="Arial"/>
                <w:b/>
                <w:color w:val="000000"/>
                <w:sz w:val="20"/>
              </w:rPr>
            </w:pPr>
            <w:r>
              <w:rPr>
                <w:rFonts w:ascii="Arial" w:hAnsi="Arial"/>
                <w:b/>
                <w:color w:val="000000"/>
                <w:sz w:val="20"/>
              </w:rPr>
              <w:t>Issuer Jurisdiction of Organization</w:t>
            </w:r>
          </w:p>
        </w:tc>
        <w:tc>
          <w:tcPr>
            <w:tcW w:w="2030"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240" w:after="240"/>
              <w:jc w:val="left"/>
              <w:rPr>
                <w:rFonts w:ascii="Arial" w:hAnsi="Arial"/>
                <w:b/>
                <w:color w:val="000000"/>
                <w:sz w:val="20"/>
              </w:rPr>
            </w:pPr>
            <w:r>
              <w:rPr>
                <w:rFonts w:ascii="Arial" w:hAnsi="Arial"/>
                <w:b/>
                <w:color w:val="000000"/>
                <w:sz w:val="20"/>
              </w:rPr>
              <w:t>Percent of Interest Owned</w:t>
            </w:r>
          </w:p>
        </w:tc>
        <w:tc>
          <w:tcPr>
            <w:tcW w:w="2179"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240" w:after="240"/>
              <w:jc w:val="left"/>
              <w:rPr>
                <w:rFonts w:ascii="Arial" w:hAnsi="Arial"/>
                <w:b/>
                <w:color w:val="000000"/>
                <w:sz w:val="20"/>
              </w:rPr>
            </w:pPr>
            <w:r>
              <w:rPr>
                <w:rFonts w:ascii="Arial" w:hAnsi="Arial"/>
                <w:b/>
                <w:color w:val="000000"/>
                <w:sz w:val="20"/>
              </w:rPr>
              <w:t>Percent of Interest Pledged</w:t>
            </w:r>
          </w:p>
        </w:tc>
      </w:tr>
      <w:tr>
        <w:trPr/>
        <w:tc>
          <w:tcPr>
            <w:tcW w:w="3223"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Virgin Islands Behavioral Services, Inc.</w:t>
            </w:r>
          </w:p>
        </w:tc>
        <w:tc>
          <w:tcPr>
            <w:tcW w:w="277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Virginia</w:t>
            </w:r>
          </w:p>
        </w:tc>
        <w:tc>
          <w:tcPr>
            <w:tcW w:w="2030"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179"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223"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Vista Diagnostic Center, L.L.C.</w:t>
            </w:r>
            <w:r>
              <w:rPr>
                <w:rFonts w:ascii="Times New Roman" w:hAnsi="Times New Roman"/>
                <w:color w:val="000000"/>
                <w:sz w:val="20"/>
              </w:rPr>
              <w:t xml:space="preserve"> </w:t>
            </w:r>
          </w:p>
        </w:tc>
        <w:tc>
          <w:tcPr>
            <w:tcW w:w="277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Nevada</w:t>
            </w:r>
          </w:p>
        </w:tc>
        <w:tc>
          <w:tcPr>
            <w:tcW w:w="2030"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179"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223"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Wekiva Springs Center, LLC</w:t>
            </w:r>
          </w:p>
        </w:tc>
        <w:tc>
          <w:tcPr>
            <w:tcW w:w="277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Delaware</w:t>
            </w:r>
          </w:p>
        </w:tc>
        <w:tc>
          <w:tcPr>
            <w:tcW w:w="2030"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179"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223"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Wellington Physician Alliances, Inc.</w:t>
            </w:r>
          </w:p>
        </w:tc>
        <w:tc>
          <w:tcPr>
            <w:tcW w:w="277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Florida</w:t>
            </w:r>
          </w:p>
        </w:tc>
        <w:tc>
          <w:tcPr>
            <w:tcW w:w="2030"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179"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223"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Wellington Regional Medical Center, LLC</w:t>
            </w:r>
          </w:p>
        </w:tc>
        <w:tc>
          <w:tcPr>
            <w:tcW w:w="277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Florida</w:t>
            </w:r>
          </w:p>
        </w:tc>
        <w:tc>
          <w:tcPr>
            <w:tcW w:w="2030"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179"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223"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Wellstone Holdings, LLC</w:t>
            </w:r>
          </w:p>
        </w:tc>
        <w:tc>
          <w:tcPr>
            <w:tcW w:w="277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Delaware</w:t>
            </w:r>
          </w:p>
        </w:tc>
        <w:tc>
          <w:tcPr>
            <w:tcW w:w="2030"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179"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223"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Wellstone Regional Hospital Acquisition, LLC</w:t>
            </w:r>
          </w:p>
        </w:tc>
        <w:tc>
          <w:tcPr>
            <w:tcW w:w="277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Indiana</w:t>
            </w:r>
          </w:p>
        </w:tc>
        <w:tc>
          <w:tcPr>
            <w:tcW w:w="2030"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98</w:t>
            </w:r>
          </w:p>
        </w:tc>
        <w:tc>
          <w:tcPr>
            <w:tcW w:w="2179"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98</w:t>
            </w:r>
          </w:p>
        </w:tc>
      </w:tr>
      <w:tr>
        <w:trPr/>
        <w:tc>
          <w:tcPr>
            <w:tcW w:w="3223"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West Church Partnership</w:t>
            </w:r>
          </w:p>
        </w:tc>
        <w:tc>
          <w:tcPr>
            <w:tcW w:w="277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Illinois</w:t>
            </w:r>
          </w:p>
        </w:tc>
        <w:tc>
          <w:tcPr>
            <w:tcW w:w="2030"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179"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223"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West Oaks Real Estate, L.P.</w:t>
            </w:r>
          </w:p>
        </w:tc>
        <w:tc>
          <w:tcPr>
            <w:tcW w:w="277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Texas</w:t>
            </w:r>
          </w:p>
        </w:tc>
        <w:tc>
          <w:tcPr>
            <w:tcW w:w="2030"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99</w:t>
            </w:r>
          </w:p>
        </w:tc>
        <w:tc>
          <w:tcPr>
            <w:tcW w:w="2179"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99</w:t>
            </w:r>
          </w:p>
        </w:tc>
      </w:tr>
      <w:tr>
        <w:trPr/>
        <w:tc>
          <w:tcPr>
            <w:tcW w:w="3223"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Westside Outpatient Center, LLC</w:t>
            </w:r>
          </w:p>
        </w:tc>
        <w:tc>
          <w:tcPr>
            <w:tcW w:w="277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Florida</w:t>
            </w:r>
          </w:p>
        </w:tc>
        <w:tc>
          <w:tcPr>
            <w:tcW w:w="2030"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50</w:t>
            </w:r>
          </w:p>
        </w:tc>
        <w:tc>
          <w:tcPr>
            <w:tcW w:w="2179"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50</w:t>
            </w:r>
          </w:p>
        </w:tc>
      </w:tr>
      <w:tr>
        <w:trPr/>
        <w:tc>
          <w:tcPr>
            <w:tcW w:w="3223"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Willow Springs, LLC</w:t>
            </w:r>
          </w:p>
        </w:tc>
        <w:tc>
          <w:tcPr>
            <w:tcW w:w="277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Delaware</w:t>
            </w:r>
          </w:p>
        </w:tc>
        <w:tc>
          <w:tcPr>
            <w:tcW w:w="2030"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179"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223"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Windmoor Healthcare Inc.</w:t>
            </w:r>
          </w:p>
        </w:tc>
        <w:tc>
          <w:tcPr>
            <w:tcW w:w="277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Florida</w:t>
            </w:r>
          </w:p>
        </w:tc>
        <w:tc>
          <w:tcPr>
            <w:tcW w:w="2030"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179"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223"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Windmoor Healthcare of Pinellas Park, Inc.</w:t>
            </w:r>
          </w:p>
        </w:tc>
        <w:tc>
          <w:tcPr>
            <w:tcW w:w="277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Delaware</w:t>
            </w:r>
          </w:p>
        </w:tc>
        <w:tc>
          <w:tcPr>
            <w:tcW w:w="2030"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179"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223"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Wisconsin Avenue Psychiatric Center, Inc.</w:t>
            </w:r>
          </w:p>
        </w:tc>
        <w:tc>
          <w:tcPr>
            <w:tcW w:w="277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Delaware</w:t>
            </w:r>
          </w:p>
        </w:tc>
        <w:tc>
          <w:tcPr>
            <w:tcW w:w="2030"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179"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r>
        <w:trPr/>
        <w:tc>
          <w:tcPr>
            <w:tcW w:w="3223"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Zeus Endeavors, LLC</w:t>
            </w:r>
          </w:p>
        </w:tc>
        <w:tc>
          <w:tcPr>
            <w:tcW w:w="277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Florida</w:t>
            </w:r>
          </w:p>
        </w:tc>
        <w:tc>
          <w:tcPr>
            <w:tcW w:w="2030"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c>
          <w:tcPr>
            <w:tcW w:w="2179"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w:t>
            </w:r>
          </w:p>
        </w:tc>
      </w:tr>
    </w:tbl>
    <w:p>
      <w:pPr>
        <w:pStyle w:val="TextBody"/>
        <w:bidi w:val="0"/>
        <w:jc w:val="left"/>
        <w:rPr>
          <w:rFonts w:ascii="Arial" w:hAnsi="Arial"/>
          <w:color w:val="000000"/>
          <w:sz w:val="22"/>
        </w:rPr>
      </w:pPr>
      <w:r>
        <w:rPr>
          <w:rFonts w:ascii="Arial" w:hAnsi="Arial"/>
          <w:color w:val="000000"/>
          <w:sz w:val="22"/>
        </w:rPr>
        <w:t>17</w:t>
      </w:r>
    </w:p>
    <w:p>
      <w:pPr>
        <w:pStyle w:val="HorizontalLine"/>
        <w:pBdr>
          <w:bottom w:val="double" w:sz="2" w:space="0" w:color="808080"/>
        </w:pBdr>
        <w:bidi w:val="0"/>
        <w:spacing w:before="0" w:after="283"/>
        <w:jc w:val="left"/>
        <w:rPr/>
      </w:pPr>
      <w:r>
        <w:rPr/>
      </w:r>
    </w:p>
    <w:p>
      <w:pPr>
        <w:pStyle w:val="TextBody"/>
        <w:bidi w:val="0"/>
        <w:spacing w:before="0" w:after="160"/>
        <w:jc w:val="right"/>
        <w:rPr>
          <w:rFonts w:ascii="Georgia;serif" w:hAnsi="Georgia;serif"/>
          <w:b/>
          <w:color w:val="000000"/>
          <w:sz w:val="18"/>
        </w:rPr>
      </w:pPr>
      <w:bookmarkStart w:id="46" w:name="uhs-ex23_1.htm"/>
      <w:bookmarkStart w:id="47" w:name="ksuhsex23_1"/>
      <w:bookmarkEnd w:id="46"/>
      <w:bookmarkEnd w:id="47"/>
      <w:r>
        <w:rPr>
          <w:rFonts w:ascii="Georgia;serif" w:hAnsi="Georgia;serif"/>
          <w:b/>
          <w:color w:val="000000"/>
          <w:sz w:val="18"/>
        </w:rPr>
        <w:t>Exhibit 23.1</w:t>
      </w:r>
      <w:r>
        <w:br w:type="page"/>
      </w:r>
    </w:p>
    <w:p>
      <w:pPr>
        <w:pStyle w:val="TextBody"/>
        <w:bidi w:val="0"/>
        <w:spacing w:before="0" w:after="160"/>
        <w:jc w:val="center"/>
        <w:rPr/>
      </w:pPr>
      <w:r>
        <w:rPr/>
        <w:t> </w:t>
      </w:r>
    </w:p>
    <w:p>
      <w:pPr>
        <w:pStyle w:val="TextBody"/>
        <w:bidi w:val="0"/>
        <w:spacing w:before="0" w:after="160"/>
        <w:jc w:val="center"/>
        <w:rPr>
          <w:rFonts w:ascii="Times New Roman" w:hAnsi="Times New Roman"/>
          <w:sz w:val="20"/>
        </w:rPr>
      </w:pPr>
      <w:r>
        <w:rPr>
          <w:rFonts w:ascii="Georgia;serif" w:hAnsi="Georgia;serif"/>
          <w:color w:val="000000"/>
          <w:sz w:val="18"/>
        </w:rPr>
        <w:t>CONSENT OF INDEPENDENT REGISTERED PUBLIC ACCOUNTING FIRM</w:t>
      </w:r>
      <w:r>
        <w:rPr>
          <w:rFonts w:ascii="Times New Roman" w:hAnsi="Times New Roman"/>
          <w:color w:val="000000"/>
          <w:sz w:val="20"/>
        </w:rPr>
        <w:t xml:space="preserve"> </w:t>
      </w:r>
    </w:p>
    <w:p>
      <w:pPr>
        <w:pStyle w:val="TextBody"/>
        <w:bidi w:val="0"/>
        <w:spacing w:before="0" w:after="160"/>
        <w:jc w:val="left"/>
        <w:rPr>
          <w:rFonts w:ascii="Times New Roman" w:hAnsi="Times New Roman"/>
          <w:sz w:val="20"/>
        </w:rPr>
      </w:pPr>
      <w:r>
        <w:rPr>
          <w:rFonts w:ascii="Georgia;serif" w:hAnsi="Georgia;serif"/>
          <w:color w:val="000000"/>
          <w:sz w:val="20"/>
        </w:rPr>
        <w:t>We hereby consent to the incorporation by reference in the Registration Statements on Form S-3 (No. 333-282135) and Form S-8 (Nos. 333-167356, 333-156425, 333-119143, 333-112332, 333-126025, 333-122188, 333-206298, 333-218359, 333-238880, 333-265495, 333-156424, 333-279787) of Universal Health Services, Inc. of our report dated February 25, 2026 relating to the financial statements, financial statement schedule and the effectiveness of internal control over financial reporting, which appears in this Form 10-K.</w:t>
      </w:r>
      <w:r>
        <w:rPr>
          <w:rFonts w:ascii="Times New Roman" w:hAnsi="Times New Roman"/>
          <w:color w:val="000000"/>
          <w:sz w:val="20"/>
        </w:rPr>
        <w:t xml:space="preserve"> </w:t>
      </w:r>
    </w:p>
    <w:p>
      <w:pPr>
        <w:pStyle w:val="TextBody"/>
        <w:bidi w:val="0"/>
        <w:spacing w:before="0" w:after="160"/>
        <w:jc w:val="left"/>
        <w:rPr/>
      </w:pPr>
      <w:r>
        <w:rPr/>
        <w:t> </w:t>
      </w:r>
    </w:p>
    <w:p>
      <w:pPr>
        <w:pStyle w:val="TextBody"/>
        <w:bidi w:val="0"/>
        <w:jc w:val="left"/>
        <w:rPr>
          <w:rFonts w:ascii="Georgia;serif" w:hAnsi="Georgia;serif"/>
          <w:color w:val="000000"/>
          <w:sz w:val="20"/>
        </w:rPr>
      </w:pPr>
      <w:r>
        <w:rPr>
          <w:rFonts w:ascii="Georgia;serif" w:hAnsi="Georgia;serif"/>
          <w:color w:val="000000"/>
          <w:sz w:val="20"/>
        </w:rPr>
        <w:t>/s/ PricewaterhouseCoopers LLP</w:t>
      </w:r>
    </w:p>
    <w:p>
      <w:pPr>
        <w:pStyle w:val="TextBody"/>
        <w:bidi w:val="0"/>
        <w:jc w:val="left"/>
        <w:rPr>
          <w:rFonts w:ascii="Georgia;serif" w:hAnsi="Georgia;serif"/>
          <w:color w:val="000000"/>
          <w:sz w:val="20"/>
        </w:rPr>
      </w:pPr>
      <w:r>
        <w:rPr>
          <w:rFonts w:ascii="Georgia;serif" w:hAnsi="Georgia;serif"/>
          <w:color w:val="000000"/>
          <w:sz w:val="20"/>
        </w:rPr>
        <w:t>Philadelphia, Pennsylvania</w:t>
      </w:r>
    </w:p>
    <w:p>
      <w:pPr>
        <w:pStyle w:val="TextBody"/>
        <w:bidi w:val="0"/>
        <w:jc w:val="left"/>
        <w:rPr>
          <w:rFonts w:ascii="Georgia;serif" w:hAnsi="Georgia;serif"/>
          <w:color w:val="000000"/>
          <w:sz w:val="20"/>
        </w:rPr>
      </w:pPr>
      <w:r>
        <w:rPr>
          <w:rFonts w:ascii="Georgia;serif" w:hAnsi="Georgia;serif"/>
          <w:color w:val="000000"/>
          <w:sz w:val="20"/>
        </w:rPr>
        <w:t>February 25, 2026</w:t>
      </w:r>
    </w:p>
    <w:p>
      <w:pPr>
        <w:pStyle w:val="TextBody"/>
        <w:bidi w:val="0"/>
        <w:spacing w:before="0" w:after="16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48" w:name="uhs-ex31_1.htm"/>
      <w:bookmarkStart w:id="49" w:name="ksuhsex31_1"/>
      <w:bookmarkEnd w:id="48"/>
      <w:bookmarkEnd w:id="49"/>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31.1</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CERTIFICATION—Chief Executive Officer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Marc D. Miller, certify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 I have reviewed this annual report on Form 10-K of Universal Health Services, Inc.;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 Any fraud, whether or not material, that involves management or other employees who have a significant role in the registrant’s internal control over financial reporting.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Date: February 25, 2026</w:t>
      </w:r>
    </w:p>
    <w:tbl>
      <w:tblPr>
        <w:tblW w:w="2011" w:type="dxa"/>
        <w:jc w:val="left"/>
        <w:tblInd w:w="0" w:type="dxa"/>
        <w:tblLayout w:type="fixed"/>
        <w:tblCellMar>
          <w:top w:w="28" w:type="dxa"/>
          <w:left w:w="28" w:type="dxa"/>
          <w:bottom w:w="28" w:type="dxa"/>
          <w:right w:w="28" w:type="dxa"/>
        </w:tblCellMar>
      </w:tblPr>
      <w:tblGrid>
        <w:gridCol w:w="2011"/>
      </w:tblGrid>
      <w:tr>
        <w:trPr/>
        <w:tc>
          <w:tcPr>
            <w:tcW w:w="2011" w:type="dxa"/>
            <w:tcBorders/>
            <w:vAlign w:val="center"/>
          </w:tcPr>
          <w:p>
            <w:pPr>
              <w:pStyle w:val="TableContents"/>
              <w:bidi w:val="0"/>
              <w:spacing w:before="0" w:after="283"/>
              <w:jc w:val="left"/>
              <w:rPr>
                <w:sz w:val="4"/>
                <w:szCs w:val="4"/>
              </w:rPr>
            </w:pPr>
            <w:r>
              <w:rPr>
                <w:sz w:val="4"/>
                <w:szCs w:val="4"/>
              </w:rPr>
            </w:r>
          </w:p>
        </w:tc>
      </w:tr>
      <w:tr>
        <w:trPr/>
        <w:tc>
          <w:tcPr>
            <w:tcW w:w="201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w:t>
            </w:r>
            <w:r>
              <w:rPr>
                <w:rFonts w:ascii="Times New Roman" w:hAnsi="Times New Roman"/>
                <w:color w:val="000000"/>
                <w:sz w:val="16"/>
              </w:rPr>
              <w:t>S</w:t>
            </w:r>
            <w:r>
              <w:rPr>
                <w:rFonts w:ascii="Times New Roman" w:hAnsi="Times New Roman"/>
                <w:color w:val="000000"/>
                <w:sz w:val="20"/>
              </w:rPr>
              <w:t>/ MARC D. MILLER</w:t>
            </w:r>
          </w:p>
        </w:tc>
      </w:tr>
      <w:tr>
        <w:trPr/>
        <w:tc>
          <w:tcPr>
            <w:tcW w:w="20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Marc D. Miller</w:t>
            </w:r>
          </w:p>
        </w:tc>
      </w:tr>
      <w:tr>
        <w:trPr/>
        <w:tc>
          <w:tcPr>
            <w:tcW w:w="20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Chief Executive Officer</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50" w:name="uhs-ex31_2.htm"/>
      <w:bookmarkStart w:id="51" w:name="ksuhsex31_2"/>
      <w:bookmarkEnd w:id="50"/>
      <w:bookmarkEnd w:id="51"/>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31.2</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CERTIFICATION—Chief Financial Officer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Steve Filton, certify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 I have reviewed this annual report on Form 10-K of Universal Health Services, Inc.;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 Any fraud, whether or not material, that involves management or other employees who have a significant role in the registrant’s internal control over financial reporting.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Date: February 25, 2026</w:t>
      </w:r>
    </w:p>
    <w:p>
      <w:pPr>
        <w:pStyle w:val="TextBody"/>
        <w:bidi w:val="0"/>
        <w:jc w:val="left"/>
        <w:rPr/>
      </w:pPr>
      <w:r>
        <w:rPr/>
        <w:t> </w:t>
      </w:r>
    </w:p>
    <w:tbl>
      <w:tblPr>
        <w:tblW w:w="2236" w:type="dxa"/>
        <w:jc w:val="left"/>
        <w:tblInd w:w="0" w:type="dxa"/>
        <w:tblLayout w:type="fixed"/>
        <w:tblCellMar>
          <w:top w:w="28" w:type="dxa"/>
          <w:left w:w="28" w:type="dxa"/>
          <w:bottom w:w="28" w:type="dxa"/>
          <w:right w:w="28" w:type="dxa"/>
        </w:tblCellMar>
      </w:tblPr>
      <w:tblGrid>
        <w:gridCol w:w="2236"/>
      </w:tblGrid>
      <w:tr>
        <w:trPr/>
        <w:tc>
          <w:tcPr>
            <w:tcW w:w="2236" w:type="dxa"/>
            <w:tcBorders/>
            <w:vAlign w:val="center"/>
          </w:tcPr>
          <w:p>
            <w:pPr>
              <w:pStyle w:val="TableContents"/>
              <w:bidi w:val="0"/>
              <w:spacing w:before="0" w:after="283"/>
              <w:ind w:left="0" w:right="0" w:firstLine="200"/>
              <w:jc w:val="left"/>
              <w:rPr>
                <w:sz w:val="4"/>
                <w:szCs w:val="4"/>
              </w:rPr>
            </w:pPr>
            <w:r>
              <w:rPr>
                <w:sz w:val="4"/>
                <w:szCs w:val="4"/>
              </w:rPr>
            </w:r>
          </w:p>
        </w:tc>
      </w:tr>
      <w:tr>
        <w:trPr/>
        <w:tc>
          <w:tcPr>
            <w:tcW w:w="2236" w:type="dxa"/>
            <w:tcBorders>
              <w:bottom w:val="single" w:sz="4" w:space="0" w:color="000000"/>
            </w:tcBorders>
            <w:tcMar>
              <w:top w:w="0" w:type="dxa"/>
              <w:left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w:t>
            </w:r>
            <w:r>
              <w:rPr>
                <w:rFonts w:ascii="Times New Roman" w:hAnsi="Times New Roman"/>
                <w:color w:val="000000"/>
                <w:sz w:val="16"/>
              </w:rPr>
              <w:t>S</w:t>
            </w:r>
            <w:r>
              <w:rPr>
                <w:rFonts w:ascii="Times New Roman" w:hAnsi="Times New Roman"/>
                <w:color w:val="000000"/>
                <w:sz w:val="20"/>
              </w:rPr>
              <w:t>/ S</w:t>
            </w:r>
            <w:r>
              <w:rPr>
                <w:rFonts w:ascii="Times New Roman" w:hAnsi="Times New Roman"/>
                <w:color w:val="000000"/>
                <w:sz w:val="16"/>
              </w:rPr>
              <w:t>TEVE</w:t>
            </w:r>
            <w:r>
              <w:rPr>
                <w:rFonts w:ascii="Times New Roman" w:hAnsi="Times New Roman"/>
                <w:color w:val="000000"/>
                <w:sz w:val="20"/>
              </w:rPr>
              <w:t> F</w:t>
            </w:r>
            <w:r>
              <w:rPr>
                <w:rFonts w:ascii="Times New Roman" w:hAnsi="Times New Roman"/>
                <w:color w:val="000000"/>
                <w:sz w:val="16"/>
              </w:rPr>
              <w:t>ILTON</w:t>
            </w:r>
          </w:p>
        </w:tc>
      </w:tr>
      <w:tr>
        <w:trPr/>
        <w:tc>
          <w:tcPr>
            <w:tcW w:w="22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Steve Filton</w:t>
            </w:r>
          </w:p>
        </w:tc>
      </w:tr>
      <w:tr>
        <w:trPr/>
        <w:tc>
          <w:tcPr>
            <w:tcW w:w="22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Executive Vice President and</w:t>
            </w:r>
          </w:p>
        </w:tc>
      </w:tr>
      <w:tr>
        <w:trPr/>
        <w:tc>
          <w:tcPr>
            <w:tcW w:w="22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Chief Financial Officer</w:t>
            </w:r>
          </w:p>
        </w:tc>
      </w:tr>
    </w:tbl>
    <w:p>
      <w:pPr>
        <w:pStyle w:val="TextBody"/>
        <w:bidi w:val="0"/>
        <w:spacing w:before="0" w:after="20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52" w:name="uhs-ex32_1.htm"/>
      <w:bookmarkStart w:id="53" w:name="ksuhsex32_1"/>
      <w:bookmarkEnd w:id="52"/>
      <w:bookmarkEnd w:id="53"/>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32.1</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Annual Report of Universal Health Services, Inc. (the “Company”) on Form 10-K for the year ended December 31, 2025, as filed with the Securities and Exchange Commission on the date hereof (the “Report”), I, Marc D. Miller, Chief Executive Officer of the Company, certify, pursuant to 18 U.S.C. § 1350, as adopted pursuant to § 906 of the Sarbanes-Oxley Act of 2002, and to the best of my knowledge, that: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 The Report fully complies with the requirements of Section 13(a) or 15(d) of the Securities Exchange Act of 1934;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 The information contained in the Report fairly presents, in all material respects, the financial condition and results of operations of the Company at the end of, and for the period covered by, the Report.</w:t>
      </w:r>
    </w:p>
    <w:tbl>
      <w:tblPr>
        <w:tblW w:w="1936" w:type="dxa"/>
        <w:jc w:val="left"/>
        <w:tblInd w:w="0" w:type="dxa"/>
        <w:tblLayout w:type="fixed"/>
        <w:tblCellMar>
          <w:top w:w="28" w:type="dxa"/>
          <w:left w:w="28" w:type="dxa"/>
          <w:bottom w:w="28" w:type="dxa"/>
          <w:right w:w="28" w:type="dxa"/>
        </w:tblCellMar>
      </w:tblPr>
      <w:tblGrid>
        <w:gridCol w:w="1936"/>
      </w:tblGrid>
      <w:tr>
        <w:trPr/>
        <w:tc>
          <w:tcPr>
            <w:tcW w:w="1936" w:type="dxa"/>
            <w:tcBorders/>
            <w:vAlign w:val="center"/>
          </w:tcPr>
          <w:p>
            <w:pPr>
              <w:pStyle w:val="TableContents"/>
              <w:bidi w:val="0"/>
              <w:spacing w:before="0" w:after="283"/>
              <w:jc w:val="left"/>
              <w:rPr>
                <w:sz w:val="4"/>
                <w:szCs w:val="4"/>
              </w:rPr>
            </w:pPr>
            <w:r>
              <w:rPr>
                <w:sz w:val="4"/>
                <w:szCs w:val="4"/>
              </w:rPr>
            </w:r>
          </w:p>
        </w:tc>
      </w:tr>
      <w:tr>
        <w:trPr/>
        <w:tc>
          <w:tcPr>
            <w:tcW w:w="193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w:t>
            </w:r>
            <w:r>
              <w:rPr>
                <w:rFonts w:ascii="Times New Roman" w:hAnsi="Times New Roman"/>
                <w:color w:val="000000"/>
                <w:sz w:val="16"/>
              </w:rPr>
              <w:t>S</w:t>
            </w:r>
            <w:r>
              <w:rPr>
                <w:rFonts w:ascii="Times New Roman" w:hAnsi="Times New Roman"/>
                <w:color w:val="000000"/>
                <w:sz w:val="20"/>
              </w:rPr>
              <w:t>/ MARC D. M</w:t>
            </w:r>
            <w:r>
              <w:rPr>
                <w:rFonts w:ascii="Times New Roman" w:hAnsi="Times New Roman"/>
                <w:color w:val="000000"/>
                <w:sz w:val="16"/>
              </w:rPr>
              <w:t>ILLER</w:t>
            </w:r>
          </w:p>
        </w:tc>
      </w:tr>
      <w:tr>
        <w:trPr/>
        <w:tc>
          <w:tcPr>
            <w:tcW w:w="19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Marc D. Miller</w:t>
            </w:r>
          </w:p>
        </w:tc>
      </w:tr>
      <w:tr>
        <w:trPr/>
        <w:tc>
          <w:tcPr>
            <w:tcW w:w="19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Chief Executive Officer</w:t>
            </w:r>
          </w:p>
        </w:tc>
      </w:tr>
      <w:tr>
        <w:trPr/>
        <w:tc>
          <w:tcPr>
            <w:tcW w:w="19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February 25, 2026</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 signed original of this written statement required by Section 906 has been provided to Universal Health Services, Inc. and will be retained and furnished to the Securities and Exchange Commission or its staff upon request.</w:t>
      </w:r>
    </w:p>
    <w:p>
      <w:pPr>
        <w:pStyle w:val="TextBody"/>
        <w:bidi w:val="0"/>
        <w:spacing w:before="0" w:after="20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54" w:name="uhs-ex32_2.htm"/>
      <w:bookmarkStart w:id="55" w:name="ksuhsex32_2"/>
      <w:bookmarkEnd w:id="54"/>
      <w:bookmarkEnd w:id="55"/>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32.2</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Annual Report of Universal Health Services, Inc. (the “Company”) on Form 10-K for the year ended December 31, 2025, as filed with the Securities and Exchange Commission on the date hereof (the “Report”), I, Steve Filton, Executive Vice President and Chief Financial Officer of the Company, certify, pursuant to 18 U.S.C. § 1350, as adopted pursuant to § 906 of the Sarbanes-Oxley Act of 2002, and to the best of my knowledge, that: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 The Report fully complies with the requirements of Section 13(a) or 15(d) of the Securities Exchange Act of 1934;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 The information contained in the Report fairly presents, in all material respects, the financial condition and results of operations of the Company at the end of, and for the period covered by, the Report.</w:t>
      </w:r>
    </w:p>
    <w:tbl>
      <w:tblPr>
        <w:tblW w:w="2281" w:type="dxa"/>
        <w:jc w:val="left"/>
        <w:tblInd w:w="0" w:type="dxa"/>
        <w:tblLayout w:type="fixed"/>
        <w:tblCellMar>
          <w:top w:w="28" w:type="dxa"/>
          <w:left w:w="28" w:type="dxa"/>
          <w:bottom w:w="28" w:type="dxa"/>
          <w:right w:w="28" w:type="dxa"/>
        </w:tblCellMar>
      </w:tblPr>
      <w:tblGrid>
        <w:gridCol w:w="2281"/>
      </w:tblGrid>
      <w:tr>
        <w:trPr/>
        <w:tc>
          <w:tcPr>
            <w:tcW w:w="2281" w:type="dxa"/>
            <w:tcBorders/>
            <w:vAlign w:val="center"/>
          </w:tcPr>
          <w:p>
            <w:pPr>
              <w:pStyle w:val="TableContents"/>
              <w:bidi w:val="0"/>
              <w:spacing w:before="0" w:after="283"/>
              <w:jc w:val="left"/>
              <w:rPr>
                <w:sz w:val="4"/>
                <w:szCs w:val="4"/>
              </w:rPr>
            </w:pPr>
            <w:r>
              <w:rPr>
                <w:sz w:val="4"/>
                <w:szCs w:val="4"/>
              </w:rPr>
            </w:r>
          </w:p>
        </w:tc>
      </w:tr>
      <w:tr>
        <w:trPr/>
        <w:tc>
          <w:tcPr>
            <w:tcW w:w="228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w:t>
            </w:r>
            <w:r>
              <w:rPr>
                <w:rFonts w:ascii="Times New Roman" w:hAnsi="Times New Roman"/>
                <w:color w:val="000000"/>
                <w:sz w:val="16"/>
              </w:rPr>
              <w:t>S</w:t>
            </w:r>
            <w:r>
              <w:rPr>
                <w:rFonts w:ascii="Times New Roman" w:hAnsi="Times New Roman"/>
                <w:color w:val="000000"/>
                <w:sz w:val="20"/>
              </w:rPr>
              <w:t>/ S</w:t>
            </w:r>
            <w:r>
              <w:rPr>
                <w:rFonts w:ascii="Times New Roman" w:hAnsi="Times New Roman"/>
                <w:color w:val="000000"/>
                <w:sz w:val="16"/>
              </w:rPr>
              <w:t>TEVE</w:t>
            </w:r>
            <w:r>
              <w:rPr>
                <w:rFonts w:ascii="Times New Roman" w:hAnsi="Times New Roman"/>
                <w:color w:val="000000"/>
                <w:sz w:val="20"/>
              </w:rPr>
              <w:t> F</w:t>
            </w:r>
            <w:r>
              <w:rPr>
                <w:rFonts w:ascii="Times New Roman" w:hAnsi="Times New Roman"/>
                <w:color w:val="000000"/>
                <w:sz w:val="16"/>
              </w:rPr>
              <w:t>ILTON</w:t>
            </w:r>
          </w:p>
        </w:tc>
      </w:tr>
      <w:tr>
        <w:trPr/>
        <w:tc>
          <w:tcPr>
            <w:tcW w:w="22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Steve Filton</w:t>
            </w:r>
          </w:p>
        </w:tc>
      </w:tr>
      <w:tr>
        <w:trPr/>
        <w:tc>
          <w:tcPr>
            <w:tcW w:w="22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 xml:space="preserve">Executive Vice President and </w:t>
            </w:r>
          </w:p>
        </w:tc>
      </w:tr>
      <w:tr>
        <w:trPr/>
        <w:tc>
          <w:tcPr>
            <w:tcW w:w="22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Chief Financial Officer</w:t>
            </w:r>
          </w:p>
        </w:tc>
      </w:tr>
      <w:tr>
        <w:trPr/>
        <w:tc>
          <w:tcPr>
            <w:tcW w:w="22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February 25, 2026</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 signed original of this written statement required by Section 906 has been provided to Universal Health Services, Inc. and will be retained and furnished to the Securities and Exchange Commission or its staff upon request.</w:t>
      </w:r>
    </w:p>
    <w:p>
      <w:pPr>
        <w:pStyle w:val="TextBody"/>
        <w:bidi w:val="0"/>
        <w:spacing w:before="0" w:after="20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56" w:name="uhs-ex97.htm"/>
      <w:bookmarkStart w:id="57" w:name="ksuhsex97"/>
      <w:bookmarkEnd w:id="56"/>
      <w:bookmarkEnd w:id="57"/>
      <w:r>
        <w:rPr/>
        <w:t> </w:t>
      </w:r>
      <w:r>
        <w:br w:type="page"/>
      </w:r>
    </w:p>
    <w:p>
      <w:pPr>
        <w:pStyle w:val="TextBody"/>
        <w:bidi w:val="0"/>
        <w:spacing w:before="0" w:after="240"/>
        <w:jc w:val="right"/>
        <w:rPr>
          <w:rFonts w:ascii="Times New Roman" w:hAnsi="Times New Roman"/>
          <w:b/>
          <w:color w:val="000000"/>
          <w:sz w:val="24"/>
        </w:rPr>
      </w:pPr>
      <w:r>
        <w:rPr>
          <w:rFonts w:ascii="Times New Roman" w:hAnsi="Times New Roman"/>
          <w:b/>
          <w:color w:val="000000"/>
          <w:sz w:val="24"/>
        </w:rPr>
        <w:t>Exhibit 97</w:t>
      </w:r>
    </w:p>
    <w:p>
      <w:pPr>
        <w:pStyle w:val="TextBody"/>
        <w:bidi w:val="0"/>
        <w:spacing w:before="0" w:after="240"/>
        <w:jc w:val="center"/>
        <w:rPr>
          <w:rFonts w:ascii="Times New Roman" w:hAnsi="Times New Roman"/>
          <w:sz w:val="20"/>
        </w:rPr>
      </w:pPr>
      <w:r>
        <w:rPr>
          <w:rFonts w:ascii="Times New Roman" w:hAnsi="Times New Roman"/>
          <w:b/>
          <w:color w:val="000000"/>
          <w:sz w:val="24"/>
        </w:rPr>
        <w:t xml:space="preserve">Universal Health Services, Inc. </w:t>
      </w:r>
      <w:r>
        <w:rPr>
          <w:rFonts w:ascii="Times New Roman" w:hAnsi="Times New Roman"/>
          <w:color w:val="000000"/>
          <w:sz w:val="24"/>
        </w:rPr>
        <w:br/>
      </w:r>
      <w:r>
        <w:rPr>
          <w:rFonts w:ascii="Times New Roman" w:hAnsi="Times New Roman"/>
          <w:b/>
          <w:color w:val="000000"/>
          <w:sz w:val="24"/>
        </w:rPr>
        <w:t>Clawback Policy</w:t>
      </w:r>
    </w:p>
    <w:p>
      <w:pPr>
        <w:pStyle w:val="TextBody"/>
        <w:bidi w:val="0"/>
        <w:spacing w:before="0" w:after="240"/>
        <w:jc w:val="both"/>
        <w:rPr>
          <w:rFonts w:ascii="Times New Roman" w:hAnsi="Times New Roman"/>
          <w:sz w:val="20"/>
        </w:rPr>
      </w:pPr>
      <w:r>
        <w:rPr>
          <w:rFonts w:ascii="Times New Roman" w:hAnsi="Times New Roman"/>
          <w:color w:val="000000"/>
          <w:sz w:val="24"/>
        </w:rPr>
        <w:t>The Board of Directors (the “</w:t>
      </w:r>
      <w:r>
        <w:rPr>
          <w:rFonts w:ascii="Times New Roman" w:hAnsi="Times New Roman"/>
          <w:color w:val="000000"/>
          <w:sz w:val="24"/>
          <w:u w:val="single"/>
        </w:rPr>
        <w:t>Board</w:t>
      </w:r>
      <w:r>
        <w:rPr>
          <w:rFonts w:ascii="Times New Roman" w:hAnsi="Times New Roman"/>
          <w:color w:val="000000"/>
          <w:sz w:val="20"/>
        </w:rPr>
        <w:t>”</w:t>
      </w:r>
      <w:r>
        <w:rPr>
          <w:rFonts w:ascii="Times New Roman" w:hAnsi="Times New Roman"/>
          <w:color w:val="000000"/>
          <w:sz w:val="24"/>
        </w:rPr>
        <w:t>) of Universal Health Services, Inc. (the “</w:t>
      </w:r>
      <w:r>
        <w:rPr>
          <w:rFonts w:ascii="Times New Roman" w:hAnsi="Times New Roman"/>
          <w:color w:val="000000"/>
          <w:sz w:val="24"/>
          <w:u w:val="single"/>
        </w:rPr>
        <w:t>Company</w:t>
      </w:r>
      <w:r>
        <w:rPr>
          <w:rFonts w:ascii="Times New Roman" w:hAnsi="Times New Roman"/>
          <w:color w:val="000000"/>
          <w:sz w:val="20"/>
        </w:rPr>
        <w:t>”</w:t>
      </w:r>
      <w:r>
        <w:rPr>
          <w:rFonts w:ascii="Times New Roman" w:hAnsi="Times New Roman"/>
          <w:color w:val="000000"/>
          <w:sz w:val="24"/>
        </w:rPr>
        <w:t>) believes that it is in the best interests of the Company and its shareholders to adopt this Clawback Policy (this “</w:t>
      </w:r>
      <w:r>
        <w:rPr>
          <w:rFonts w:ascii="Times New Roman" w:hAnsi="Times New Roman"/>
          <w:color w:val="000000"/>
          <w:sz w:val="24"/>
          <w:u w:val="single"/>
        </w:rPr>
        <w:t>Policy</w:t>
      </w:r>
      <w:r>
        <w:rPr>
          <w:rFonts w:ascii="Times New Roman" w:hAnsi="Times New Roman"/>
          <w:color w:val="000000"/>
          <w:sz w:val="20"/>
        </w:rPr>
        <w:t>”</w:t>
      </w:r>
      <w:r>
        <w:rPr>
          <w:rFonts w:ascii="Times New Roman" w:hAnsi="Times New Roman"/>
          <w:color w:val="000000"/>
          <w:sz w:val="24"/>
        </w:rPr>
        <w:t>), which provides for the recovery of certain incentive compensation in the event of an Accounting Restatement (as defined below). This Policy is designed to comply with, and shall be interpreted to be consistent with, Section 10D (“</w:t>
      </w:r>
      <w:r>
        <w:rPr>
          <w:rFonts w:ascii="Times New Roman" w:hAnsi="Times New Roman"/>
          <w:color w:val="000000"/>
          <w:sz w:val="24"/>
          <w:u w:val="single"/>
        </w:rPr>
        <w:t>Section 10D</w:t>
      </w:r>
      <w:r>
        <w:rPr>
          <w:rFonts w:ascii="Times New Roman" w:hAnsi="Times New Roman"/>
          <w:color w:val="000000"/>
          <w:sz w:val="20"/>
        </w:rPr>
        <w:t>”</w:t>
      </w:r>
      <w:r>
        <w:rPr>
          <w:rFonts w:ascii="Times New Roman" w:hAnsi="Times New Roman"/>
          <w:color w:val="000000"/>
          <w:sz w:val="24"/>
        </w:rPr>
        <w:t>) of the Securities Exchange Act of 1934, as amended (the “</w:t>
      </w:r>
      <w:r>
        <w:rPr>
          <w:rFonts w:ascii="Times New Roman" w:hAnsi="Times New Roman"/>
          <w:color w:val="000000"/>
          <w:sz w:val="24"/>
          <w:u w:val="single"/>
        </w:rPr>
        <w:t>Exchange Act</w:t>
      </w:r>
      <w:r>
        <w:rPr>
          <w:rFonts w:ascii="Times New Roman" w:hAnsi="Times New Roman"/>
          <w:color w:val="000000"/>
          <w:sz w:val="20"/>
        </w:rPr>
        <w:t>”</w:t>
      </w:r>
      <w:r>
        <w:rPr>
          <w:rFonts w:ascii="Times New Roman" w:hAnsi="Times New Roman"/>
          <w:color w:val="000000"/>
          <w:sz w:val="24"/>
        </w:rPr>
        <w:t>), Rule 10D-1 promulgated under the Exchange Act (“</w:t>
      </w:r>
      <w:r>
        <w:rPr>
          <w:rFonts w:ascii="Times New Roman" w:hAnsi="Times New Roman"/>
          <w:color w:val="000000"/>
          <w:sz w:val="24"/>
          <w:u w:val="single"/>
        </w:rPr>
        <w:t>Rule 10D-1</w:t>
      </w:r>
      <w:r>
        <w:rPr>
          <w:rFonts w:ascii="Times New Roman" w:hAnsi="Times New Roman"/>
          <w:color w:val="000000"/>
          <w:sz w:val="20"/>
        </w:rPr>
        <w:t>”</w:t>
      </w:r>
      <w:r>
        <w:rPr>
          <w:rFonts w:ascii="Times New Roman" w:hAnsi="Times New Roman"/>
          <w:color w:val="000000"/>
          <w:sz w:val="24"/>
        </w:rPr>
        <w:t>) and Section 303A.14 of the New York Stock Exchange Listed Company Manual</w:t>
      </w:r>
      <w:r>
        <w:rPr>
          <w:rFonts w:ascii="Times New Roman" w:hAnsi="Times New Roman"/>
          <w:color w:val="C00000"/>
          <w:sz w:val="20"/>
        </w:rPr>
        <w:t xml:space="preserve"> </w:t>
      </w:r>
      <w:r>
        <w:rPr>
          <w:rFonts w:ascii="Times New Roman" w:hAnsi="Times New Roman"/>
          <w:color w:val="000000"/>
          <w:sz w:val="24"/>
        </w:rPr>
        <w:t>(the “</w:t>
      </w:r>
      <w:r>
        <w:rPr>
          <w:rFonts w:ascii="Times New Roman" w:hAnsi="Times New Roman"/>
          <w:color w:val="000000"/>
          <w:sz w:val="24"/>
          <w:u w:val="single"/>
        </w:rPr>
        <w:t>NYSE Rule</w:t>
      </w:r>
      <w:r>
        <w:rPr>
          <w:rFonts w:ascii="Times New Roman" w:hAnsi="Times New Roman"/>
          <w:color w:val="000000"/>
          <w:sz w:val="20"/>
        </w:rPr>
        <w:t>”</w:t>
      </w:r>
      <w:r>
        <w:rPr>
          <w:rFonts w:ascii="Times New Roman" w:hAnsi="Times New Roman"/>
          <w:color w:val="000000"/>
          <w:sz w:val="24"/>
        </w:rPr>
        <w: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Administration</w:t>
      </w:r>
    </w:p>
    <w:p>
      <w:pPr>
        <w:pStyle w:val="TextBody"/>
        <w:bidi w:val="0"/>
        <w:spacing w:before="0" w:after="240"/>
        <w:jc w:val="both"/>
        <w:rPr>
          <w:rFonts w:ascii="Times New Roman" w:hAnsi="Times New Roman"/>
          <w:sz w:val="20"/>
        </w:rPr>
      </w:pPr>
      <w:r>
        <w:rPr>
          <w:rFonts w:ascii="Times New Roman" w:hAnsi="Times New Roman"/>
          <w:color w:val="000000"/>
          <w:sz w:val="24"/>
        </w:rPr>
        <w:t>Except as specifically set forth herein, this Policy shall be administered by the Compensation Committee of the Board (the “</w:t>
      </w:r>
      <w:r>
        <w:rPr>
          <w:rFonts w:ascii="Times New Roman" w:hAnsi="Times New Roman"/>
          <w:color w:val="000000"/>
          <w:sz w:val="24"/>
          <w:u w:val="single"/>
        </w:rPr>
        <w:t>Administrator</w:t>
      </w:r>
      <w:r>
        <w:rPr>
          <w:rFonts w:ascii="Times New Roman" w:hAnsi="Times New Roman"/>
          <w:color w:val="000000"/>
          <w:sz w:val="20"/>
        </w:rPr>
        <w:t>”</w:t>
      </w:r>
      <w:r>
        <w:rPr>
          <w:rFonts w:ascii="Times New Roman" w:hAnsi="Times New Roman"/>
          <w:color w:val="000000"/>
          <w:sz w:val="24"/>
        </w:rPr>
        <w:t>). The Administrator is authorized to interpret and construe this Policy and to make all determinations necessary, appropriate or advisable for the administration of this Policy and for the Company’s compliance with NYSE Rule, Section 10D, Rule 10D-1 and any other applicable law, regulation, rule or interpretation of the Securities and Exchange Commission (“</w:t>
      </w:r>
      <w:r>
        <w:rPr>
          <w:rFonts w:ascii="Times New Roman" w:hAnsi="Times New Roman"/>
          <w:color w:val="000000"/>
          <w:sz w:val="24"/>
          <w:u w:val="single"/>
        </w:rPr>
        <w:t>SEC</w:t>
      </w:r>
      <w:r>
        <w:rPr>
          <w:rFonts w:ascii="Times New Roman" w:hAnsi="Times New Roman"/>
          <w:color w:val="000000"/>
          <w:sz w:val="20"/>
        </w:rPr>
        <w:t>”</w:t>
      </w:r>
      <w:r>
        <w:rPr>
          <w:rFonts w:ascii="Times New Roman" w:hAnsi="Times New Roman"/>
          <w:color w:val="000000"/>
          <w:sz w:val="24"/>
        </w:rPr>
        <w:t>) or New York Stock Exchange (“</w:t>
      </w:r>
      <w:r>
        <w:rPr>
          <w:rFonts w:ascii="Times New Roman" w:hAnsi="Times New Roman"/>
          <w:color w:val="000000"/>
          <w:sz w:val="24"/>
          <w:u w:val="single"/>
        </w:rPr>
        <w:t>NYSE</w:t>
      </w:r>
      <w:r>
        <w:rPr>
          <w:rFonts w:ascii="Times New Roman" w:hAnsi="Times New Roman"/>
          <w:color w:val="000000"/>
          <w:sz w:val="20"/>
        </w:rPr>
        <w:t>”</w:t>
      </w:r>
      <w:r>
        <w:rPr>
          <w:rFonts w:ascii="Times New Roman" w:hAnsi="Times New Roman"/>
          <w:color w:val="000000"/>
          <w:sz w:val="24"/>
        </w:rPr>
        <w:t>) promulgated or issued in connection therewith. Any determinations made by the Administrator shall be final and binding on all affected individuals and need not be uniform with respect to each individual covered by the Policy. In the administration of this Policy, the Administrator is authorized and directed to consult with the full Board or such other committees of the Board, such as the Audit Committee, as may be necessary or appropriate as to matters within the scope of such other committee’s responsibility and authority. Subject to any limitation under applicable law, the Administrator may authorize and empower any officer or employee of the Company to take any and all actions necessary or appropriate to carry out the purpose and intent of this Policy (other than with respect to any recovery under this Policy involving such officer or employee).</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2.</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Definitions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As used in this Policy, the following definitions shall apply:</w:t>
      </w:r>
    </w:p>
    <w:p>
      <w:pPr>
        <w:pStyle w:val="TextBody"/>
        <w:bidi w:val="0"/>
        <w:spacing w:before="0" w:after="240"/>
        <w:jc w:val="both"/>
        <w:rPr>
          <w:color w:val="000000"/>
        </w:rPr>
      </w:pPr>
      <w:r>
        <w:rPr>
          <w:color w:val="000000"/>
        </w:rPr>
        <w:t>•</w:t>
      </w:r>
    </w:p>
    <w:p>
      <w:pPr>
        <w:pStyle w:val="TextBody"/>
        <w:bidi w:val="0"/>
        <w:spacing w:before="0" w:after="240"/>
        <w:jc w:val="both"/>
        <w:rPr/>
      </w:pPr>
      <w:r>
        <w:rPr>
          <w:color w:val="000000"/>
        </w:rPr>
        <w:t>“</w:t>
      </w:r>
      <w:r>
        <w:rPr>
          <w:rFonts w:ascii="Times New Roman" w:hAnsi="Times New Roman"/>
          <w:color w:val="000000"/>
          <w:sz w:val="24"/>
          <w:u w:val="single"/>
        </w:rPr>
        <w:t>Accounting Restatement</w:t>
      </w:r>
      <w:r>
        <w:rPr>
          <w:color w:val="000000"/>
        </w:rPr>
        <w:t xml:space="preserve">” </w:t>
      </w:r>
      <w:r>
        <w:rPr>
          <w:rFonts w:ascii="Times New Roman" w:hAnsi="Times New Roman"/>
          <w:color w:val="000000"/>
          <w:sz w:val="24"/>
        </w:rPr>
        <w:t>means an accounting restatement of the Company’s financial statements due to the Company’s material noncompliance with any financial reporting requirement under the securities laws, including any required accounting restatement to correct an error in previously issued financial statements that is material to the previously issued financial statements (commonly referred to as a “Big R” restatement), or that would result in a material misstatement if the error were corrected in the current period or left uncorrected in the current period (commonly referred to as a “little r” restatement). For avoidance of doubt, an out-of-period adjustment when the error is immaterial to the previously issued financial statements, and the correction of the error is also immaterial to the current period shall not constitute an “Accounting Restatement.”</w:t>
      </w:r>
    </w:p>
    <w:p>
      <w:pPr>
        <w:pStyle w:val="TextBody"/>
        <w:bidi w:val="0"/>
        <w:jc w:val="center"/>
        <w:rPr>
          <w:rFonts w:ascii="Times New Roman" w:hAnsi="Times New Roman"/>
          <w:sz w:val="20"/>
        </w:rPr>
      </w:pPr>
      <w:r>
        <w:rPr>
          <w:rFonts w:ascii="Times New Roman" w:hAnsi="Times New Roman"/>
          <w:color w:val="000000"/>
          <w:sz w:val="24"/>
        </w:rPr>
        <w:t>- 1</w:t>
      </w:r>
      <w:r>
        <w:rPr>
          <w:rFonts w:ascii="Times New Roman" w:hAnsi="Times New Roman"/>
          <w:color w:val="000000"/>
          <w:sz w:val="20"/>
        </w:rPr>
        <w:t xml:space="preserve"> </w:t>
      </w:r>
      <w:r>
        <w:rPr>
          <w:rFonts w:ascii="Times New Roman" w:hAnsi="Times New Roman"/>
          <w:color w:val="000000"/>
          <w:sz w:val="24"/>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color w:val="000000"/>
        </w:rPr>
      </w:pPr>
      <w:r>
        <w:rPr>
          <w:color w:val="000000"/>
        </w:rPr>
        <w:t>•</w:t>
      </w:r>
    </w:p>
    <w:p>
      <w:pPr>
        <w:pStyle w:val="TextBody"/>
        <w:bidi w:val="0"/>
        <w:spacing w:before="0" w:after="240"/>
        <w:jc w:val="both"/>
        <w:rPr/>
      </w:pPr>
      <w:r>
        <w:rPr>
          <w:color w:val="000000"/>
        </w:rPr>
        <w:t>“</w:t>
      </w:r>
      <w:r>
        <w:rPr>
          <w:rFonts w:ascii="Times New Roman" w:hAnsi="Times New Roman"/>
          <w:color w:val="000000"/>
          <w:sz w:val="24"/>
          <w:u w:val="single"/>
        </w:rPr>
        <w:t>Applicable Period</w:t>
      </w:r>
      <w:r>
        <w:rPr>
          <w:color w:val="000000"/>
        </w:rPr>
        <w:t xml:space="preserve">” </w:t>
      </w:r>
      <w:r>
        <w:rPr>
          <w:rFonts w:ascii="Times New Roman" w:hAnsi="Times New Roman"/>
          <w:color w:val="000000"/>
          <w:sz w:val="24"/>
        </w:rPr>
        <w:t>means, with respect to any Accounting Restatement, the three completed fiscal years immediately preceding the date on which the Company is required to prepare an Accounting Restatement, as well as any transition period (that results from a change in the Company’s fiscal year) within or immediately following those three completed fiscal years (except that a transition period that comprises a period of at least nine months shall count as a completed fiscal year). The “date on which the Company is required to prepare an Accounting Restatement” is the earlier to occur of (</w:t>
      </w:r>
      <w:r>
        <w:rPr>
          <w:rFonts w:ascii="Times New Roman" w:hAnsi="Times New Roman"/>
          <w:color w:val="000000"/>
          <w:sz w:val="24"/>
          <w:u w:val="single"/>
        </w:rPr>
        <w:t>a</w:t>
      </w:r>
      <w:r>
        <w:rPr>
          <w:rFonts w:ascii="Times New Roman" w:hAnsi="Times New Roman"/>
          <w:color w:val="000000"/>
          <w:sz w:val="24"/>
        </w:rPr>
        <w:t>) the date the Board, a committee of the Board, or the officer or officers of the Company authorized to take such action if Board action is not required conclude, or reasonably should have concluded, that the Company is required to prepare an Accounting Restatement or (</w:t>
      </w:r>
      <w:r>
        <w:rPr>
          <w:rFonts w:ascii="Times New Roman" w:hAnsi="Times New Roman"/>
          <w:color w:val="000000"/>
          <w:sz w:val="24"/>
          <w:u w:val="single"/>
        </w:rPr>
        <w:t>b</w:t>
      </w:r>
      <w:r>
        <w:rPr>
          <w:rFonts w:ascii="Times New Roman" w:hAnsi="Times New Roman"/>
          <w:color w:val="000000"/>
          <w:sz w:val="24"/>
        </w:rPr>
        <w:t>) the date a court, regulator or other legally authorized body directs the Company to prepare an Accounting Restatement, in each case regardless of if or when the restated financial statements are filed.</w:t>
      </w:r>
    </w:p>
    <w:p>
      <w:pPr>
        <w:pStyle w:val="TextBody"/>
        <w:bidi w:val="0"/>
        <w:spacing w:before="0" w:after="240"/>
        <w:jc w:val="both"/>
        <w:rPr>
          <w:color w:val="000000"/>
        </w:rPr>
      </w:pPr>
      <w:r>
        <w:rPr>
          <w:color w:val="000000"/>
        </w:rPr>
        <w:t>•</w:t>
      </w:r>
    </w:p>
    <w:p>
      <w:pPr>
        <w:pStyle w:val="TextBody"/>
        <w:bidi w:val="0"/>
        <w:spacing w:before="0" w:after="240"/>
        <w:jc w:val="both"/>
        <w:rPr/>
      </w:pPr>
      <w:r>
        <w:rPr>
          <w:color w:val="000000"/>
        </w:rPr>
        <w:t>“</w:t>
      </w:r>
      <w:r>
        <w:rPr>
          <w:rFonts w:ascii="Times New Roman" w:hAnsi="Times New Roman"/>
          <w:color w:val="000000"/>
          <w:sz w:val="24"/>
          <w:u w:val="single"/>
        </w:rPr>
        <w:t>Covered Executives</w:t>
      </w:r>
      <w:r>
        <w:rPr>
          <w:color w:val="000000"/>
        </w:rPr>
        <w:t xml:space="preserve">” </w:t>
      </w:r>
      <w:r>
        <w:rPr>
          <w:rFonts w:ascii="Times New Roman" w:hAnsi="Times New Roman"/>
          <w:color w:val="000000"/>
          <w:sz w:val="24"/>
        </w:rPr>
        <w:t>means the Company’s current and former executive officers, as determined by the Administrator in accordance with the definition of “executive officer” set forth in Rule 10D-1 and the NYSE Rule.</w:t>
      </w:r>
    </w:p>
    <w:p>
      <w:pPr>
        <w:pStyle w:val="TextBody"/>
        <w:bidi w:val="0"/>
        <w:spacing w:before="0" w:after="240"/>
        <w:jc w:val="both"/>
        <w:rPr>
          <w:color w:val="000000"/>
        </w:rPr>
      </w:pPr>
      <w:r>
        <w:rPr>
          <w:color w:val="000000"/>
        </w:rPr>
        <w:t>•</w:t>
      </w:r>
    </w:p>
    <w:p>
      <w:pPr>
        <w:pStyle w:val="TextBody"/>
        <w:bidi w:val="0"/>
        <w:spacing w:before="0" w:after="240"/>
        <w:jc w:val="both"/>
        <w:rPr/>
      </w:pPr>
      <w:r>
        <w:rPr>
          <w:color w:val="000000"/>
        </w:rPr>
        <w:t>“</w:t>
      </w:r>
      <w:r>
        <w:rPr>
          <w:rFonts w:ascii="Times New Roman" w:hAnsi="Times New Roman"/>
          <w:color w:val="000000"/>
          <w:sz w:val="24"/>
          <w:u w:val="single"/>
        </w:rPr>
        <w:t>Effective Date</w:t>
      </w:r>
      <w:r>
        <w:rPr>
          <w:color w:val="000000"/>
        </w:rPr>
        <w:t xml:space="preserve">” </w:t>
      </w:r>
      <w:r>
        <w:rPr>
          <w:rFonts w:ascii="Times New Roman" w:hAnsi="Times New Roman"/>
          <w:color w:val="000000"/>
          <w:sz w:val="24"/>
        </w:rPr>
        <w:t>means October 2, 2023, the effective date of the NYSE Rule.</w:t>
      </w:r>
    </w:p>
    <w:p>
      <w:pPr>
        <w:pStyle w:val="TextBody"/>
        <w:bidi w:val="0"/>
        <w:spacing w:before="0" w:after="240"/>
        <w:jc w:val="both"/>
        <w:rPr>
          <w:color w:val="000000"/>
        </w:rPr>
      </w:pPr>
      <w:r>
        <w:rPr>
          <w:color w:val="000000"/>
        </w:rPr>
        <w:t>•</w:t>
      </w:r>
    </w:p>
    <w:p>
      <w:pPr>
        <w:pStyle w:val="TextBody"/>
        <w:bidi w:val="0"/>
        <w:spacing w:before="0" w:after="240"/>
        <w:jc w:val="both"/>
        <w:rPr/>
      </w:pPr>
      <w:r>
        <w:rPr>
          <w:rFonts w:ascii="Times New Roman" w:hAnsi="Times New Roman"/>
          <w:color w:val="000000"/>
          <w:sz w:val="24"/>
        </w:rPr>
        <w:t>A “</w:t>
      </w:r>
      <w:r>
        <w:rPr>
          <w:rFonts w:ascii="Times New Roman" w:hAnsi="Times New Roman"/>
          <w:color w:val="000000"/>
          <w:sz w:val="24"/>
          <w:u w:val="single"/>
        </w:rPr>
        <w:t>Financial Reporting Measure</w:t>
      </w:r>
      <w:r>
        <w:rPr>
          <w:color w:val="000000"/>
        </w:rPr>
        <w:t xml:space="preserve">” </w:t>
      </w:r>
      <w:r>
        <w:rPr>
          <w:rFonts w:ascii="Times New Roman" w:hAnsi="Times New Roman"/>
          <w:color w:val="000000"/>
          <w:sz w:val="24"/>
        </w:rPr>
        <w:t>is any measure that is determined and presented in accordance with the accounting principles used in preparing the Company’s financial statements, and any measure that is derived wholly or in part from such measure. Financial Reporting Measures include but are not limited to the following (and any measures derived from the following): Company stock price; total shareholder return (“</w:t>
      </w:r>
      <w:r>
        <w:rPr>
          <w:rFonts w:ascii="Times New Roman" w:hAnsi="Times New Roman"/>
          <w:color w:val="000000"/>
          <w:sz w:val="24"/>
          <w:u w:val="single"/>
        </w:rPr>
        <w:t>TSR</w:t>
      </w:r>
      <w:r>
        <w:rPr>
          <w:color w:val="000000"/>
        </w:rPr>
        <w:t>”</w:t>
      </w:r>
      <w:r>
        <w:rPr>
          <w:rFonts w:ascii="Times New Roman" w:hAnsi="Times New Roman"/>
          <w:color w:val="000000"/>
          <w:sz w:val="24"/>
        </w:rPr>
        <w:t>); revenues; net income; operating income; profitability of one or more business segments; financial ratios (</w:t>
      </w:r>
      <w:r>
        <w:rPr>
          <w:rFonts w:ascii="Times New Roman" w:hAnsi="Times New Roman"/>
          <w:i/>
          <w:color w:val="000000"/>
          <w:sz w:val="24"/>
        </w:rPr>
        <w:t>e.g.</w:t>
      </w:r>
      <w:r>
        <w:rPr>
          <w:rFonts w:ascii="Times New Roman" w:hAnsi="Times New Roman"/>
          <w:color w:val="000000"/>
          <w:sz w:val="24"/>
        </w:rPr>
        <w:t>, accounts receivable turnover and inventory turnover rates); earnings before interest, taxes, depreciation and amortization (“</w:t>
      </w:r>
      <w:r>
        <w:rPr>
          <w:rFonts w:ascii="Times New Roman" w:hAnsi="Times New Roman"/>
          <w:color w:val="000000"/>
          <w:sz w:val="24"/>
          <w:u w:val="single"/>
        </w:rPr>
        <w:t>EBITDA</w:t>
      </w:r>
      <w:r>
        <w:rPr>
          <w:color w:val="000000"/>
        </w:rPr>
        <w:t>”</w:t>
      </w:r>
      <w:r>
        <w:rPr>
          <w:rFonts w:ascii="Times New Roman" w:hAnsi="Times New Roman"/>
          <w:color w:val="000000"/>
          <w:sz w:val="24"/>
        </w:rPr>
        <w:t>) and adjusted EBITDA; funds from operations and adjusted funds from operations; liquidity measures (</w:t>
      </w:r>
      <w:r>
        <w:rPr>
          <w:rFonts w:ascii="Times New Roman" w:hAnsi="Times New Roman"/>
          <w:i/>
          <w:color w:val="000000"/>
          <w:sz w:val="24"/>
        </w:rPr>
        <w:t>e.g.</w:t>
      </w:r>
      <w:r>
        <w:rPr>
          <w:rFonts w:ascii="Times New Roman" w:hAnsi="Times New Roman"/>
          <w:color w:val="000000"/>
          <w:sz w:val="24"/>
        </w:rPr>
        <w:t>, working capital, operating cash flow); return measures (</w:t>
      </w:r>
      <w:r>
        <w:rPr>
          <w:rFonts w:ascii="Times New Roman" w:hAnsi="Times New Roman"/>
          <w:i/>
          <w:color w:val="000000"/>
          <w:sz w:val="24"/>
        </w:rPr>
        <w:t>e.g.</w:t>
      </w:r>
      <w:r>
        <w:rPr>
          <w:rFonts w:ascii="Times New Roman" w:hAnsi="Times New Roman"/>
          <w:color w:val="000000"/>
          <w:sz w:val="24"/>
        </w:rPr>
        <w:t>, return on capital, return on assets); earnings measures (</w:t>
      </w:r>
      <w:r>
        <w:rPr>
          <w:rFonts w:ascii="Times New Roman" w:hAnsi="Times New Roman"/>
          <w:i/>
          <w:color w:val="000000"/>
          <w:sz w:val="24"/>
        </w:rPr>
        <w:t>e.g.</w:t>
      </w:r>
      <w:r>
        <w:rPr>
          <w:rFonts w:ascii="Times New Roman" w:hAnsi="Times New Roman"/>
          <w:color w:val="000000"/>
          <w:sz w:val="24"/>
        </w:rPr>
        <w:t>, earnings per diluted share and adjusted earnings per diluted share); cost per employee, where cost is subject to an Accounting Restatement; any of such financial reporting measures relative to a peer group, where the Company’s financial reporting measure is subject to an Accounting Restatement; and tax basis income. A Financial Reporting Measure need not be presented within the Company’s financial statements or included in a filing with the SEC.</w:t>
      </w:r>
    </w:p>
    <w:p>
      <w:pPr>
        <w:pStyle w:val="TextBody"/>
        <w:bidi w:val="0"/>
        <w:spacing w:before="0" w:after="240"/>
        <w:jc w:val="both"/>
        <w:rPr>
          <w:color w:val="000000"/>
        </w:rPr>
      </w:pPr>
      <w:r>
        <w:rPr>
          <w:color w:val="000000"/>
        </w:rPr>
        <w:t>•</w:t>
      </w:r>
    </w:p>
    <w:p>
      <w:pPr>
        <w:pStyle w:val="TextBody"/>
        <w:bidi w:val="0"/>
        <w:spacing w:before="0" w:after="240"/>
        <w:jc w:val="both"/>
        <w:rPr/>
      </w:pPr>
      <w:r>
        <w:rPr>
          <w:color w:val="000000"/>
        </w:rPr>
        <w:t>“</w:t>
      </w:r>
      <w:r>
        <w:rPr>
          <w:rFonts w:ascii="Times New Roman" w:hAnsi="Times New Roman"/>
          <w:color w:val="000000"/>
          <w:sz w:val="24"/>
          <w:u w:val="single"/>
        </w:rPr>
        <w:t>Incentive-Based Compensation</w:t>
      </w:r>
      <w:r>
        <w:rPr>
          <w:color w:val="000000"/>
        </w:rPr>
        <w:t xml:space="preserve">” </w:t>
      </w:r>
      <w:r>
        <w:rPr>
          <w:rFonts w:ascii="Times New Roman" w:hAnsi="Times New Roman"/>
          <w:color w:val="000000"/>
          <w:sz w:val="24"/>
        </w:rPr>
        <w:t>means any compensation that is granted, earned or vested based wholly or in part upon the attainment of a Financial Reporting Measure. Incentive-Based Compensation is “</w:t>
      </w:r>
      <w:r>
        <w:rPr>
          <w:rFonts w:ascii="Times New Roman" w:hAnsi="Times New Roman"/>
          <w:color w:val="000000"/>
          <w:sz w:val="24"/>
          <w:u w:val="single"/>
        </w:rPr>
        <w:t>received</w:t>
      </w:r>
      <w:r>
        <w:rPr>
          <w:color w:val="000000"/>
        </w:rPr>
        <w:t xml:space="preserve">” </w:t>
      </w:r>
      <w:r>
        <w:rPr>
          <w:rFonts w:ascii="Times New Roman" w:hAnsi="Times New Roman"/>
          <w:color w:val="000000"/>
          <w:sz w:val="24"/>
        </w:rPr>
        <w:t>for purposes of this Policy in the Company’s fiscal period during which the Financial Reporting Measure specified in the Incentive-Based Compensation award is attained, even if the payment or grant of such Incentive-Based Compensation occurs after the end of that period. Base salaries, bonuses or equity awards paid solely upon satisfying one or more subjective standards, strategic or operational measures, or continued employment are not considered incentive‐based compensation, unless the awards were granted, paid or vested based in part on a Financial Reporting Measure.</w:t>
      </w:r>
    </w:p>
    <w:p>
      <w:pPr>
        <w:pStyle w:val="TextBody"/>
        <w:bidi w:val="0"/>
        <w:jc w:val="center"/>
        <w:rPr>
          <w:rFonts w:ascii="Times New Roman" w:hAnsi="Times New Roman"/>
          <w:sz w:val="20"/>
        </w:rPr>
      </w:pPr>
      <w:r>
        <w:rPr>
          <w:rFonts w:ascii="Times New Roman" w:hAnsi="Times New Roman"/>
          <w:color w:val="000000"/>
          <w:sz w:val="24"/>
        </w:rPr>
        <w:t>- 2</w:t>
      </w:r>
      <w:r>
        <w:rPr>
          <w:rFonts w:ascii="Times New Roman" w:hAnsi="Times New Roman"/>
          <w:color w:val="000000"/>
          <w:sz w:val="20"/>
        </w:rPr>
        <w:t xml:space="preserve"> </w:t>
      </w:r>
      <w:r>
        <w:rPr>
          <w:rFonts w:ascii="Times New Roman" w:hAnsi="Times New Roman"/>
          <w:color w:val="000000"/>
          <w:sz w:val="24"/>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3.</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Mandatory Recovery Pursuant to Rule 10D-1 and NYSE Rule</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(a)</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Covered Executives; Incentive-Based Compensation</w:t>
      </w:r>
    </w:p>
    <w:p>
      <w:pPr>
        <w:pStyle w:val="TextBody"/>
        <w:bidi w:val="0"/>
        <w:spacing w:before="0" w:after="240"/>
        <w:jc w:val="both"/>
        <w:rPr>
          <w:rFonts w:ascii="Times New Roman" w:hAnsi="Times New Roman"/>
          <w:sz w:val="20"/>
        </w:rPr>
      </w:pPr>
      <w:r>
        <w:rPr>
          <w:rFonts w:ascii="Times New Roman" w:hAnsi="Times New Roman"/>
          <w:color w:val="000000"/>
          <w:sz w:val="24"/>
        </w:rPr>
        <w:t>This Policy applies to Incentive-Based Compensation received by a Covered Executive (i) on or after the Effective Date, (ii) after beginning services as a Covered Executive; (iii) if that person served as a Covered Executive at any time during the performance period for such Incentive-Based Compensation; (iv) while the Company had a listed class of securities on a national securities exchange or a national securities association; and (v) during the Applicable Period (the “</w:t>
      </w:r>
      <w:r>
        <w:rPr>
          <w:rFonts w:ascii="Times New Roman" w:hAnsi="Times New Roman"/>
          <w:color w:val="000000"/>
          <w:sz w:val="24"/>
          <w:u w:val="single"/>
        </w:rPr>
        <w:t>Clawback Eligible Incentive-Based Compensation</w:t>
      </w:r>
      <w:r>
        <w:rPr>
          <w:rFonts w:ascii="Times New Roman" w:hAnsi="Times New Roman"/>
          <w:color w:val="000000"/>
          <w:sz w:val="20"/>
        </w:rPr>
        <w:t>”</w:t>
      </w:r>
      <w:r>
        <w:rPr>
          <w:rFonts w:ascii="Times New Roman" w:hAnsi="Times New Roman"/>
          <w:color w:val="000000"/>
          <w:sz w:val="24"/>
        </w:rPr>
        <w:t>). Recovery of compensation is not required (A) with respect to any compensation received while an individual was serving in a non-executive capacity prior to becoming a Covered Executive or (B) from any individual who is a Covered Executive on the date on which the Company is required to prepare an Accounting Restatement but who was not a Covered Executive at any time during the performance period for which the Incentive-Based Compensation is received. For example, if an individual serving as a Covered Executive at the date that the Company is required to prepare an Accounting Restatement was not an executive officer at any time during a performance period that ended during the Applicable Period, amounts of incentive compensation received by that individual for that specific performance period are not required to be recovered.</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(b)</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Required Recoupment of Erroneously Awarded Compensation in the Event of an Accounting Restatement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In the event the Company is required to prepare an Accounting Restatement, the Company shall reasonably promptly recoup the amount of any “Erroneously Awarded Compensation” (as defined below) received by any Covered Executive, as calculated pursuant to </w:t>
      </w:r>
      <w:r>
        <w:rPr>
          <w:rFonts w:ascii="Times New Roman" w:hAnsi="Times New Roman"/>
          <w:color w:val="000000"/>
          <w:sz w:val="24"/>
          <w:u w:val="single"/>
        </w:rPr>
        <w:t>Section 3(c)</w:t>
      </w:r>
      <w:r>
        <w:rPr>
          <w:rFonts w:ascii="Times New Roman" w:hAnsi="Times New Roman"/>
          <w:color w:val="000000"/>
          <w:sz w:val="20"/>
        </w:rPr>
        <w:t xml:space="preserve"> </w:t>
      </w:r>
      <w:r>
        <w:rPr>
          <w:rFonts w:ascii="Times New Roman" w:hAnsi="Times New Roman"/>
          <w:color w:val="000000"/>
          <w:sz w:val="24"/>
        </w:rPr>
        <w:t>hereof, during the Applicable Period.</w:t>
      </w:r>
      <w:r>
        <w:rPr>
          <w:rFonts w:ascii="Times New Roman" w:hAnsi="Times New Roman"/>
          <w:color w:val="000000"/>
          <w:sz w:val="20"/>
        </w:rPr>
        <w:t xml:space="preserve">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(c)</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Erroneously Awarded Compensation: Amount Subject to Recovery</w:t>
      </w:r>
    </w:p>
    <w:p>
      <w:pPr>
        <w:pStyle w:val="TextBody"/>
        <w:bidi w:val="0"/>
        <w:spacing w:before="0" w:after="240"/>
        <w:jc w:val="both"/>
        <w:rPr>
          <w:rFonts w:ascii="Times New Roman" w:hAnsi="Times New Roman"/>
          <w:sz w:val="20"/>
        </w:rPr>
      </w:pPr>
      <w:r>
        <w:rPr>
          <w:rFonts w:ascii="Times New Roman" w:hAnsi="Times New Roman"/>
          <w:color w:val="000000"/>
          <w:sz w:val="24"/>
        </w:rPr>
        <w:t>The amount of “</w:t>
      </w:r>
      <w:r>
        <w:rPr>
          <w:rFonts w:ascii="Times New Roman" w:hAnsi="Times New Roman"/>
          <w:color w:val="000000"/>
          <w:sz w:val="24"/>
          <w:u w:val="single"/>
        </w:rPr>
        <w:t>Erroneously Awarded Compensation</w:t>
      </w:r>
      <w:r>
        <w:rPr>
          <w:rFonts w:ascii="Times New Roman" w:hAnsi="Times New Roman"/>
          <w:color w:val="000000"/>
          <w:sz w:val="20"/>
        </w:rPr>
        <w:t xml:space="preserve">” </w:t>
      </w:r>
      <w:r>
        <w:rPr>
          <w:rFonts w:ascii="Times New Roman" w:hAnsi="Times New Roman"/>
          <w:color w:val="000000"/>
          <w:sz w:val="24"/>
        </w:rPr>
        <w:t>subject to recovery under the Policy, with respect to each Covered Executive in connection with an Accounting Restatement, as determined by the Administrator, is the amount of the Clawback Eligible Incentive-Based Compensation received by such Covered Executive that exceeds the amount of Incentive-Based Compensation that would have been received by the Covered Executive had it been determined based on the restated amounts.</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In the event the Company is required to prepare an Accounting Restatement, the Administrator shall determine the amount of any Erroneously Awarded Compensation received by each effected Covered Executive in accordance with this Policy and shall promptly notify each effected Covered Executive with a written notice containing the amount of any Erroneously Awarded Compensation and a demand for repayment or return of such compensation, as applicable. Erroneously Awarded Compensation shall be computed by the Administrator without regard to any taxes that may have been incurred or paid by the Covered Executive in respect of the Erroneously Awarded Compensation. For the avoidance of doubt, recovery of Erroneously Awarded Compensation pursuant to this Policy is on a “no fault” basis, meaning that it will occur regardless of whether the Covered Executive engaged in misconduct or was otherwise directly or indirectly responsible, in</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color w:val="000000"/>
          <w:sz w:val="24"/>
        </w:rPr>
        <w:t>- 3</w:t>
      </w:r>
      <w:r>
        <w:rPr>
          <w:rFonts w:ascii="Times New Roman" w:hAnsi="Times New Roman"/>
          <w:color w:val="000000"/>
          <w:sz w:val="20"/>
        </w:rPr>
        <w:t xml:space="preserve"> </w:t>
      </w:r>
      <w:r>
        <w:rPr>
          <w:rFonts w:ascii="Times New Roman" w:hAnsi="Times New Roman"/>
          <w:color w:val="000000"/>
          <w:sz w:val="24"/>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whole or in part, for the Accounting Restatement. By way of example, with respect to any compensation plans or programs that take into account Incentive-Based Compensation, the amount of Erroneously Awarded Compensation subject to recovery hereunder includes, but is not limited to, the amount contributed to any notional account based on Erroneously Awarded Compensation and any earnings accrued to date on that notional amount.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For Incentive-Based Compensation based on (or derived from) stock price or TSR, where the amount of Erroneously Awarded Compensation is not subject to mathematical recalculation directly from the information in the applicable Accounting Restatement: (i) the Administrator shall determine the amount of Erroneously Awarded Compensation based on a reasonable estimate of the effect of the Accounting Restatement on the stock price or TSR upon which the Incentive-Based Compensation was received; and (ii) the Company shall maintain documentation of the determination of that reasonable estimate and provide such documentation to the NYSE.</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(d)</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Method of Recoupment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The Administrator shall determine, in its sole discretion, the appropriate method for reasonably promptly recouping Erroneously Awarded Compensation hereunder, which may include without limitation (i) seeking reimbursement of all or part of any cash or equity-based award, (ii) cancelling prior cash or equity-based awards, whether vested or unvested or paid or unpaid, (iii) cancelling or offsetting against any planned future cash or equity-based awards, (iv) forfeiture of deferred compensation, subject to compliance with Section 409A of the Internal Revenue Code and the regulations promulgated thereunder and (v) any other method authorized by applicable law or contract. Subject to compliance with any applicable law, the Administrator may affect recovery under this Policy from any amount otherwise payable to the Covered Executive, including amounts payable to such individual under any otherwise applicable Company plan or program, including base salary, bonuses or commissions and compensation previously deferred by the Covered Executive. Notwithstanding the foregoing, subject to the exceptions set forth in </w:t>
      </w:r>
      <w:r>
        <w:rPr>
          <w:rFonts w:ascii="Times New Roman" w:hAnsi="Times New Roman"/>
          <w:color w:val="000000"/>
          <w:sz w:val="24"/>
          <w:u w:val="single"/>
        </w:rPr>
        <w:t>Section 3(e)</w:t>
      </w:r>
      <w:r>
        <w:rPr>
          <w:rFonts w:ascii="Times New Roman" w:hAnsi="Times New Roman"/>
          <w:color w:val="000000"/>
          <w:sz w:val="20"/>
        </w:rPr>
        <w:t xml:space="preserve"> </w:t>
      </w:r>
      <w:r>
        <w:rPr>
          <w:rFonts w:ascii="Times New Roman" w:hAnsi="Times New Roman"/>
          <w:color w:val="000000"/>
          <w:sz w:val="24"/>
        </w:rPr>
        <w:t>below, in no event may the Company accept an amount that is less than the amount of Erroneously Awarded Compensation in satisfaction of a Covered Executive’s obligations under this Policy. To the extent that a Covered Executive fails to repay all Erroneously Awarded Compensation to the Company when due, the Company shall, and shall cause one or more of its subsidiaries to, take all actions reasonable and appropriate to recover such Erroneously Awarded Compensation from the applicable Covered Executive. The applicable Covered Executive shall be required to reimburse the Company and its subsidiaries for any and all expenses reasonably incurred (including legal fees) by the Company of any of its subsidiaries in recovering such Erroneously Awarded Compensation in accordance with the immediately preceding sentence.</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(e)</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Limited Exceptions to Mandatory Recovery</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The Company is authorized and directed pursuant to this </w:t>
      </w:r>
      <w:r>
        <w:rPr>
          <w:rFonts w:ascii="Times New Roman" w:hAnsi="Times New Roman"/>
          <w:color w:val="000000"/>
          <w:sz w:val="24"/>
          <w:u w:val="single"/>
        </w:rPr>
        <w:t>Section 3</w:t>
      </w:r>
      <w:r>
        <w:rPr>
          <w:rFonts w:ascii="Times New Roman" w:hAnsi="Times New Roman"/>
          <w:color w:val="000000"/>
          <w:sz w:val="20"/>
        </w:rPr>
        <w:t xml:space="preserve"> </w:t>
      </w:r>
      <w:r>
        <w:rPr>
          <w:rFonts w:ascii="Times New Roman" w:hAnsi="Times New Roman"/>
          <w:color w:val="000000"/>
          <w:sz w:val="24"/>
        </w:rPr>
        <w:t>to recoup Erroneously Awarded Compensation in compliance with this Policy unless the Administrator has determined that recovery would be impracticable solely for the following limited reasons, and subject to the following procedural and disclosure requirements:</w:t>
      </w:r>
    </w:p>
    <w:p>
      <w:pPr>
        <w:pStyle w:val="TextBody"/>
        <w:bidi w:val="0"/>
        <w:spacing w:before="0" w:after="240"/>
        <w:jc w:val="both"/>
        <w:rPr>
          <w:color w:val="000000"/>
        </w:rPr>
      </w:pPr>
      <w:r>
        <w:rPr>
          <w:color w:val="000000"/>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The direct expense paid to a third party to assist in enforcing the Policy would exceed the amount to be recovered. Before concluding that it would be impracticable to recover any </w:t>
      </w:r>
    </w:p>
    <w:p>
      <w:pPr>
        <w:pStyle w:val="TextBody"/>
        <w:bidi w:val="0"/>
        <w:jc w:val="center"/>
        <w:rPr>
          <w:rFonts w:ascii="Times New Roman" w:hAnsi="Times New Roman"/>
          <w:sz w:val="20"/>
        </w:rPr>
      </w:pPr>
      <w:r>
        <w:rPr>
          <w:rFonts w:ascii="Times New Roman" w:hAnsi="Times New Roman"/>
          <w:color w:val="000000"/>
          <w:sz w:val="24"/>
        </w:rPr>
        <w:t>- 4</w:t>
      </w:r>
      <w:r>
        <w:rPr>
          <w:rFonts w:ascii="Times New Roman" w:hAnsi="Times New Roman"/>
          <w:color w:val="000000"/>
          <w:sz w:val="20"/>
        </w:rPr>
        <w:t xml:space="preserve"> </w:t>
      </w:r>
      <w:r>
        <w:rPr>
          <w:rFonts w:ascii="Times New Roman" w:hAnsi="Times New Roman"/>
          <w:color w:val="000000"/>
          <w:sz w:val="24"/>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amount of Erroneously Awarded Compensation based on expense of enforcement, the Administrator must make a reasonable attempt to recover such erroneously awarded compensation, document such reasonable attempt(s) to recover and provide that documentation to NYSE; or</w:t>
      </w:r>
    </w:p>
    <w:p>
      <w:pPr>
        <w:pStyle w:val="TextBody"/>
        <w:bidi w:val="0"/>
        <w:spacing w:before="0" w:after="240"/>
        <w:jc w:val="both"/>
        <w:rPr>
          <w:color w:val="000000"/>
        </w:rPr>
      </w:pPr>
      <w:r>
        <w:rPr>
          <w:color w:val="000000"/>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Recovery would likely cause an otherwise tax-qualified retirement plan, under which benefits are broadly available to employees of the Company, to fail to meet the requirements of 26 U.S.C. 401(a)(13) or 26 U.S.C. 411(a), as amended, and regulations thereunder.</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(f)</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No Indemnification of Covered Executives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Notwithstanding the terms of any indemnification or insurance policy or any contractual arrangement with any Covered Executive that may be interpreted to the contrary, neither the Company nor any of its subsidiaries shall insure or indemnify any Covered Executives against (i) the loss of any Erroneously Awarded Compensation that is repaid, returned or recovered pursuant to the terms of this Policy, or (ii) any claims relating to the Company’s enforcement of its rights under this Policy, including any payment or reimbursement for the cost of third-party insurance purchased by any Covered Executives to fund potential clawback obligations under this Policy. Further, the Company and its subsidiaries shall not enter into any agreement that exempts any Incentive-Based Compensation that is granted, paid or awarded to any Covered Executive from the application of this Policy or that waives the Company’s right to recovery of any Erroneously Awarded Compensation, and this Policy shall supersede any such agreement (whether entered into before, on or after the Effective Date of this Policy).</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4.</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Administrator Indemnification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Any members of the Administrator, and any other members of the Board who assist in the administration of this Policy, shall not be personally liable for any action, determination or interpretation made with respect to this Policy and shall be fully indemnified by the Company to the fullest extent under applicable law and Company policy with respect to any such action, determination or interpretation. The foregoing sentence shall not limit any other rights to indemnification of the members of the Board under applicable law or Company policy.</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5.</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Effective Date; Retroactive Application</w:t>
      </w:r>
    </w:p>
    <w:p>
      <w:pPr>
        <w:pStyle w:val="TextBody"/>
        <w:bidi w:val="0"/>
        <w:spacing w:before="0" w:after="240"/>
        <w:jc w:val="both"/>
        <w:rPr>
          <w:rFonts w:ascii="Times New Roman" w:hAnsi="Times New Roman"/>
          <w:sz w:val="20"/>
        </w:rPr>
      </w:pPr>
      <w:r>
        <w:rPr>
          <w:rFonts w:ascii="Times New Roman" w:hAnsi="Times New Roman"/>
          <w:color w:val="000000"/>
          <w:sz w:val="24"/>
        </w:rPr>
        <w:t>This Policy shall be effective as of the Effective Date. The terms of this Policy shall apply to any Incentive-Based Compensation that is received by Covered Executives on or after the Effective Date, even if such Incentive-Based Compensation was approved, awarded, granted or paid to Covered Executives prior to the Effective Date.</w:t>
      </w:r>
      <w:r>
        <w:rPr>
          <w:rFonts w:ascii="Times New Roman" w:hAnsi="Times New Roman"/>
          <w:color w:val="000000"/>
          <w:sz w:val="20"/>
        </w:rPr>
        <w:t xml:space="preserve">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6.</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Amendment; Termination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Subject to the compliance with applicable federal securities laws, Rule 10D-1 and the NYSE Rule, the Board may amend, modify, supplement, rescind or replace all or any portion of this Policy at any time and from time to time in its discretion, and shall amend this Policy as it deems necessary to comply with applicable law or any rules or standards adopted by SEC or NYSE.</w:t>
      </w:r>
    </w:p>
    <w:p>
      <w:pPr>
        <w:pStyle w:val="TextBody"/>
        <w:bidi w:val="0"/>
        <w:jc w:val="center"/>
        <w:rPr>
          <w:rFonts w:ascii="Times New Roman" w:hAnsi="Times New Roman"/>
          <w:sz w:val="20"/>
        </w:rPr>
      </w:pPr>
      <w:r>
        <w:rPr>
          <w:rFonts w:ascii="Times New Roman" w:hAnsi="Times New Roman"/>
          <w:color w:val="000000"/>
          <w:sz w:val="24"/>
        </w:rPr>
        <w:t>- 5</w:t>
      </w:r>
      <w:r>
        <w:rPr>
          <w:rFonts w:ascii="Times New Roman" w:hAnsi="Times New Roman"/>
          <w:color w:val="000000"/>
          <w:sz w:val="20"/>
        </w:rPr>
        <w:t xml:space="preserve"> </w:t>
      </w:r>
      <w:r>
        <w:rPr>
          <w:rFonts w:ascii="Times New Roman" w:hAnsi="Times New Roman"/>
          <w:color w:val="000000"/>
          <w:sz w:val="24"/>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7.</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Other Recoupment Rights; Company Claims</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The Board intends that this Policy shall be applied to the fullest extent of the law. This Policy is in addition to the requirements of Section 304 of the Sarbanes‐Oxley Act of 2002, which shall continue to apply to the Company’s chief executive officer and chief financial officer who, in the event that the Company is required to prepare an accounting restatement due to the material noncompliance of the Company, as a result of misconduct, with any financial reporting requirement under the securities laws, shall reimburse the Company for any bonus or other incentive-based or equity-based compensation received by such person from the Company during the 12-month period following the first public issuance or filing with SEC (whichever first occurs) of the financial document embodying such financial reporting requirement, and any profits realized from the sale of securities of the Company during that 12-month period. Any right of recoupment under this Policy is in addition to, and not in lieu of, any other remedies or rights of recoupment that may be available to the Company or any of its subsidiaries under applicable law or pursuant to the terms of any similar policy in any employment agreement, offer letter, compensation plan, equity award agreement, or similar agreement or arrangement, and any other legal remedies available to the Company or any of its subsidiaries under any other policy of the Company; </w:t>
      </w:r>
      <w:r>
        <w:rPr>
          <w:rFonts w:ascii="Times New Roman" w:hAnsi="Times New Roman"/>
          <w:i/>
          <w:color w:val="000000"/>
          <w:sz w:val="24"/>
        </w:rPr>
        <w:t>provided</w:t>
      </w:r>
      <w:r>
        <w:rPr>
          <w:rFonts w:ascii="Times New Roman" w:hAnsi="Times New Roman"/>
          <w:color w:val="000000"/>
          <w:sz w:val="24"/>
        </w:rPr>
        <w:t xml:space="preserve">, </w:t>
      </w:r>
      <w:r>
        <w:rPr>
          <w:rFonts w:ascii="Times New Roman" w:hAnsi="Times New Roman"/>
          <w:i/>
          <w:color w:val="000000"/>
          <w:sz w:val="24"/>
        </w:rPr>
        <w:t>however</w:t>
      </w:r>
      <w:r>
        <w:rPr>
          <w:rFonts w:ascii="Times New Roman" w:hAnsi="Times New Roman"/>
          <w:color w:val="000000"/>
          <w:sz w:val="24"/>
        </w:rPr>
        <w:t>, that to the extent that the Covered Executive has already reimbursed the Company for any Erroneously Awarded Compensation received under any duplicative recovery obligations established by the Company or applicable law (including, without limitation, pursuant to Section 304 of the Sarbanes‐Oxley Act of 2002), it shall be appropriate for any such reimbursed amount to be credited to the amount of Erroneously Awarded Compensation that is subject to recovery under this Policy. Any employment agreement, offer letter, compensation plan, equity award agreement, or any other agreement or arrangement with an Covered Executive (whether entered into before, on or after the Effective Date of this Policy) shall be deemed to include, as a condition to the grant of any benefit thereunder, an agreement by the Covered Executive to abide by the terms of this Policy.</w:t>
      </w:r>
    </w:p>
    <w:p>
      <w:pPr>
        <w:pStyle w:val="TextBody"/>
        <w:bidi w:val="0"/>
        <w:spacing w:before="0" w:after="240"/>
        <w:jc w:val="both"/>
        <w:rPr>
          <w:rFonts w:ascii="Times New Roman" w:hAnsi="Times New Roman"/>
          <w:sz w:val="20"/>
        </w:rPr>
      </w:pPr>
      <w:r>
        <w:rPr>
          <w:rFonts w:ascii="Times New Roman" w:hAnsi="Times New Roman"/>
          <w:color w:val="000000"/>
          <w:sz w:val="24"/>
        </w:rPr>
        <w:t>Nothing contained in this Policy, and no recoupment or recovery as contemplated by this Policy, shall limit or preclude any claims, damages or other legal remedies the Company or any of its affiliates may have against a Covered Executive or any other person arising out of or resulting from any actions or omissions by the Covered Executive and any other actions that the Company may take, including termination of employment, institution of civil proceedings, or reporting of any misconduct to appropriate government authorities.</w:t>
      </w:r>
      <w:r>
        <w:rPr>
          <w:rFonts w:ascii="Times New Roman" w:hAnsi="Times New Roman"/>
          <w:color w:val="000000"/>
          <w:sz w:val="20"/>
        </w:rPr>
        <w:t xml:space="preserve">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8.</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Successors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This Policy shall be binding and enforceable against all Covered Executives and, to the extent required by applicable law or guidance from the SEC or NYSE, their beneficiaries, heirs, executors, administrators or other legal representatives.</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9.</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Disclosure Requirement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 copy of this Policy and any amendments thereto shall be filed as an exhibit to the Company’s annual report on Form 10-K and the Company shall comply with the disclosure, documentation and records requirements related to this Policy under Section 10D of the Exchange Act, Rule 10D-1, applicable listing rules of NYSE and applicable SEC filings.</w:t>
      </w:r>
    </w:p>
    <w:p>
      <w:pPr>
        <w:pStyle w:val="TextBody"/>
        <w:bidi w:val="0"/>
        <w:jc w:val="center"/>
        <w:rPr>
          <w:rFonts w:ascii="Times New Roman" w:hAnsi="Times New Roman"/>
          <w:sz w:val="20"/>
        </w:rPr>
      </w:pPr>
      <w:r>
        <w:rPr>
          <w:rFonts w:ascii="Times New Roman" w:hAnsi="Times New Roman"/>
          <w:color w:val="000000"/>
          <w:sz w:val="24"/>
        </w:rPr>
        <w:t>- 6</w:t>
      </w:r>
      <w:r>
        <w:rPr>
          <w:rFonts w:ascii="Times New Roman" w:hAnsi="Times New Roman"/>
          <w:color w:val="000000"/>
          <w:sz w:val="20"/>
        </w:rPr>
        <w:t xml:space="preserve"> </w:t>
      </w:r>
      <w:r>
        <w:rPr>
          <w:rFonts w:ascii="Times New Roman" w:hAnsi="Times New Roman"/>
          <w:color w:val="000000"/>
          <w:sz w:val="24"/>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i/>
          <w:color w:val="000000"/>
          <w:sz w:val="24"/>
        </w:rPr>
      </w:pPr>
      <w:r>
        <w:rPr>
          <w:rFonts w:ascii="Times New Roman" w:hAnsi="Times New Roman"/>
          <w:i/>
          <w:color w:val="000000"/>
          <w:sz w:val="24"/>
        </w:rPr>
        <w:t>[TO BE SIGNED BY THE COMPANY’S EXECUTIVE OFFICERS:]</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Clawback Policy Acknowledgment</w:t>
      </w:r>
    </w:p>
    <w:p>
      <w:pPr>
        <w:pStyle w:val="TextBody"/>
        <w:bidi w:val="0"/>
        <w:spacing w:before="0" w:after="720"/>
        <w:jc w:val="both"/>
        <w:rPr>
          <w:rFonts w:ascii="Times New Roman" w:hAnsi="Times New Roman"/>
          <w:sz w:val="20"/>
        </w:rPr>
      </w:pPr>
      <w:r>
        <w:rPr>
          <w:rFonts w:ascii="Times New Roman" w:hAnsi="Times New Roman"/>
          <w:color w:val="000000"/>
          <w:sz w:val="24"/>
        </w:rPr>
        <w:t>I, the undersigned, agree and acknowledge that I have received and read the attached Clawback Policy of Universal Health Services, Inc. (as may be amended, restated, supplemented or otherwise modified from time to time, the “</w:t>
      </w:r>
      <w:r>
        <w:rPr>
          <w:rFonts w:ascii="Times New Roman" w:hAnsi="Times New Roman"/>
          <w:color w:val="000000"/>
          <w:sz w:val="24"/>
          <w:u w:val="single"/>
        </w:rPr>
        <w:t>Policy</w:t>
      </w:r>
      <w:r>
        <w:rPr>
          <w:rFonts w:ascii="Times New Roman" w:hAnsi="Times New Roman"/>
          <w:color w:val="000000"/>
          <w:sz w:val="20"/>
        </w:rPr>
        <w:t>”</w:t>
      </w:r>
      <w:r>
        <w:rPr>
          <w:rFonts w:ascii="Times New Roman" w:hAnsi="Times New Roman"/>
          <w:color w:val="000000"/>
          <w:sz w:val="24"/>
        </w:rPr>
        <w:t>), and I am fully bound by, and subject to, all of the terms and conditions of the Policy. In the event of any inconsistency between the Policy and the terms of any employment agreement to which I am a party, or the terms of any compensation plan, program or agreement under which any compensation has been granted, awarded, earned or paid, the terms of the Policy shall govern. In the event it is determined by the Administrator that any amounts granted, awarded, earned or paid to me must be forfeited or reimbursed to the Company, I will promptly take any action necessary to effectuate such forfeiture and/or reimbursement. Any capitalized terms used in this Acknowledgment without definition shall have the meaning set forth in the Policy.</w:t>
      </w:r>
    </w:p>
    <w:tbl>
      <w:tblPr>
        <w:tblW w:w="1592" w:type="dxa"/>
        <w:jc w:val="left"/>
        <w:tblInd w:w="0" w:type="dxa"/>
        <w:tblLayout w:type="fixed"/>
        <w:tblCellMar>
          <w:top w:w="28" w:type="dxa"/>
          <w:left w:w="28" w:type="dxa"/>
          <w:bottom w:w="28" w:type="dxa"/>
          <w:right w:w="28" w:type="dxa"/>
        </w:tblCellMar>
      </w:tblPr>
      <w:tblGrid>
        <w:gridCol w:w="841"/>
        <w:gridCol w:w="751"/>
      </w:tblGrid>
      <w:tr>
        <w:trPr/>
        <w:tc>
          <w:tcPr>
            <w:tcW w:w="84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r>
      <w:tr>
        <w:trPr/>
        <w:tc>
          <w:tcPr>
            <w:tcW w:w="8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By:</w:t>
            </w:r>
          </w:p>
        </w:tc>
        <w:tc>
          <w:tcPr>
            <w:tcW w:w="75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[Name]</w:t>
            </w:r>
          </w:p>
        </w:tc>
        <w:tc>
          <w:tcPr>
            <w:tcW w:w="7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[Date]</w:t>
            </w:r>
          </w:p>
        </w:tc>
      </w:tr>
      <w:tr>
        <w:trPr/>
        <w:tc>
          <w:tcPr>
            <w:tcW w:w="8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[Title]</w:t>
            </w:r>
          </w:p>
        </w:tc>
        <w:tc>
          <w:tcPr>
            <w:tcW w:w="75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color w:val="000000"/>
          <w:sz w:val="24"/>
        </w:rPr>
        <w:t>- 7</w:t>
      </w:r>
      <w:r>
        <w:rPr>
          <w:rFonts w:ascii="Times New Roman" w:hAnsi="Times New Roman"/>
          <w:color w:val="000000"/>
          <w:sz w:val="20"/>
        </w:rPr>
        <w:t xml:space="preserve"> </w:t>
      </w:r>
      <w:r>
        <w:rPr>
          <w:rFonts w:ascii="Times New Roman" w:hAnsi="Times New Roman"/>
          <w:color w:val="000000"/>
          <w:sz w:val="24"/>
        </w:rPr>
        <w:t>-</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sans-serif">
    <w:altName w:val="Arial"/>
    <w:charset w:val="01"/>
    <w:family w:val="auto"/>
    <w:pitch w:val="default"/>
  </w:font>
  <w:font w:name="Arial">
    <w:charset w:val="01"/>
    <w:family w:val="auto"/>
    <w:pitch w:val="default"/>
  </w:font>
  <w:font w:name="Merriweather">
    <w:altName w:val="serif"/>
    <w:charset w:val="01"/>
    <w:family w:val="auto"/>
    <w:pitch w:val="default"/>
  </w:font>
  <w:font w:name="Georgia">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gif"/><Relationship Id="rId3" Type="http://schemas.openxmlformats.org/officeDocument/2006/relationships/hyperlink" Target="https://www.sec.gov/Archives/edgar/data/352915/000089322097001362/" TargetMode="External"/><Relationship Id="rId4" Type="http://schemas.openxmlformats.org/officeDocument/2006/relationships/hyperlink" Target="https://www.sec.gov/Archives/edgar/data/352915/000156459022032142/uhs-ex31_9.htm" TargetMode="External"/><Relationship Id="rId5" Type="http://schemas.openxmlformats.org/officeDocument/2006/relationships/hyperlink" Target="https://www.sec.gov/Archives/edgar/data/352915/000095013001502858/dex31.txt" TargetMode="External"/><Relationship Id="rId6" Type="http://schemas.openxmlformats.org/officeDocument/2006/relationships/hyperlink" Target="https://www.sec.gov/Archives/edgar/data/0000352915/000156459020006793/uhs-ex45_148.htm" TargetMode="External"/><Relationship Id="rId7" Type="http://schemas.openxmlformats.org/officeDocument/2006/relationships/hyperlink" Target="https://www.sec.gov/Archives/edgar/data/0000352915/000156459020006793/uhs-ex45_148.htm" TargetMode="External"/><Relationship Id="rId8" Type="http://schemas.openxmlformats.org/officeDocument/2006/relationships/hyperlink" Target="https://www.sec.gov/Archives/edgar/data/0000352915/000156459020006793/uhs-ex45_148.htm" TargetMode="External"/><Relationship Id="rId9" Type="http://schemas.openxmlformats.org/officeDocument/2006/relationships/hyperlink" Target="https://www.sec.gov/Archives/edgar/data/352915/000156459020044127/uhs-ex41_36.htm" TargetMode="External"/><Relationship Id="rId10" Type="http://schemas.openxmlformats.org/officeDocument/2006/relationships/hyperlink" Target="https://www.sec.gov/Archives/edgar/data/0000352915/000156459020044127/uhs-ex42_7.htm" TargetMode="External"/><Relationship Id="rId11" Type="http://schemas.openxmlformats.org/officeDocument/2006/relationships/hyperlink" Target="https://www.sec.gov/Archives/edgar/data/0000352915/000156459021045588/uhs-ex41_13.htm" TargetMode="External"/><Relationship Id="rId12" Type="http://schemas.openxmlformats.org/officeDocument/2006/relationships/hyperlink" Target="https://www.sec.gov/Archives/edgar/data/0000352915/000156459021045588/uhs-ex42_11.htm" TargetMode="External"/><Relationship Id="rId13" Type="http://schemas.openxmlformats.org/officeDocument/2006/relationships/hyperlink" Target="https://www.sec.gov/Archives/edgar/data/0000352915/000156459021045588/uhs-ex43_9.htm" TargetMode="External"/><Relationship Id="rId14" Type="http://schemas.openxmlformats.org/officeDocument/2006/relationships/hyperlink" Target="https://www.sec.gov/Archives/edgar/data/352915/000156459022024223/uhs-ex41_9.htm" TargetMode="External"/><Relationship Id="rId15" Type="http://schemas.openxmlformats.org/officeDocument/2006/relationships/hyperlink" Target="https://www.sec.gov/Archives/edgar/data/352915/000156459022024223/uhs-ex42_7.htm" TargetMode="External"/><Relationship Id="rId16" Type="http://schemas.openxmlformats.org/officeDocument/2006/relationships/hyperlink" Target="https://www.sec.gov/Archives/edgar/data/352915/000156459022037046/uhs-ex41_48.htm" TargetMode="External"/><Relationship Id="rId17" Type="http://schemas.openxmlformats.org/officeDocument/2006/relationships/hyperlink" Target="https://www.sec.gov/Archives/edgar/data/352915/000156459022037046/uhs-ex42_47.htm" TargetMode="External"/><Relationship Id="rId18" Type="http://schemas.openxmlformats.org/officeDocument/2006/relationships/hyperlink" Target="https://www.sec.gov/Archives/edgar/data/352915/000119312524229561/d895626dex41.htm" TargetMode="External"/><Relationship Id="rId19" Type="http://schemas.openxmlformats.org/officeDocument/2006/relationships/hyperlink" Target="https://www.sec.gov/Archives/edgar/data/352915/000119312524229561/d895626dex42.htm" TargetMode="External"/><Relationship Id="rId20" Type="http://schemas.openxmlformats.org/officeDocument/2006/relationships/hyperlink" Target="https://www.sec.gov/Archives/edgar/data/352915/000119312524229561/d895626dex45.htm" TargetMode="External"/><Relationship Id="rId21" Type="http://schemas.openxmlformats.org/officeDocument/2006/relationships/hyperlink" Target="https://www.sec.gov/Archives/edgar/data/0000352915/000156459019004919/uhs-ex103_37.htm" TargetMode="External"/><Relationship Id="rId22" Type="http://schemas.openxmlformats.org/officeDocument/2006/relationships/hyperlink" Target="https://www.sec.gov/Archives/edgar/data/0000352915/000093176303000570/dex107.txt" TargetMode="External"/><Relationship Id="rId23" Type="http://schemas.openxmlformats.org/officeDocument/2006/relationships/hyperlink" Target="https://www.sec.gov/Archives/edgar/data/0000352915/000156459019017239/uhs-ex101_23.htm" TargetMode="External"/><Relationship Id="rId24" Type="http://schemas.openxmlformats.org/officeDocument/2006/relationships/hyperlink" Target="https://www.sec.gov/Archives/edgar/data/0000352915/000093176303000570/dex1029.txt" TargetMode="External"/><Relationship Id="rId25" Type="http://schemas.openxmlformats.org/officeDocument/2006/relationships/hyperlink" Target="https://www.sec.gov/Archives/edgar/data/0000352915/000119312507042808/dex1029.htm" TargetMode="External"/><Relationship Id="rId26" Type="http://schemas.openxmlformats.org/officeDocument/2006/relationships/hyperlink" Target="https://www.sec.gov/Archives/edgar/data/0000352915/000095015710002042/ex10-1.htm" TargetMode="External"/><Relationship Id="rId27" Type="http://schemas.openxmlformats.org/officeDocument/2006/relationships/hyperlink" Target="https://www.sec.gov/Archives/edgar/data/0000352915/000119312511067583/dex101.htm" TargetMode="External"/><Relationship Id="rId28" Type="http://schemas.openxmlformats.org/officeDocument/2006/relationships/hyperlink" Target="https://www.sec.gov/Archives/edgar/data/0000352915/000119312512404549/d415922dex101.htm" TargetMode="External"/><Relationship Id="rId29" Type="http://schemas.openxmlformats.org/officeDocument/2006/relationships/hyperlink" Target="https://www.sec.gov/Archives/edgar/data/0000352915/000119312512404549/d415922dex102.htm" TargetMode="External"/><Relationship Id="rId30" Type="http://schemas.openxmlformats.org/officeDocument/2006/relationships/hyperlink" Target="https://www.sec.gov/Archives/edgar/data/0000352915/000119312513225260/d540638dex101.htm" TargetMode="External"/><Relationship Id="rId31" Type="http://schemas.openxmlformats.org/officeDocument/2006/relationships/hyperlink" Target="https://www.sec.gov/Archives/edgar/data/0000352915/000119312514306618/d773872dex101.htm" TargetMode="External"/><Relationship Id="rId32" Type="http://schemas.openxmlformats.org/officeDocument/2006/relationships/hyperlink" Target="https://www.sec.gov/Archives/edgar/data/0000352915/000119312514306618/d773872dex102.htm" TargetMode="External"/><Relationship Id="rId33" Type="http://schemas.openxmlformats.org/officeDocument/2006/relationships/hyperlink" Target="https://www.sec.gov/Archives/edgar/data/0000352915/000119312516616699/d200774dex101.htm" TargetMode="External"/><Relationship Id="rId34" Type="http://schemas.openxmlformats.org/officeDocument/2006/relationships/hyperlink" Target="https://www.sec.gov/Archives/edgar/data/0000352915/000156459018024906/uhs-ex101_7.htm" TargetMode="External"/><Relationship Id="rId35" Type="http://schemas.openxmlformats.org/officeDocument/2006/relationships/hyperlink" Target="https://www.sec.gov/Archives/edgar/data/0000352915/000156459018026508/uhs-ex101_7.htm" TargetMode="External"/><Relationship Id="rId36" Type="http://schemas.openxmlformats.org/officeDocument/2006/relationships/hyperlink" Target="https://www.sec.gov/Archives/edgar/data/0000352915/000156459021045588/uhs-ex102_10.htm" TargetMode="External"/><Relationship Id="rId37" Type="http://schemas.openxmlformats.org/officeDocument/2006/relationships/hyperlink" Target="https://www.sec.gov/Archives/edgar/data/0000352915/000156459021055254/uhs-ex103_23.htm" TargetMode="External"/><Relationship Id="rId38" Type="http://schemas.openxmlformats.org/officeDocument/2006/relationships/hyperlink" Target="https://www.sec.gov/Archives/edgar/data/352915/000156459022024223/uhs-ex101_8.htm" TargetMode="External"/><Relationship Id="rId39" Type="http://schemas.openxmlformats.org/officeDocument/2006/relationships/hyperlink" Target="https://www.sec.gov/Archives/edgar/data/0000352915/000119312510278167/dex101.htm" TargetMode="External"/><Relationship Id="rId40" Type="http://schemas.openxmlformats.org/officeDocument/2006/relationships/hyperlink" Target="https://www.sec.gov/Archives/edgar/data/0000352915/000119312510278167/dex102.htm" TargetMode="External"/><Relationship Id="rId41" Type="http://schemas.openxmlformats.org/officeDocument/2006/relationships/hyperlink" Target="https://www.sec.gov/Archives/edgar/data/0000352915/000119312510278167/dex103.htm" TargetMode="External"/><Relationship Id="rId42" Type="http://schemas.openxmlformats.org/officeDocument/2006/relationships/hyperlink" Target="https://www.sec.gov/Archives/edgar/data/0000352915/000119312510278167/dex104.htm" TargetMode="External"/><Relationship Id="rId43" Type="http://schemas.openxmlformats.org/officeDocument/2006/relationships/hyperlink" Target="https://www.sec.gov/Archives/edgar/data/0000352915/000119312514306618/d773872dex104.htm" TargetMode="External"/><Relationship Id="rId44" Type="http://schemas.openxmlformats.org/officeDocument/2006/relationships/hyperlink" Target="https://www.sec.gov/Archives/edgar/data/0000352915/000156459020038367/uhs-ex105_114.htm" TargetMode="External"/><Relationship Id="rId45" Type="http://schemas.openxmlformats.org/officeDocument/2006/relationships/hyperlink" Target="https://www.sec.gov/Archives/edgar/data/0000352915/000156459020038367/uhs-ex106_115.htm" TargetMode="External"/><Relationship Id="rId46" Type="http://schemas.openxmlformats.org/officeDocument/2006/relationships/hyperlink" Target="https://www.sec.gov/Archives/edgar/data/0000352915/000156459020038367/uhs-ex106_115.htm" TargetMode="External"/><Relationship Id="rId47" Type="http://schemas.openxmlformats.org/officeDocument/2006/relationships/hyperlink" Target="https://www.sec.gov/Archives/edgar/data/0000352915/000156459020038367/uhs-ex106_115.htm" TargetMode="External"/><Relationship Id="rId48" Type="http://schemas.openxmlformats.org/officeDocument/2006/relationships/hyperlink" Target="https://www.sec.gov/Archives/edgar/data/0000352915/000156459020038367/uhs-ex107_113.htm" TargetMode="External"/><Relationship Id="rId49" Type="http://schemas.openxmlformats.org/officeDocument/2006/relationships/hyperlink" Target="https://www.sec.gov/Archives/edgar/data/0000352915/000156459020032190/uhs-ex101_17.htm" TargetMode="External"/><Relationship Id="rId50" Type="http://schemas.openxmlformats.org/officeDocument/2006/relationships/hyperlink" Target="https://www.sec.gov/Archives/edgar/data/0000352915/000156459020032190/uhs-ex102_15.htm" TargetMode="External"/><Relationship Id="rId51" Type="http://schemas.openxmlformats.org/officeDocument/2006/relationships/hyperlink" Target="https://www.sec.gov/Archives/edgar/data/0000352915/000156459020032190/uhs-ex103_16.htm" TargetMode="External"/><Relationship Id="rId52" Type="http://schemas.openxmlformats.org/officeDocument/2006/relationships/hyperlink" Target="https://www.sec.gov/Archives/edgar/data/352915/000156459022006717/uhs-ex1054_42.htm" TargetMode="External"/><Relationship Id="rId53" Type="http://schemas.openxmlformats.org/officeDocument/2006/relationships/hyperlink" Target="https://www.sec.gov/Archives/edgar/data/352915/000156459022011986/uhs-ex101_6.htm" TargetMode="External"/><Relationship Id="rId54" Type="http://schemas.openxmlformats.org/officeDocument/2006/relationships/hyperlink" Target="https://www.sec.gov/Archives/edgar/data/352915/000156459022028437/uhs-ex104_238.htm" TargetMode="External"/><Relationship Id="rId55" Type="http://schemas.openxmlformats.org/officeDocument/2006/relationships/hyperlink" Target="https://www.sec.gov/Archives/edgar/data/352915/000156459022018570/uhs-ex105_113.htm" TargetMode="External"/><Relationship Id="rId56" Type="http://schemas.openxmlformats.org/officeDocument/2006/relationships/hyperlink" Target="https://www.sec.gov/Archives/edgar/data/352915/000156459022018570/uhs-ex106_115.htm" TargetMode="External"/><Relationship Id="rId57" Type="http://schemas.openxmlformats.org/officeDocument/2006/relationships/hyperlink" Target="https://www.sec.gov/Archives/edgar/data/352915/000156459022018570/uhs-ex107_114.htm" TargetMode="External"/><Relationship Id="rId58" Type="http://schemas.openxmlformats.org/officeDocument/2006/relationships/hyperlink" Target="https://www.sec.gov/Archives/edgar/data/352915/000156459022039115/uhs-ex991_6.htm" TargetMode="External"/><Relationship Id="rId59" Type="http://schemas.openxmlformats.org/officeDocument/2006/relationships/hyperlink" Target="https://www.sec.gov/Archives/edgar/data/352915/000095017023004656/uhs-ex10_66.htm" TargetMode="External"/><Relationship Id="rId60" Type="http://schemas.openxmlformats.org/officeDocument/2006/relationships/hyperlink" Target="https://www.sec.gov/Archives/edgar/data/352915/000119312524086555/d631163ddef14a.htm" TargetMode="External"/><Relationship Id="rId61" Type="http://schemas.openxmlformats.org/officeDocument/2006/relationships/hyperlink" Target="https://www.sec.gov/Archives/edgar/data/352915/000119312524086555/d631163ddef14a.htm" TargetMode="External"/><Relationship Id="rId62" Type="http://schemas.openxmlformats.org/officeDocument/2006/relationships/hyperlink" Target="https://www.sec.gov/Archives/edgar/data/352915/000119312524229561/d895626dex101.htm" TargetMode="External"/><Relationship Id="rId63" Type="http://schemas.openxmlformats.org/officeDocument/2006/relationships/hyperlink" Target="https://www.sec.gov/Archives/edgar/data/352915/000095017025042671/uhs-ex10_2.htm" TargetMode="External"/><Relationship Id="rId64" Type="http://schemas.openxmlformats.org/officeDocument/2006/relationships/hyperlink" Target="https://www.sec.gov/Archives/edgar/data/352915/000095017025042671/uhs-ex10_4.htm" TargetMode="External"/><Relationship Id="rId65" Type="http://schemas.openxmlformats.org/officeDocument/2006/relationships/hyperlink" Target="https://www.sec.gov/Archives/edgar/data/352915/000119312525337662/uhs-ex10_1.htm" TargetMode="External"/><Relationship Id="rId66" Type="http://schemas.openxmlformats.org/officeDocument/2006/relationships/hyperlink" Target="https://www.sec.gov/Archives/edgar/data/352915/000095017025042671/uhs-ex10_3.htm" TargetMode="External"/><Relationship Id="rId67" Type="http://schemas.openxmlformats.org/officeDocument/2006/relationships/hyperlink" Target="https://www.sec.gov/Archives/edgar/data/352915/000119312525337662/uhs-ex10_2.htm" TargetMode="External"/><Relationship Id="rId68" Type="http://schemas.openxmlformats.org/officeDocument/2006/relationships/fontTable" Target="fontTable.xml"/><Relationship Id="rId6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30</Pages>
  <Words>112742</Words>
  <Characters>639969</Characters>
  <CharactersWithSpaces>751283</CharactersWithSpaces>
  <Paragraphs>21383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